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A869A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869A9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DB100E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DB100E">
              <w:rPr>
                <w:rFonts w:eastAsiaTheme="minorEastAsia" w:hint="eastAsia"/>
                <w:lang w:val="en-CA" w:eastAsia="ko-KR"/>
              </w:rPr>
              <w:t>0048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DF6C2B" w:rsidP="00DF6C2B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Restriction of bi-prediction</w:t>
            </w:r>
            <w:r w:rsidR="00BB46EC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for </w:t>
            </w:r>
            <w:proofErr w:type="spellStart"/>
            <w:r w:rsidR="00BB46EC">
              <w:rPr>
                <w:rFonts w:eastAsiaTheme="minorEastAsia" w:hint="eastAsia"/>
                <w:b/>
                <w:szCs w:val="22"/>
                <w:lang w:val="en-CA" w:eastAsia="ko-KR"/>
              </w:rPr>
              <w:t>IvDC</w:t>
            </w:r>
            <w:proofErr w:type="spellEnd"/>
            <w:r w:rsidR="00BB46EC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and </w:t>
            </w:r>
            <w:proofErr w:type="spellStart"/>
            <w:r w:rsidR="00BB46EC">
              <w:rPr>
                <w:rFonts w:eastAsiaTheme="minorEastAsia" w:hint="eastAsia"/>
                <w:b/>
                <w:szCs w:val="22"/>
                <w:lang w:val="en-CA" w:eastAsia="ko-KR"/>
              </w:rPr>
              <w:t>IvDCShift</w:t>
            </w:r>
            <w:proofErr w:type="spellEnd"/>
            <w:r w:rsidR="00BB46EC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candidates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4FD6" w:rsidRPr="00024FD6">
              <w:rPr>
                <w:lang w:eastAsia="zh-TW"/>
              </w:rPr>
              <w:t xml:space="preserve"> </w:t>
            </w:r>
            <w:r w:rsidR="001A1FA3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19,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Yangjae-daero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11gil,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024FD6" w:rsidRPr="00024FD6" w:rsidRDefault="00024FD6" w:rsidP="00024FD6">
      <w:pPr>
        <w:keepNext/>
        <w:spacing w:before="240" w:after="60"/>
        <w:ind w:left="432" w:hanging="432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Abstract</w:t>
      </w:r>
    </w:p>
    <w:p w:rsidR="00AC1AFC" w:rsidRPr="00746ADD" w:rsidRDefault="00C03C40" w:rsidP="001036A3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In the </w:t>
      </w:r>
      <w:r w:rsidR="000222D3">
        <w:rPr>
          <w:rFonts w:eastAsiaTheme="minorEastAsia" w:hint="eastAsia"/>
          <w:szCs w:val="22"/>
          <w:lang w:val="en-CA" w:eastAsia="ko-KR"/>
        </w:rPr>
        <w:t xml:space="preserve">current 3D-HEVC, there are two candidates for inter-view disparity compensation in the merge list. First, </w:t>
      </w:r>
      <w:proofErr w:type="spellStart"/>
      <w:r w:rsidR="000222D3">
        <w:rPr>
          <w:rFonts w:eastAsiaTheme="minorEastAsia" w:hint="eastAsia"/>
          <w:szCs w:val="22"/>
          <w:lang w:val="en-CA" w:eastAsia="ko-KR"/>
        </w:rPr>
        <w:t>IvDC</w:t>
      </w:r>
      <w:proofErr w:type="spellEnd"/>
      <w:r w:rsidR="000222D3">
        <w:rPr>
          <w:rFonts w:eastAsiaTheme="minorEastAsia" w:hint="eastAsia"/>
          <w:szCs w:val="22"/>
          <w:lang w:val="en-CA" w:eastAsia="ko-KR"/>
        </w:rPr>
        <w:t xml:space="preserve"> candidate is derived by </w:t>
      </w:r>
      <w:r w:rsidR="000222D3">
        <w:rPr>
          <w:rFonts w:eastAsiaTheme="minorEastAsia" w:hint="eastAsia"/>
          <w:lang w:eastAsia="ko-KR"/>
        </w:rPr>
        <w:t>d</w:t>
      </w:r>
      <w:r w:rsidR="000222D3">
        <w:t xml:space="preserve">epth </w:t>
      </w:r>
      <w:r w:rsidR="000222D3" w:rsidRPr="008C4E43">
        <w:rPr>
          <w:szCs w:val="22"/>
          <w:lang w:val="en-CA"/>
        </w:rPr>
        <w:t>oriented neighbouring block based disparity vector</w:t>
      </w:r>
      <w:r w:rsidR="000222D3">
        <w:rPr>
          <w:rFonts w:eastAsiaTheme="minorEastAsia" w:hint="eastAsia"/>
          <w:szCs w:val="22"/>
          <w:lang w:val="en-CA" w:eastAsia="ko-KR"/>
        </w:rPr>
        <w:t xml:space="preserve"> (DoNBDV). Second, </w:t>
      </w:r>
      <w:proofErr w:type="spellStart"/>
      <w:r w:rsidR="000222D3">
        <w:rPr>
          <w:rFonts w:eastAsiaTheme="minorEastAsia" w:hint="eastAsia"/>
          <w:szCs w:val="22"/>
          <w:lang w:val="en-CA" w:eastAsia="ko-KR"/>
        </w:rPr>
        <w:t>IvDCShift</w:t>
      </w:r>
      <w:proofErr w:type="spellEnd"/>
      <w:r w:rsidR="000222D3">
        <w:rPr>
          <w:rFonts w:eastAsiaTheme="minorEastAsia" w:hint="eastAsia"/>
          <w:szCs w:val="22"/>
          <w:lang w:val="en-CA" w:eastAsia="ko-KR"/>
        </w:rPr>
        <w:t xml:space="preserve"> candidate is </w:t>
      </w:r>
      <w:r w:rsidR="00C27417">
        <w:rPr>
          <w:rFonts w:eastAsiaTheme="minorEastAsia" w:hint="eastAsia"/>
          <w:szCs w:val="22"/>
          <w:lang w:val="en-CA" w:eastAsia="ko-KR"/>
        </w:rPr>
        <w:t xml:space="preserve">set to </w:t>
      </w:r>
      <w:proofErr w:type="spellStart"/>
      <w:r w:rsidR="00C27417">
        <w:rPr>
          <w:rFonts w:eastAsiaTheme="minorEastAsia" w:hint="eastAsia"/>
          <w:szCs w:val="22"/>
          <w:lang w:val="en-CA" w:eastAsia="ko-KR"/>
        </w:rPr>
        <w:t>IvDC</w:t>
      </w:r>
      <w:proofErr w:type="spellEnd"/>
      <w:r w:rsidR="00C27417">
        <w:rPr>
          <w:rFonts w:eastAsiaTheme="minorEastAsia" w:hint="eastAsia"/>
          <w:szCs w:val="22"/>
          <w:lang w:val="en-CA" w:eastAsia="ko-KR"/>
        </w:rPr>
        <w:t xml:space="preserve"> candidate shifted by</w:t>
      </w:r>
      <w:r w:rsidR="000222D3">
        <w:rPr>
          <w:rFonts w:eastAsiaTheme="minorEastAsia" w:hint="eastAsia"/>
          <w:szCs w:val="22"/>
          <w:lang w:val="en-CA" w:eastAsia="ko-KR"/>
        </w:rPr>
        <w:t xml:space="preserve"> </w:t>
      </w:r>
      <w:r w:rsidR="00C27417">
        <w:rPr>
          <w:rFonts w:eastAsiaTheme="minorEastAsia" w:hint="eastAsia"/>
          <w:szCs w:val="22"/>
          <w:lang w:val="en-CA" w:eastAsia="ko-KR"/>
        </w:rPr>
        <w:t xml:space="preserve">4. </w:t>
      </w:r>
      <w:proofErr w:type="spellStart"/>
      <w:r w:rsidR="00C27417">
        <w:rPr>
          <w:rFonts w:eastAsiaTheme="minorEastAsia" w:hint="eastAsia"/>
          <w:szCs w:val="22"/>
          <w:lang w:val="en-CA" w:eastAsia="ko-KR"/>
        </w:rPr>
        <w:t>IvDC</w:t>
      </w:r>
      <w:proofErr w:type="spellEnd"/>
      <w:r w:rsidR="00C27417">
        <w:rPr>
          <w:rFonts w:eastAsiaTheme="minorEastAsia" w:hint="eastAsia"/>
          <w:szCs w:val="22"/>
          <w:lang w:val="en-CA" w:eastAsia="ko-KR"/>
        </w:rPr>
        <w:t xml:space="preserve"> and </w:t>
      </w:r>
      <w:proofErr w:type="spellStart"/>
      <w:r w:rsidR="00C27417">
        <w:rPr>
          <w:rFonts w:eastAsiaTheme="minorEastAsia" w:hint="eastAsia"/>
          <w:szCs w:val="22"/>
          <w:lang w:val="en-CA" w:eastAsia="ko-KR"/>
        </w:rPr>
        <w:t>IvDCShift</w:t>
      </w:r>
      <w:proofErr w:type="spellEnd"/>
      <w:r w:rsidR="00C27417">
        <w:rPr>
          <w:rFonts w:eastAsiaTheme="minorEastAsia" w:hint="eastAsia"/>
          <w:szCs w:val="22"/>
          <w:lang w:val="en-CA" w:eastAsia="ko-KR"/>
        </w:rPr>
        <w:t xml:space="preserve"> candidates are derived for each List 0 and List1. However, </w:t>
      </w:r>
      <w:r w:rsidR="00746ADD">
        <w:rPr>
          <w:rFonts w:eastAsiaTheme="minorEastAsia" w:hint="eastAsia"/>
          <w:szCs w:val="22"/>
          <w:lang w:val="en-CA" w:eastAsia="ko-KR"/>
        </w:rPr>
        <w:t xml:space="preserve">motion information for List 0 and List 1 are exactly same in the specification. </w:t>
      </w:r>
      <w:r w:rsidR="00746ADD">
        <w:rPr>
          <w:rFonts w:eastAsiaTheme="minorEastAsia" w:hint="eastAsia"/>
          <w:lang w:eastAsia="ko-KR"/>
        </w:rPr>
        <w:t>In this contribution, r</w:t>
      </w:r>
      <w:r w:rsidR="00746ADD" w:rsidRPr="00746ADD">
        <w:rPr>
          <w:rFonts w:eastAsiaTheme="minorEastAsia"/>
          <w:lang w:eastAsia="ko-KR"/>
        </w:rPr>
        <w:t xml:space="preserve">estriction of bi-directional for </w:t>
      </w:r>
      <w:proofErr w:type="spellStart"/>
      <w:r w:rsidR="00746ADD" w:rsidRPr="00746ADD">
        <w:rPr>
          <w:rFonts w:eastAsiaTheme="minorEastAsia"/>
          <w:lang w:eastAsia="ko-KR"/>
        </w:rPr>
        <w:t>IvDC</w:t>
      </w:r>
      <w:proofErr w:type="spellEnd"/>
      <w:r w:rsidR="00746ADD" w:rsidRPr="00746ADD">
        <w:rPr>
          <w:rFonts w:eastAsiaTheme="minorEastAsia"/>
          <w:lang w:eastAsia="ko-KR"/>
        </w:rPr>
        <w:t xml:space="preserve"> and </w:t>
      </w:r>
      <w:proofErr w:type="spellStart"/>
      <w:r w:rsidR="00746ADD" w:rsidRPr="00746ADD">
        <w:rPr>
          <w:rFonts w:eastAsiaTheme="minorEastAsia"/>
          <w:lang w:eastAsia="ko-KR"/>
        </w:rPr>
        <w:t>IvDCShift</w:t>
      </w:r>
      <w:proofErr w:type="spellEnd"/>
      <w:r w:rsidR="00746ADD" w:rsidRPr="00746ADD">
        <w:rPr>
          <w:rFonts w:eastAsiaTheme="minorEastAsia"/>
          <w:lang w:eastAsia="ko-KR"/>
        </w:rPr>
        <w:t xml:space="preserve"> candidates</w:t>
      </w:r>
      <w:r w:rsidR="00746ADD" w:rsidRPr="00746ADD">
        <w:rPr>
          <w:rFonts w:eastAsiaTheme="minorEastAsia" w:hint="eastAsia"/>
          <w:lang w:eastAsia="ko-KR"/>
        </w:rPr>
        <w:t xml:space="preserve"> </w:t>
      </w:r>
      <w:r w:rsidR="00746ADD">
        <w:rPr>
          <w:rFonts w:eastAsiaTheme="minorEastAsia" w:hint="eastAsia"/>
          <w:lang w:eastAsia="ko-KR"/>
        </w:rPr>
        <w:t xml:space="preserve">is proposed. The </w:t>
      </w:r>
      <w:r w:rsidR="00746ADD">
        <w:rPr>
          <w:rFonts w:eastAsiaTheme="minorEastAsia"/>
          <w:lang w:eastAsia="ko-KR"/>
        </w:rPr>
        <w:t>proposed</w:t>
      </w:r>
      <w:r w:rsidR="00746ADD">
        <w:rPr>
          <w:rFonts w:eastAsiaTheme="minorEastAsia" w:hint="eastAsia"/>
          <w:lang w:eastAsia="ko-KR"/>
        </w:rPr>
        <w:t xml:space="preserve"> method is to use a </w:t>
      </w:r>
      <w:proofErr w:type="spellStart"/>
      <w:r w:rsidR="00746ADD">
        <w:rPr>
          <w:rFonts w:eastAsiaTheme="minorEastAsia" w:hint="eastAsia"/>
          <w:lang w:eastAsia="ko-KR"/>
        </w:rPr>
        <w:t>uni</w:t>
      </w:r>
      <w:proofErr w:type="spellEnd"/>
      <w:r w:rsidR="00746ADD">
        <w:rPr>
          <w:rFonts w:eastAsiaTheme="minorEastAsia" w:hint="eastAsia"/>
          <w:lang w:eastAsia="ko-KR"/>
        </w:rPr>
        <w:t xml:space="preserve">-directional prediction for </w:t>
      </w:r>
      <w:proofErr w:type="spellStart"/>
      <w:r w:rsidR="00746ADD">
        <w:rPr>
          <w:rFonts w:eastAsiaTheme="minorEastAsia" w:hint="eastAsia"/>
          <w:lang w:eastAsia="ko-KR"/>
        </w:rPr>
        <w:t>IvDC</w:t>
      </w:r>
      <w:proofErr w:type="spellEnd"/>
      <w:r w:rsidR="00746ADD">
        <w:rPr>
          <w:rFonts w:eastAsiaTheme="minorEastAsia" w:hint="eastAsia"/>
          <w:lang w:eastAsia="ko-KR"/>
        </w:rPr>
        <w:t xml:space="preserve"> and </w:t>
      </w:r>
      <w:proofErr w:type="spellStart"/>
      <w:r w:rsidR="00746ADD">
        <w:rPr>
          <w:rFonts w:eastAsiaTheme="minorEastAsia" w:hint="eastAsia"/>
          <w:lang w:eastAsia="ko-KR"/>
        </w:rPr>
        <w:t>IvDCShift</w:t>
      </w:r>
      <w:proofErr w:type="spellEnd"/>
      <w:r w:rsidR="00746ADD">
        <w:rPr>
          <w:rFonts w:eastAsiaTheme="minorEastAsia" w:hint="eastAsia"/>
          <w:lang w:eastAsia="ko-KR"/>
        </w:rPr>
        <w:t xml:space="preserve"> candidates. </w:t>
      </w:r>
      <w:r w:rsidR="00746ADD">
        <w:rPr>
          <w:lang w:val="en-CA" w:eastAsia="zh-TW"/>
        </w:rPr>
        <w:t xml:space="preserve">The experimental results </w:t>
      </w:r>
      <w:r w:rsidR="00746ADD">
        <w:rPr>
          <w:rFonts w:eastAsiaTheme="minorEastAsia" w:hint="eastAsia"/>
          <w:lang w:val="en-CA" w:eastAsia="ko-KR"/>
        </w:rPr>
        <w:t>are no impact</w:t>
      </w:r>
      <w:r w:rsidR="00746ADD">
        <w:rPr>
          <w:lang w:val="en-CA" w:eastAsia="zh-TW"/>
        </w:rPr>
        <w:t xml:space="preserve"> </w:t>
      </w:r>
      <w:r w:rsidR="00746ADD">
        <w:rPr>
          <w:rFonts w:eastAsiaTheme="minorEastAsia" w:hint="eastAsia"/>
          <w:lang w:val="en-CA" w:eastAsia="ko-KR"/>
        </w:rPr>
        <w:t xml:space="preserve">under </w:t>
      </w:r>
      <w:r w:rsidR="00746ADD">
        <w:rPr>
          <w:lang w:val="en-CA" w:eastAsia="zh-TW"/>
        </w:rPr>
        <w:t>the common test conditions</w:t>
      </w:r>
      <w:r w:rsidR="00746ADD">
        <w:rPr>
          <w:rFonts w:hint="eastAsia"/>
          <w:lang w:val="en-CA" w:eastAsia="ko-KR"/>
        </w:rPr>
        <w:t>.</w:t>
      </w:r>
      <w:r w:rsidR="00746ADD">
        <w:rPr>
          <w:rFonts w:eastAsiaTheme="minorEastAsia" w:hint="eastAsia"/>
          <w:lang w:val="en-CA" w:eastAsia="ko-KR"/>
        </w:rPr>
        <w:t xml:space="preserve"> 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Introduction</w:t>
      </w:r>
    </w:p>
    <w:p w:rsidR="00C27417" w:rsidRDefault="007C51A6" w:rsidP="001036A3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As shown Figure 1, a reference view for </w:t>
      </w:r>
      <w:proofErr w:type="spellStart"/>
      <w:r>
        <w:rPr>
          <w:rFonts w:eastAsiaTheme="minorEastAsia" w:hint="eastAsia"/>
          <w:szCs w:val="22"/>
          <w:lang w:val="en-CA" w:eastAsia="ko-KR"/>
        </w:rPr>
        <w:t>IvDC</w:t>
      </w:r>
      <w:proofErr w:type="spellEnd"/>
      <w:r>
        <w:rPr>
          <w:rFonts w:eastAsiaTheme="minorEastAsia" w:hint="eastAsia"/>
          <w:szCs w:val="22"/>
          <w:lang w:val="en-CA" w:eastAsia="ko-KR"/>
        </w:rPr>
        <w:t xml:space="preserve"> and </w:t>
      </w:r>
      <w:proofErr w:type="spellStart"/>
      <w:r>
        <w:rPr>
          <w:rFonts w:eastAsiaTheme="minorEastAsia" w:hint="eastAsia"/>
          <w:szCs w:val="22"/>
          <w:lang w:val="en-CA" w:eastAsia="ko-KR"/>
        </w:rPr>
        <w:t>IvDCShift</w:t>
      </w:r>
      <w:proofErr w:type="spellEnd"/>
      <w:r>
        <w:rPr>
          <w:rFonts w:eastAsiaTheme="minorEastAsia" w:hint="eastAsia"/>
          <w:szCs w:val="22"/>
          <w:lang w:val="en-CA" w:eastAsia="ko-KR"/>
        </w:rPr>
        <w:t xml:space="preserve"> candidates is available both List 0 and List 1. In that case, </w:t>
      </w:r>
      <w:proofErr w:type="spellStart"/>
      <w:r>
        <w:rPr>
          <w:rFonts w:eastAsiaTheme="minorEastAsia" w:hint="eastAsia"/>
          <w:szCs w:val="22"/>
          <w:lang w:val="en-CA" w:eastAsia="ko-KR"/>
        </w:rPr>
        <w:t>IvDC</w:t>
      </w:r>
      <w:proofErr w:type="spellEnd"/>
      <w:r>
        <w:rPr>
          <w:rFonts w:eastAsiaTheme="minorEastAsia" w:hint="eastAsia"/>
          <w:szCs w:val="22"/>
          <w:lang w:val="en-CA" w:eastAsia="ko-KR"/>
        </w:rPr>
        <w:t xml:space="preserve"> and </w:t>
      </w:r>
      <w:proofErr w:type="spellStart"/>
      <w:r>
        <w:rPr>
          <w:rFonts w:eastAsiaTheme="minorEastAsia" w:hint="eastAsia"/>
          <w:szCs w:val="22"/>
          <w:lang w:val="en-CA" w:eastAsia="ko-KR"/>
        </w:rPr>
        <w:t>IvDCShift</w:t>
      </w:r>
      <w:proofErr w:type="spellEnd"/>
      <w:r>
        <w:rPr>
          <w:rFonts w:eastAsiaTheme="minorEastAsia" w:hint="eastAsia"/>
          <w:szCs w:val="22"/>
          <w:lang w:val="en-CA" w:eastAsia="ko-KR"/>
        </w:rPr>
        <w:t xml:space="preserve"> candidates can derive a disparity vector from each reference list and conduct bi-directional prediction. </w:t>
      </w:r>
      <w:r w:rsidR="0008289C">
        <w:rPr>
          <w:rFonts w:eastAsiaTheme="minorEastAsia" w:hint="eastAsia"/>
          <w:szCs w:val="22"/>
          <w:lang w:val="en-CA" w:eastAsia="ko-KR"/>
        </w:rPr>
        <w:t xml:space="preserve">However, bi-prediction is useless due to </w:t>
      </w:r>
      <w:r>
        <w:rPr>
          <w:rFonts w:eastAsiaTheme="minorEastAsia" w:hint="eastAsia"/>
          <w:szCs w:val="22"/>
          <w:lang w:val="en-CA" w:eastAsia="ko-KR"/>
        </w:rPr>
        <w:t>the disparities are</w:t>
      </w:r>
      <w:r w:rsidR="0008289C">
        <w:rPr>
          <w:rFonts w:eastAsiaTheme="minorEastAsia" w:hint="eastAsia"/>
          <w:szCs w:val="22"/>
          <w:lang w:val="en-CA" w:eastAsia="ko-KR"/>
        </w:rPr>
        <w:t xml:space="preserve"> always </w:t>
      </w:r>
      <w:r>
        <w:rPr>
          <w:rFonts w:eastAsiaTheme="minorEastAsia" w:hint="eastAsia"/>
          <w:szCs w:val="22"/>
          <w:lang w:val="en-CA" w:eastAsia="ko-KR"/>
        </w:rPr>
        <w:t xml:space="preserve"> </w:t>
      </w:r>
      <w:r w:rsidR="00284310">
        <w:rPr>
          <w:rFonts w:eastAsiaTheme="minorEastAsia" w:hint="eastAsia"/>
          <w:szCs w:val="22"/>
          <w:lang w:val="en-CA" w:eastAsia="ko-KR"/>
        </w:rPr>
        <w:t>identical</w:t>
      </w:r>
      <w:r>
        <w:rPr>
          <w:rFonts w:eastAsiaTheme="minorEastAsia" w:hint="eastAsia"/>
          <w:szCs w:val="22"/>
          <w:lang w:val="en-CA" w:eastAsia="ko-KR"/>
        </w:rPr>
        <w:t xml:space="preserve">. </w:t>
      </w:r>
      <w:r w:rsidR="0008289C">
        <w:rPr>
          <w:rFonts w:eastAsiaTheme="minorEastAsia" w:hint="eastAsia"/>
          <w:szCs w:val="22"/>
          <w:lang w:val="en-CA" w:eastAsia="ko-KR"/>
        </w:rPr>
        <w:t xml:space="preserve">A reference index and a disparity vector for </w:t>
      </w:r>
      <w:proofErr w:type="spellStart"/>
      <w:r w:rsidR="0008289C">
        <w:rPr>
          <w:rFonts w:eastAsiaTheme="minorEastAsia" w:hint="eastAsia"/>
          <w:szCs w:val="22"/>
          <w:lang w:val="en-CA" w:eastAsia="ko-KR"/>
        </w:rPr>
        <w:t>IvDC</w:t>
      </w:r>
      <w:proofErr w:type="spellEnd"/>
      <w:r w:rsidR="0008289C">
        <w:rPr>
          <w:rFonts w:eastAsiaTheme="minorEastAsia" w:hint="eastAsia"/>
          <w:szCs w:val="22"/>
          <w:lang w:val="en-CA" w:eastAsia="ko-KR"/>
        </w:rPr>
        <w:t xml:space="preserve"> and </w:t>
      </w:r>
      <w:proofErr w:type="spellStart"/>
      <w:r w:rsidR="0008289C">
        <w:rPr>
          <w:rFonts w:eastAsiaTheme="minorEastAsia" w:hint="eastAsia"/>
          <w:szCs w:val="22"/>
          <w:lang w:val="en-CA" w:eastAsia="ko-KR"/>
        </w:rPr>
        <w:t>IvDCShift</w:t>
      </w:r>
      <w:proofErr w:type="spellEnd"/>
      <w:r w:rsidR="0008289C">
        <w:rPr>
          <w:rFonts w:eastAsiaTheme="minorEastAsia" w:hint="eastAsia"/>
          <w:szCs w:val="22"/>
          <w:lang w:val="en-CA" w:eastAsia="ko-KR"/>
        </w:rPr>
        <w:t xml:space="preserve"> candidates are used for each CU.</w:t>
      </w:r>
    </w:p>
    <w:p w:rsidR="00C27417" w:rsidRDefault="0008289C" w:rsidP="00C27417">
      <w:pPr>
        <w:jc w:val="both"/>
        <w:rPr>
          <w:rFonts w:eastAsiaTheme="minorEastAsia"/>
          <w:b/>
          <w:szCs w:val="22"/>
          <w:lang w:eastAsia="ko-KR"/>
        </w:rPr>
      </w:pPr>
      <w:r>
        <w:rPr>
          <w:rFonts w:eastAsiaTheme="minorEastAsia"/>
          <w:b/>
          <w:noProof/>
          <w:szCs w:val="22"/>
          <w:lang w:eastAsia="ko-KR"/>
        </w:rPr>
        <w:drawing>
          <wp:inline distT="0" distB="0" distL="0" distR="0">
            <wp:extent cx="5943600" cy="942833"/>
            <wp:effectExtent l="19050" t="0" r="0" b="0"/>
            <wp:docPr id="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417" w:rsidRDefault="00C27417" w:rsidP="00C27417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Figure 1. Conventional intra prediction mode directions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Proposed method</w:t>
      </w:r>
    </w:p>
    <w:p w:rsidR="00AC1AFC" w:rsidRPr="00AC1AFC" w:rsidRDefault="0008289C" w:rsidP="001036A3">
      <w:pPr>
        <w:jc w:val="both"/>
        <w:rPr>
          <w:rFonts w:eastAsiaTheme="minorEastAsia"/>
          <w:b/>
          <w:szCs w:val="22"/>
          <w:lang w:val="en-CA" w:eastAsia="ko-KR"/>
        </w:rPr>
      </w:pPr>
      <w:r>
        <w:rPr>
          <w:rFonts w:eastAsiaTheme="minorEastAsia" w:hint="eastAsia"/>
          <w:lang w:eastAsia="ko-KR"/>
        </w:rPr>
        <w:t>In this contribution, r</w:t>
      </w:r>
      <w:r w:rsidRPr="00746ADD">
        <w:rPr>
          <w:rFonts w:eastAsiaTheme="minorEastAsia"/>
          <w:lang w:eastAsia="ko-KR"/>
        </w:rPr>
        <w:t xml:space="preserve">estriction of bi-directional for </w:t>
      </w:r>
      <w:proofErr w:type="spellStart"/>
      <w:r w:rsidRPr="00746ADD">
        <w:rPr>
          <w:rFonts w:eastAsiaTheme="minorEastAsia"/>
          <w:lang w:eastAsia="ko-KR"/>
        </w:rPr>
        <w:t>IvDC</w:t>
      </w:r>
      <w:proofErr w:type="spellEnd"/>
      <w:r w:rsidRPr="00746ADD">
        <w:rPr>
          <w:rFonts w:eastAsiaTheme="minorEastAsia"/>
          <w:lang w:eastAsia="ko-KR"/>
        </w:rPr>
        <w:t xml:space="preserve"> and </w:t>
      </w:r>
      <w:proofErr w:type="spellStart"/>
      <w:r w:rsidRPr="00746ADD">
        <w:rPr>
          <w:rFonts w:eastAsiaTheme="minorEastAsia"/>
          <w:lang w:eastAsia="ko-KR"/>
        </w:rPr>
        <w:t>IvDCShift</w:t>
      </w:r>
      <w:proofErr w:type="spellEnd"/>
      <w:r w:rsidRPr="00746ADD">
        <w:rPr>
          <w:rFonts w:eastAsiaTheme="minorEastAsia"/>
          <w:lang w:eastAsia="ko-KR"/>
        </w:rPr>
        <w:t xml:space="preserve"> candidates</w:t>
      </w:r>
      <w:r w:rsidRPr="00746ADD">
        <w:rPr>
          <w:rFonts w:eastAsiaTheme="minorEastAsia" w:hint="eastAsia"/>
          <w:lang w:eastAsia="ko-KR"/>
        </w:rPr>
        <w:t xml:space="preserve"> </w:t>
      </w:r>
      <w:r>
        <w:rPr>
          <w:rFonts w:eastAsiaTheme="minorEastAsia" w:hint="eastAsia"/>
          <w:lang w:eastAsia="ko-KR"/>
        </w:rPr>
        <w:t xml:space="preserve">is proposed. The </w:t>
      </w:r>
      <w:r>
        <w:rPr>
          <w:rFonts w:eastAsiaTheme="minorEastAsia"/>
          <w:lang w:eastAsia="ko-KR"/>
        </w:rPr>
        <w:t>proposed</w:t>
      </w:r>
      <w:r>
        <w:rPr>
          <w:rFonts w:eastAsiaTheme="minorEastAsia" w:hint="eastAsia"/>
          <w:lang w:eastAsia="ko-KR"/>
        </w:rPr>
        <w:t xml:space="preserve"> method is to use a </w:t>
      </w:r>
      <w:proofErr w:type="spellStart"/>
      <w:r>
        <w:rPr>
          <w:rFonts w:eastAsiaTheme="minorEastAsia" w:hint="eastAsia"/>
          <w:lang w:eastAsia="ko-KR"/>
        </w:rPr>
        <w:t>uni</w:t>
      </w:r>
      <w:proofErr w:type="spellEnd"/>
      <w:r>
        <w:rPr>
          <w:rFonts w:eastAsiaTheme="minorEastAsia" w:hint="eastAsia"/>
          <w:lang w:eastAsia="ko-KR"/>
        </w:rPr>
        <w:t xml:space="preserve">-directional prediction for </w:t>
      </w:r>
      <w:proofErr w:type="spellStart"/>
      <w:r>
        <w:rPr>
          <w:rFonts w:eastAsiaTheme="minorEastAsia" w:hint="eastAsia"/>
          <w:lang w:eastAsia="ko-KR"/>
        </w:rPr>
        <w:t>IvDC</w:t>
      </w:r>
      <w:proofErr w:type="spellEnd"/>
      <w:r>
        <w:rPr>
          <w:rFonts w:eastAsiaTheme="minorEastAsia" w:hint="eastAsia"/>
          <w:lang w:eastAsia="ko-KR"/>
        </w:rPr>
        <w:t xml:space="preserve"> and </w:t>
      </w:r>
      <w:proofErr w:type="spellStart"/>
      <w:r>
        <w:rPr>
          <w:rFonts w:eastAsiaTheme="minorEastAsia" w:hint="eastAsia"/>
          <w:lang w:eastAsia="ko-KR"/>
        </w:rPr>
        <w:t>IvDCShift</w:t>
      </w:r>
      <w:proofErr w:type="spellEnd"/>
      <w:r>
        <w:rPr>
          <w:rFonts w:eastAsiaTheme="minorEastAsia" w:hint="eastAsia"/>
          <w:lang w:eastAsia="ko-KR"/>
        </w:rPr>
        <w:t xml:space="preserve"> candidates. </w:t>
      </w:r>
    </w:p>
    <w:p w:rsidR="001036A3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Experimental results</w:t>
      </w:r>
    </w:p>
    <w:p w:rsidR="001D615D" w:rsidRPr="002D221E" w:rsidRDefault="001D615D" w:rsidP="001D615D">
      <w:pPr>
        <w:jc w:val="both"/>
        <w:rPr>
          <w:rFonts w:eastAsiaTheme="minorEastAsia"/>
          <w:lang w:eastAsia="ko-KR"/>
        </w:rPr>
      </w:pPr>
      <w:r>
        <w:rPr>
          <w:rFonts w:eastAsia="맑은 고딕"/>
          <w:lang w:eastAsia="ko-KR"/>
        </w:rPr>
        <w:t xml:space="preserve">The </w:t>
      </w:r>
      <w:r>
        <w:rPr>
          <w:lang w:eastAsia="zh-TW"/>
        </w:rPr>
        <w:t>proposed method</w:t>
      </w:r>
      <w:r>
        <w:rPr>
          <w:rFonts w:eastAsia="맑은 고딕"/>
          <w:lang w:eastAsia="ko-KR"/>
        </w:rPr>
        <w:t xml:space="preserve"> </w:t>
      </w:r>
      <w:r>
        <w:rPr>
          <w:rFonts w:hint="eastAsia"/>
          <w:lang w:eastAsia="zh-TW"/>
        </w:rPr>
        <w:t>is</w:t>
      </w:r>
      <w:r>
        <w:rPr>
          <w:rFonts w:eastAsia="맑은 고딕"/>
          <w:lang w:eastAsia="ko-KR"/>
        </w:rPr>
        <w:t xml:space="preserve"> integrated on </w:t>
      </w:r>
      <w:r>
        <w:rPr>
          <w:lang w:eastAsia="zh-CN"/>
        </w:rPr>
        <w:t>H</w:t>
      </w:r>
      <w:r>
        <w:rPr>
          <w:rFonts w:eastAsia="맑은 고딕"/>
          <w:lang w:eastAsia="ko-KR"/>
        </w:rPr>
        <w:t>TM</w:t>
      </w:r>
      <w:r>
        <w:rPr>
          <w:lang w:eastAsia="zh-CN"/>
        </w:rPr>
        <w:t>-1</w:t>
      </w:r>
      <w:r>
        <w:rPr>
          <w:rFonts w:eastAsiaTheme="minorEastAsia" w:hint="eastAsia"/>
          <w:lang w:eastAsia="ko-KR"/>
        </w:rPr>
        <w:t>2</w:t>
      </w:r>
      <w:r>
        <w:rPr>
          <w:rFonts w:eastAsia="맑은 고딕"/>
          <w:lang w:eastAsia="ko-KR"/>
        </w:rPr>
        <w:t xml:space="preserve">.0 </w:t>
      </w:r>
      <w:r>
        <w:rPr>
          <w:lang w:eastAsia="ko-KR"/>
        </w:rPr>
        <w:t>[</w:t>
      </w:r>
      <w:r>
        <w:rPr>
          <w:rFonts w:eastAsiaTheme="minorEastAsia" w:hint="eastAsia"/>
          <w:lang w:eastAsia="ko-KR"/>
        </w:rPr>
        <w:t>1</w:t>
      </w:r>
      <w:r>
        <w:rPr>
          <w:lang w:eastAsia="ko-KR"/>
        </w:rPr>
        <w:t>]</w:t>
      </w:r>
      <w:r>
        <w:rPr>
          <w:lang w:eastAsia="zh-TW"/>
        </w:rPr>
        <w:t>.</w:t>
      </w:r>
      <w:r>
        <w:rPr>
          <w:rFonts w:hint="eastAsia"/>
          <w:lang w:eastAsia="zh-TW"/>
        </w:rPr>
        <w:t xml:space="preserve"> </w:t>
      </w:r>
      <w:bookmarkStart w:id="0" w:name="OLE_LINK67"/>
      <w:bookmarkStart w:id="1" w:name="OLE_LINK66"/>
      <w:r>
        <w:rPr>
          <w:lang w:eastAsia="zh-TW"/>
        </w:rPr>
        <w:t>Table 1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shows the results under the common test condition [</w:t>
      </w:r>
      <w:r>
        <w:rPr>
          <w:rFonts w:eastAsiaTheme="minorEastAsia" w:hint="eastAsia"/>
          <w:lang w:eastAsia="ko-KR"/>
        </w:rPr>
        <w:t>2</w:t>
      </w:r>
      <w:r>
        <w:rPr>
          <w:lang w:eastAsia="zh-TW"/>
        </w:rPr>
        <w:t>]</w:t>
      </w:r>
      <w:bookmarkStart w:id="2" w:name="OLE_LINK24"/>
      <w:bookmarkStart w:id="3" w:name="OLE_LINK22"/>
      <w:bookmarkEnd w:id="0"/>
      <w:bookmarkEnd w:id="1"/>
      <w:r>
        <w:rPr>
          <w:lang w:eastAsia="zh-TW"/>
        </w:rPr>
        <w:t xml:space="preserve">. </w:t>
      </w:r>
      <w:r>
        <w:rPr>
          <w:szCs w:val="22"/>
          <w:lang w:val="en-CA"/>
        </w:rPr>
        <w:t xml:space="preserve">The experiments results show that the proposed </w:t>
      </w:r>
      <w:r>
        <w:rPr>
          <w:rFonts w:eastAsiaTheme="minorEastAsia" w:hint="eastAsia"/>
          <w:szCs w:val="22"/>
          <w:lang w:val="en-CA" w:eastAsia="ko-KR"/>
        </w:rPr>
        <w:t xml:space="preserve">method is </w:t>
      </w:r>
      <w:bookmarkEnd w:id="2"/>
      <w:bookmarkEnd w:id="3"/>
      <w:r w:rsidR="0047505E">
        <w:rPr>
          <w:rFonts w:eastAsiaTheme="minorEastAsia" w:hint="eastAsia"/>
          <w:szCs w:val="22"/>
          <w:lang w:val="en-CA" w:eastAsia="ko-KR"/>
        </w:rPr>
        <w:t>no coding loss.</w:t>
      </w:r>
    </w:p>
    <w:p w:rsidR="001D615D" w:rsidRPr="005C6B13" w:rsidRDefault="001D615D" w:rsidP="001D615D">
      <w:pPr>
        <w:jc w:val="center"/>
        <w:rPr>
          <w:rFonts w:eastAsiaTheme="minorEastAsia"/>
          <w:b/>
          <w:lang w:eastAsia="ko-KR"/>
        </w:rPr>
      </w:pPr>
      <w:r w:rsidRPr="005C6B13">
        <w:rPr>
          <w:b/>
          <w:lang w:eastAsia="zh-TW"/>
        </w:rPr>
        <w:t xml:space="preserve">Table 1. </w:t>
      </w:r>
      <w:r w:rsidRPr="005C6B13">
        <w:rPr>
          <w:rFonts w:hint="eastAsia"/>
          <w:b/>
          <w:lang w:eastAsia="zh-TW"/>
        </w:rPr>
        <w:t xml:space="preserve"> </w:t>
      </w:r>
      <w:r w:rsidRPr="005C6B13">
        <w:rPr>
          <w:b/>
          <w:lang w:eastAsia="zh-TW"/>
        </w:rPr>
        <w:t xml:space="preserve">Performance for the proposed </w:t>
      </w:r>
      <w:r w:rsidRPr="005C6B13">
        <w:rPr>
          <w:rFonts w:eastAsiaTheme="minorEastAsia" w:hint="eastAsia"/>
          <w:b/>
          <w:lang w:eastAsia="ko-KR"/>
        </w:rPr>
        <w:t>method</w:t>
      </w:r>
      <w:r w:rsidRPr="005C6B13">
        <w:rPr>
          <w:b/>
          <w:lang w:eastAsia="zh-TW"/>
        </w:rPr>
        <w:t xml:space="preserve"> (CTC)</w:t>
      </w:r>
    </w:p>
    <w:p w:rsidR="001D615D" w:rsidRDefault="00BC5978" w:rsidP="001D615D">
      <w:pPr>
        <w:jc w:val="center"/>
        <w:rPr>
          <w:rFonts w:eastAsiaTheme="minorEastAsia"/>
          <w:szCs w:val="22"/>
          <w:lang w:eastAsia="ko-KR"/>
        </w:rPr>
      </w:pPr>
      <w:r w:rsidRPr="00BC5978">
        <w:rPr>
          <w:noProof/>
          <w:szCs w:val="22"/>
          <w:lang w:eastAsia="ko-KR"/>
        </w:rPr>
        <w:lastRenderedPageBreak/>
        <w:drawing>
          <wp:inline distT="0" distB="0" distL="0" distR="0">
            <wp:extent cx="5943600" cy="1998669"/>
            <wp:effectExtent l="19050" t="0" r="0" b="0"/>
            <wp:docPr id="4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FF4" w:rsidRPr="002D221E" w:rsidRDefault="00991FF4" w:rsidP="00F32B77">
      <w:pPr>
        <w:jc w:val="both"/>
        <w:rPr>
          <w:rFonts w:eastAsiaTheme="minorEastAsia"/>
          <w:szCs w:val="22"/>
          <w:lang w:eastAsia="ko-KR"/>
        </w:rPr>
      </w:pPr>
    </w:p>
    <w:p w:rsidR="005203B7" w:rsidRPr="008836CF" w:rsidRDefault="005203B7" w:rsidP="005203B7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Conclusion</w:t>
      </w:r>
    </w:p>
    <w:p w:rsidR="005203B7" w:rsidRPr="00081087" w:rsidRDefault="005203B7" w:rsidP="005203B7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Disparity derivation method for depth coding is proposed in t</w:t>
      </w:r>
      <w:r>
        <w:rPr>
          <w:rFonts w:hint="eastAsia"/>
          <w:lang w:eastAsia="zh-TW"/>
        </w:rPr>
        <w:t>his contributi</w:t>
      </w:r>
      <w:r>
        <w:rPr>
          <w:rFonts w:eastAsiaTheme="minorEastAsia" w:hint="eastAsia"/>
          <w:lang w:eastAsia="ko-KR"/>
        </w:rPr>
        <w:t xml:space="preserve">on. A default reference view index is used for disparity derivation for depth instead of a fixed reference view index which equals to 0. There is no impact of coding efficiency </w:t>
      </w:r>
      <w:r>
        <w:rPr>
          <w:rFonts w:hint="eastAsia"/>
          <w:lang w:eastAsia="zh-TW"/>
        </w:rPr>
        <w:t>for</w:t>
      </w:r>
      <w:r>
        <w:rPr>
          <w:lang w:eastAsia="ko-KR"/>
        </w:rPr>
        <w:t xml:space="preserve"> the synthesized views</w:t>
      </w:r>
      <w:r>
        <w:rPr>
          <w:rFonts w:eastAsiaTheme="minorEastAsia" w:hint="eastAsia"/>
          <w:lang w:eastAsia="ko-KR"/>
        </w:rPr>
        <w:t xml:space="preserve"> under CTC conditions.</w:t>
      </w:r>
    </w:p>
    <w:p w:rsidR="005203B7" w:rsidRPr="005B217D" w:rsidRDefault="005203B7" w:rsidP="005203B7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5203B7" w:rsidRDefault="005203B7" w:rsidP="005203B7">
      <w:pPr>
        <w:jc w:val="both"/>
        <w:rPr>
          <w:b/>
          <w:szCs w:val="22"/>
          <w:lang w:val="en-CA"/>
        </w:rPr>
      </w:pPr>
      <w:r>
        <w:rPr>
          <w:rFonts w:eastAsiaTheme="minorEastAsia" w:hint="eastAsia"/>
          <w:b/>
          <w:szCs w:val="22"/>
          <w:lang w:eastAsia="ko-KR"/>
        </w:rPr>
        <w:t>LG Electronics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5203B7" w:rsidRPr="00024FD6" w:rsidRDefault="005203B7" w:rsidP="005203B7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zh-TW"/>
        </w:rPr>
      </w:pPr>
      <w:r w:rsidRPr="00024FD6">
        <w:rPr>
          <w:rFonts w:cs="Arial"/>
          <w:b/>
          <w:bCs/>
          <w:kern w:val="32"/>
          <w:sz w:val="32"/>
          <w:szCs w:val="32"/>
        </w:rPr>
        <w:t>References</w:t>
      </w:r>
    </w:p>
    <w:p w:rsidR="005203B7" w:rsidRDefault="005203B7" w:rsidP="005203B7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[1] </w:t>
      </w:r>
      <w:r w:rsidRPr="002D221E">
        <w:rPr>
          <w:rFonts w:eastAsiaTheme="minorEastAsia"/>
          <w:lang w:eastAsia="ko-KR"/>
        </w:rPr>
        <w:t>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.0, https://hevc.hhi.fraunhofer.de/svn/svn_3DVCSoftware/tags/HTM-1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.0.</w:t>
      </w:r>
    </w:p>
    <w:p w:rsidR="005203B7" w:rsidRDefault="005203B7" w:rsidP="005203B7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[2] K. </w:t>
      </w:r>
      <w:proofErr w:type="spellStart"/>
      <w:r w:rsidRPr="006A7479">
        <w:rPr>
          <w:szCs w:val="22"/>
          <w:lang w:eastAsia="zh-CN"/>
        </w:rPr>
        <w:t>Müller</w:t>
      </w:r>
      <w:proofErr w:type="spellEnd"/>
      <w:r w:rsidRPr="006A7479">
        <w:rPr>
          <w:szCs w:val="22"/>
          <w:lang w:eastAsia="zh-CN"/>
        </w:rPr>
        <w:t>, A</w:t>
      </w:r>
      <w:r w:rsidRPr="006A7479">
        <w:rPr>
          <w:szCs w:val="22"/>
        </w:rPr>
        <w:t>.</w:t>
      </w:r>
      <w:r w:rsidRPr="006A7479">
        <w:rPr>
          <w:szCs w:val="22"/>
          <w:lang w:eastAsia="zh-CN"/>
        </w:rPr>
        <w:t xml:space="preserve"> </w:t>
      </w:r>
      <w:proofErr w:type="spellStart"/>
      <w:r w:rsidRPr="006A7479">
        <w:rPr>
          <w:szCs w:val="22"/>
          <w:lang w:eastAsia="zh-CN"/>
        </w:rPr>
        <w:t>Vetro</w:t>
      </w:r>
      <w:proofErr w:type="spellEnd"/>
      <w:r w:rsidRPr="006A7479">
        <w:rPr>
          <w:szCs w:val="22"/>
          <w:lang w:eastAsia="zh-CN"/>
        </w:rPr>
        <w:t>,</w:t>
      </w:r>
      <w:r w:rsidRPr="006A7479">
        <w:rPr>
          <w:szCs w:val="22"/>
          <w:lang w:val="en-GB"/>
        </w:rPr>
        <w:t xml:space="preserve"> “</w:t>
      </w:r>
      <w:r w:rsidRPr="006A7479">
        <w:rPr>
          <w:szCs w:val="22"/>
          <w:lang w:eastAsia="zh-CN"/>
        </w:rPr>
        <w:t xml:space="preserve">Common </w:t>
      </w:r>
      <w:r w:rsidRPr="006A7479">
        <w:rPr>
          <w:szCs w:val="22"/>
        </w:rPr>
        <w:t>t</w:t>
      </w:r>
      <w:r w:rsidRPr="006A7479">
        <w:rPr>
          <w:szCs w:val="22"/>
          <w:lang w:eastAsia="zh-CN"/>
        </w:rPr>
        <w:t xml:space="preserve">est </w:t>
      </w:r>
      <w:r w:rsidRPr="006A7479">
        <w:rPr>
          <w:szCs w:val="22"/>
        </w:rPr>
        <w:t>c</w:t>
      </w:r>
      <w:r w:rsidRPr="006A7479">
        <w:rPr>
          <w:szCs w:val="22"/>
          <w:lang w:eastAsia="zh-CN"/>
        </w:rPr>
        <w:t xml:space="preserve">onditions of 3DV </w:t>
      </w:r>
      <w:r w:rsidRPr="006A7479">
        <w:rPr>
          <w:szCs w:val="22"/>
        </w:rPr>
        <w:t>c</w:t>
      </w:r>
      <w:r w:rsidRPr="006A7479">
        <w:rPr>
          <w:szCs w:val="22"/>
          <w:lang w:eastAsia="zh-CN"/>
        </w:rPr>
        <w:t xml:space="preserve">ore </w:t>
      </w:r>
      <w:r w:rsidRPr="006A7479">
        <w:rPr>
          <w:szCs w:val="22"/>
        </w:rPr>
        <w:t>e</w:t>
      </w:r>
      <w:r w:rsidRPr="006A7479">
        <w:rPr>
          <w:szCs w:val="22"/>
          <w:lang w:eastAsia="zh-CN"/>
        </w:rPr>
        <w:t>xperiments</w:t>
      </w:r>
      <w:r w:rsidRPr="006A7479">
        <w:rPr>
          <w:szCs w:val="22"/>
          <w:lang w:val="en-GB"/>
        </w:rPr>
        <w:t>,” Document of Joint Collaborative Team on 3D Video Coding Extension Development, JCT3V-</w:t>
      </w:r>
      <w:r>
        <w:rPr>
          <w:szCs w:val="22"/>
          <w:lang w:val="en-GB"/>
        </w:rPr>
        <w:t>G</w:t>
      </w:r>
      <w:r w:rsidRPr="006A7479">
        <w:rPr>
          <w:szCs w:val="22"/>
          <w:lang w:val="en-GB"/>
        </w:rPr>
        <w:t xml:space="preserve">1100, </w:t>
      </w:r>
      <w:r>
        <w:rPr>
          <w:szCs w:val="22"/>
          <w:lang w:val="en-GB"/>
        </w:rPr>
        <w:t>Jan.</w:t>
      </w:r>
      <w:r w:rsidRPr="006A7479">
        <w:rPr>
          <w:szCs w:val="22"/>
          <w:lang w:val="en-GB"/>
        </w:rPr>
        <w:t xml:space="preserve"> 201</w:t>
      </w:r>
      <w:r>
        <w:rPr>
          <w:szCs w:val="22"/>
          <w:lang w:val="en-GB"/>
        </w:rPr>
        <w:t>4</w:t>
      </w:r>
      <w:r w:rsidRPr="006A7479">
        <w:rPr>
          <w:szCs w:val="22"/>
          <w:lang w:val="en-GB"/>
        </w:rPr>
        <w:t>.</w:t>
      </w:r>
    </w:p>
    <w:p w:rsidR="007F1F8B" w:rsidRPr="00024FD6" w:rsidRDefault="007F1F8B" w:rsidP="00024FD6">
      <w:pPr>
        <w:spacing w:before="0"/>
        <w:rPr>
          <w:szCs w:val="22"/>
          <w:lang w:val="en-CA"/>
        </w:rPr>
      </w:pPr>
    </w:p>
    <w:sectPr w:rsidR="007F1F8B" w:rsidRPr="00024FD6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8D6" w:rsidRDefault="003F08D6">
      <w:r>
        <w:separator/>
      </w:r>
    </w:p>
  </w:endnote>
  <w:endnote w:type="continuationSeparator" w:id="0">
    <w:p w:rsidR="003F08D6" w:rsidRDefault="003F0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869A9">
      <w:rPr>
        <w:rStyle w:val="a5"/>
      </w:rPr>
      <w:fldChar w:fldCharType="begin"/>
    </w:r>
    <w:r>
      <w:rPr>
        <w:rStyle w:val="a5"/>
      </w:rPr>
      <w:instrText xml:space="preserve"> PAGE </w:instrText>
    </w:r>
    <w:r w:rsidR="00A869A9">
      <w:rPr>
        <w:rStyle w:val="a5"/>
      </w:rPr>
      <w:fldChar w:fldCharType="separate"/>
    </w:r>
    <w:r w:rsidR="0047505E">
      <w:rPr>
        <w:rStyle w:val="a5"/>
        <w:noProof/>
      </w:rPr>
      <w:t>1</w:t>
    </w:r>
    <w:r w:rsidR="00A869A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869A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869A9">
      <w:rPr>
        <w:rStyle w:val="a5"/>
      </w:rPr>
      <w:fldChar w:fldCharType="separate"/>
    </w:r>
    <w:r w:rsidR="0047505E">
      <w:rPr>
        <w:rStyle w:val="a5"/>
        <w:noProof/>
      </w:rPr>
      <w:t>2014-10-10</w:t>
    </w:r>
    <w:r w:rsidR="00A869A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8D6" w:rsidRDefault="003F08D6">
      <w:r>
        <w:separator/>
      </w:r>
    </w:p>
  </w:footnote>
  <w:footnote w:type="continuationSeparator" w:id="0">
    <w:p w:rsidR="003F08D6" w:rsidRDefault="003F08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0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5E860EA7"/>
    <w:multiLevelType w:val="multilevel"/>
    <w:tmpl w:val="EE04B4FE"/>
    <w:numStyleLink w:val="3DNumbering"/>
  </w:abstractNum>
  <w:abstractNum w:abstractNumId="12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9"/>
  </w:num>
  <w:num w:numId="11">
    <w:abstractNumId w:val="12"/>
  </w:num>
  <w:num w:numId="12">
    <w:abstractNumId w:val="6"/>
  </w:num>
  <w:num w:numId="13">
    <w:abstractNumId w:val="13"/>
  </w:num>
  <w:num w:numId="14">
    <w:abstractNumId w:val="7"/>
  </w:num>
  <w:num w:numId="15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22D3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614F"/>
    <w:rsid w:val="0008244C"/>
    <w:rsid w:val="0008289C"/>
    <w:rsid w:val="00086A78"/>
    <w:rsid w:val="00090B96"/>
    <w:rsid w:val="000A3CDD"/>
    <w:rsid w:val="000B1C6B"/>
    <w:rsid w:val="000B4FF9"/>
    <w:rsid w:val="000C09AC"/>
    <w:rsid w:val="000C274B"/>
    <w:rsid w:val="000D7CD9"/>
    <w:rsid w:val="000E00F3"/>
    <w:rsid w:val="000E6EB8"/>
    <w:rsid w:val="000F158C"/>
    <w:rsid w:val="000F16DD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1DC4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1FA3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D1BD2"/>
    <w:rsid w:val="001D615D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35185"/>
    <w:rsid w:val="00263398"/>
    <w:rsid w:val="0026581D"/>
    <w:rsid w:val="00275BCF"/>
    <w:rsid w:val="00281CD2"/>
    <w:rsid w:val="00284310"/>
    <w:rsid w:val="00292257"/>
    <w:rsid w:val="00295922"/>
    <w:rsid w:val="002A54E0"/>
    <w:rsid w:val="002A5769"/>
    <w:rsid w:val="002B1595"/>
    <w:rsid w:val="002B191D"/>
    <w:rsid w:val="002C725B"/>
    <w:rsid w:val="002D0AF6"/>
    <w:rsid w:val="002E2707"/>
    <w:rsid w:val="002E5CDC"/>
    <w:rsid w:val="002F164D"/>
    <w:rsid w:val="002F3CC3"/>
    <w:rsid w:val="002F550C"/>
    <w:rsid w:val="003021A4"/>
    <w:rsid w:val="00304D47"/>
    <w:rsid w:val="00306206"/>
    <w:rsid w:val="003142E6"/>
    <w:rsid w:val="00314CE4"/>
    <w:rsid w:val="00317D85"/>
    <w:rsid w:val="00320E8C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1C3C"/>
    <w:rsid w:val="00372C10"/>
    <w:rsid w:val="00377710"/>
    <w:rsid w:val="003835EB"/>
    <w:rsid w:val="00390BFC"/>
    <w:rsid w:val="0039182E"/>
    <w:rsid w:val="003A2D8E"/>
    <w:rsid w:val="003B5B08"/>
    <w:rsid w:val="003B5C4C"/>
    <w:rsid w:val="003B78A9"/>
    <w:rsid w:val="003C0949"/>
    <w:rsid w:val="003C20E4"/>
    <w:rsid w:val="003D400F"/>
    <w:rsid w:val="003D4091"/>
    <w:rsid w:val="003D57CD"/>
    <w:rsid w:val="003E048A"/>
    <w:rsid w:val="003E6F90"/>
    <w:rsid w:val="003F08D6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505E"/>
    <w:rsid w:val="00476E7B"/>
    <w:rsid w:val="00485F38"/>
    <w:rsid w:val="00497ED2"/>
    <w:rsid w:val="004A2A63"/>
    <w:rsid w:val="004B210C"/>
    <w:rsid w:val="004B2F0B"/>
    <w:rsid w:val="004C0DA8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1015C"/>
    <w:rsid w:val="00510820"/>
    <w:rsid w:val="00511E53"/>
    <w:rsid w:val="0051321F"/>
    <w:rsid w:val="00516CF1"/>
    <w:rsid w:val="005203B7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C6B13"/>
    <w:rsid w:val="005D096C"/>
    <w:rsid w:val="005D3E3E"/>
    <w:rsid w:val="005D40FD"/>
    <w:rsid w:val="005D5E66"/>
    <w:rsid w:val="005D6942"/>
    <w:rsid w:val="005E1AC6"/>
    <w:rsid w:val="005E6958"/>
    <w:rsid w:val="005F06BF"/>
    <w:rsid w:val="005F4348"/>
    <w:rsid w:val="005F6F1B"/>
    <w:rsid w:val="00600F1D"/>
    <w:rsid w:val="00610D43"/>
    <w:rsid w:val="00616CD2"/>
    <w:rsid w:val="00624B33"/>
    <w:rsid w:val="00630AA2"/>
    <w:rsid w:val="00634D72"/>
    <w:rsid w:val="00636001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2EBD"/>
    <w:rsid w:val="006C5D39"/>
    <w:rsid w:val="006E2810"/>
    <w:rsid w:val="006E44B1"/>
    <w:rsid w:val="006E5417"/>
    <w:rsid w:val="006E68F9"/>
    <w:rsid w:val="006F2B98"/>
    <w:rsid w:val="006F5353"/>
    <w:rsid w:val="006F5ACF"/>
    <w:rsid w:val="00700A7E"/>
    <w:rsid w:val="00712F60"/>
    <w:rsid w:val="00720E3B"/>
    <w:rsid w:val="007272B6"/>
    <w:rsid w:val="00731EEB"/>
    <w:rsid w:val="00742DEB"/>
    <w:rsid w:val="00743395"/>
    <w:rsid w:val="00745F6B"/>
    <w:rsid w:val="00746ADD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178A"/>
    <w:rsid w:val="007B1BF6"/>
    <w:rsid w:val="007B4AB8"/>
    <w:rsid w:val="007C51A6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174E3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A56DA"/>
    <w:rsid w:val="008C239F"/>
    <w:rsid w:val="008C2CE9"/>
    <w:rsid w:val="008D2458"/>
    <w:rsid w:val="008E480C"/>
    <w:rsid w:val="008F7B23"/>
    <w:rsid w:val="009055FB"/>
    <w:rsid w:val="00905B0F"/>
    <w:rsid w:val="00907757"/>
    <w:rsid w:val="009212B0"/>
    <w:rsid w:val="009234A5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1FF4"/>
    <w:rsid w:val="0099518F"/>
    <w:rsid w:val="009979F3"/>
    <w:rsid w:val="009A039E"/>
    <w:rsid w:val="009A10A0"/>
    <w:rsid w:val="009A1298"/>
    <w:rsid w:val="009A3ACF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529D"/>
    <w:rsid w:val="00A44502"/>
    <w:rsid w:val="00A452B1"/>
    <w:rsid w:val="00A5610D"/>
    <w:rsid w:val="00A56B97"/>
    <w:rsid w:val="00A6093D"/>
    <w:rsid w:val="00A643DB"/>
    <w:rsid w:val="00A75902"/>
    <w:rsid w:val="00A76A6D"/>
    <w:rsid w:val="00A83253"/>
    <w:rsid w:val="00A869A9"/>
    <w:rsid w:val="00A95ED8"/>
    <w:rsid w:val="00A97701"/>
    <w:rsid w:val="00AA5174"/>
    <w:rsid w:val="00AA6E84"/>
    <w:rsid w:val="00AB2494"/>
    <w:rsid w:val="00AC1AFC"/>
    <w:rsid w:val="00AC67F4"/>
    <w:rsid w:val="00AD38D1"/>
    <w:rsid w:val="00AE0252"/>
    <w:rsid w:val="00AE341B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7C26"/>
    <w:rsid w:val="00B92CB5"/>
    <w:rsid w:val="00B94B06"/>
    <w:rsid w:val="00B94C28"/>
    <w:rsid w:val="00BB46EC"/>
    <w:rsid w:val="00BB7BA0"/>
    <w:rsid w:val="00BC10BA"/>
    <w:rsid w:val="00BC1F94"/>
    <w:rsid w:val="00BC5978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27417"/>
    <w:rsid w:val="00C30249"/>
    <w:rsid w:val="00C33299"/>
    <w:rsid w:val="00C3723B"/>
    <w:rsid w:val="00C46DBB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220D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C50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5942"/>
    <w:rsid w:val="00D570E3"/>
    <w:rsid w:val="00D675DC"/>
    <w:rsid w:val="00D76F5F"/>
    <w:rsid w:val="00D807BF"/>
    <w:rsid w:val="00D81E98"/>
    <w:rsid w:val="00DA7887"/>
    <w:rsid w:val="00DB06B3"/>
    <w:rsid w:val="00DB100E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63AA"/>
    <w:rsid w:val="00DF6C2B"/>
    <w:rsid w:val="00DF75C6"/>
    <w:rsid w:val="00E013D7"/>
    <w:rsid w:val="00E0657A"/>
    <w:rsid w:val="00E10CA3"/>
    <w:rsid w:val="00E11292"/>
    <w:rsid w:val="00E11923"/>
    <w:rsid w:val="00E21F20"/>
    <w:rsid w:val="00E262D4"/>
    <w:rsid w:val="00E27631"/>
    <w:rsid w:val="00E30B6C"/>
    <w:rsid w:val="00E36250"/>
    <w:rsid w:val="00E431A2"/>
    <w:rsid w:val="00E463CF"/>
    <w:rsid w:val="00E50189"/>
    <w:rsid w:val="00E50342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6089"/>
    <w:rsid w:val="00EB71B7"/>
    <w:rsid w:val="00EB7AB1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32B77"/>
    <w:rsid w:val="00F41795"/>
    <w:rsid w:val="00F44996"/>
    <w:rsid w:val="00F51463"/>
    <w:rsid w:val="00F534D7"/>
    <w:rsid w:val="00F60E93"/>
    <w:rsid w:val="00F73032"/>
    <w:rsid w:val="00F82F6F"/>
    <w:rsid w:val="00F848FC"/>
    <w:rsid w:val="00F9282A"/>
    <w:rsid w:val="00F96BAD"/>
    <w:rsid w:val="00FA07E5"/>
    <w:rsid w:val="00FA0D66"/>
    <w:rsid w:val="00FB0E84"/>
    <w:rsid w:val="00FB16DF"/>
    <w:rsid w:val="00FC08E6"/>
    <w:rsid w:val="00FC389D"/>
    <w:rsid w:val="00FC704C"/>
    <w:rsid w:val="00FC77E7"/>
    <w:rsid w:val="00FD01C2"/>
    <w:rsid w:val="00FE0683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3446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3281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36</cp:revision>
  <dcterms:created xsi:type="dcterms:W3CDTF">2014-07-28T04:39:00Z</dcterms:created>
  <dcterms:modified xsi:type="dcterms:W3CDTF">2014-10-10T11:00:00Z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