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43616C29" w:rsidR="008A4B4C" w:rsidRPr="005B217D" w:rsidRDefault="00E61DAC" w:rsidP="00DB0E3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DB0E33" w:rsidRPr="00DB0E33">
              <w:rPr>
                <w:lang w:val="en-CA"/>
              </w:rPr>
              <w:t>0058</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459E88D6" w:rsidR="00E61DAC" w:rsidRPr="005B217D" w:rsidRDefault="00F51DF8" w:rsidP="00DA5620">
            <w:pPr>
              <w:spacing w:before="60" w:after="60"/>
              <w:rPr>
                <w:b/>
                <w:szCs w:val="22"/>
                <w:lang w:val="en-CA"/>
              </w:rPr>
            </w:pPr>
            <w:r>
              <w:rPr>
                <w:b/>
                <w:szCs w:val="22"/>
                <w:lang w:val="en-CA"/>
              </w:rPr>
              <w:t>Segment-wise Prediction (SP) Merge Candidate</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C4F8F95" w14:textId="77777777" w:rsidR="00E61DAC" w:rsidRDefault="00CB6752">
            <w:pPr>
              <w:spacing w:before="60" w:after="60"/>
              <w:rPr>
                <w:szCs w:val="22"/>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p w14:paraId="078EA9B5" w14:textId="23442D42" w:rsidR="00F51DF8" w:rsidRPr="005B217D" w:rsidRDefault="00F51DF8">
            <w:pPr>
              <w:spacing w:before="60" w:after="60"/>
              <w:rPr>
                <w:szCs w:val="22"/>
                <w:lang w:val="en-CA"/>
              </w:rPr>
            </w:pPr>
            <w:proofErr w:type="spellStart"/>
            <w:r>
              <w:rPr>
                <w:szCs w:val="22"/>
              </w:rPr>
              <w:t>Jacek</w:t>
            </w:r>
            <w:proofErr w:type="spellEnd"/>
            <w:r>
              <w:rPr>
                <w:szCs w:val="22"/>
              </w:rPr>
              <w:t xml:space="preserve"> </w:t>
            </w:r>
            <w:proofErr w:type="spellStart"/>
            <w:r w:rsidRPr="00A64931">
              <w:rPr>
                <w:szCs w:val="22"/>
              </w:rPr>
              <w:t>Konieczny</w:t>
            </w:r>
            <w:proofErr w:type="spellEnd"/>
            <w:r>
              <w:rPr>
                <w:szCs w:val="22"/>
              </w:rPr>
              <w:t xml:space="preserve">, Giovanni </w:t>
            </w:r>
            <w:proofErr w:type="spellStart"/>
            <w:r>
              <w:rPr>
                <w:szCs w:val="22"/>
              </w:rPr>
              <w:t>Cordara</w:t>
            </w:r>
            <w:proofErr w:type="spellEnd"/>
            <w:r>
              <w:rPr>
                <w:szCs w:val="22"/>
              </w:rPr>
              <w:br/>
            </w:r>
            <w:r>
              <w:t>Huawei</w:t>
            </w:r>
            <w:r w:rsidRPr="00A64931">
              <w:t xml:space="preserve"> </w:t>
            </w:r>
            <w:r>
              <w:t>Technologies</w:t>
            </w:r>
            <w:r>
              <w:br/>
            </w:r>
            <w:r w:rsidRPr="00A64931">
              <w:t>Munich Office, European Research Center</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6E40F9AE" w14:textId="33962F04" w:rsidR="00F51DF8" w:rsidRPr="00F51DF8" w:rsidRDefault="00CB6752" w:rsidP="005952A5">
            <w:pPr>
              <w:spacing w:before="60" w:after="60"/>
              <w:rPr>
                <w:color w:val="0000FF"/>
                <w:szCs w:val="22"/>
                <w:u w:val="single"/>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p w14:paraId="390353FD" w14:textId="53240401" w:rsidR="00F51DF8" w:rsidRPr="005B217D" w:rsidRDefault="00F51DF8" w:rsidP="005952A5">
            <w:pPr>
              <w:spacing w:before="60" w:after="60"/>
              <w:rPr>
                <w:szCs w:val="22"/>
                <w:lang w:val="en-CA"/>
              </w:rPr>
            </w:pPr>
            <w:r>
              <w:rPr>
                <w:szCs w:val="22"/>
                <w:lang w:val="en-CA"/>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hyperlink r:id="rId11" w:history="1">
              <w:r w:rsidRPr="00777100">
                <w:rPr>
                  <w:rStyle w:val="Link"/>
                  <w:szCs w:val="22"/>
                  <w:lang w:val="en-CA"/>
                </w:rPr>
                <w:t>jacek.konieczny@huawei.com</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2473F178" w14:textId="08521FC2" w:rsidR="00263398" w:rsidRPr="00DA5620" w:rsidRDefault="005A601C" w:rsidP="009234A5">
      <w:pPr>
        <w:jc w:val="both"/>
      </w:pPr>
      <w:r>
        <w:rPr>
          <w:lang w:val="en-CA"/>
        </w:rPr>
        <w:t>At the 6</w:t>
      </w:r>
      <w:r w:rsidRPr="00595A55">
        <w:rPr>
          <w:vertAlign w:val="superscript"/>
          <w:lang w:val="en-CA"/>
        </w:rPr>
        <w:t>th</w:t>
      </w:r>
      <w:r>
        <w:rPr>
          <w:lang w:val="en-CA"/>
        </w:rPr>
        <w:t xml:space="preserve"> JCT-3V meeting, a motion/disparity prediction method was introduced in JCT3V-G0106 </w:t>
      </w:r>
      <w:r>
        <w:rPr>
          <w:lang w:val="en-CA"/>
        </w:rPr>
        <w:fldChar w:fldCharType="begin"/>
      </w:r>
      <w:r w:rsidR="00646CED">
        <w:rPr>
          <w:lang w:val="en-CA"/>
        </w:rPr>
        <w:instrText xml:space="preserve"> ADDIN PAPERS2_CITATIONS &lt;citation&gt;&lt;uuid&gt;04D1A384-DFE8-4AF9-A82E-29750B033007&lt;/uuid&gt;&lt;priority&gt;0&lt;/priority&gt;&lt;publications&gt;&lt;publication&gt;&lt;location&gt;&amp;lt;html&amp;gt;&amp;lt;head&amp;gt;&amp;lt;meta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Pr>
          <w:lang w:val="en-CA"/>
        </w:rPr>
        <w:fldChar w:fldCharType="separate"/>
      </w:r>
      <w:r>
        <w:rPr>
          <w:szCs w:val="22"/>
          <w:lang w:val="de-DE" w:eastAsia="de-DE"/>
        </w:rPr>
        <w:t>[1]</w:t>
      </w:r>
      <w:r>
        <w:rPr>
          <w:lang w:val="en-CA"/>
        </w:rPr>
        <w:fldChar w:fldCharType="end"/>
      </w:r>
      <w:r>
        <w:rPr>
          <w:lang w:val="en-CA"/>
        </w:rPr>
        <w:t xml:space="preserve"> that uses a depth-derived binary segmentation mask for the derivation of PU partitioning and for merging of two prediction signals. The method is called Depth-based Block Partitioning (DBBP). The segmentation process in JCT3V-G0106 results in two segments, which motion information is coded as a conventional bi-partitioned coding unit with two sets of motion information. </w:t>
      </w:r>
      <w:r w:rsidR="0063312E">
        <w:rPr>
          <w:lang w:val="en-CA"/>
        </w:rPr>
        <w:t xml:space="preserve">This contribution proposed to use the same prediction method as a new Segment-wise Prediction (SP) merge candidate. The corresponding two sets motion information </w:t>
      </w:r>
      <w:proofErr w:type="gramStart"/>
      <w:r w:rsidR="0063312E">
        <w:rPr>
          <w:lang w:val="en-CA"/>
        </w:rPr>
        <w:t>are</w:t>
      </w:r>
      <w:proofErr w:type="gramEnd"/>
      <w:r w:rsidR="0063312E">
        <w:rPr>
          <w:lang w:val="en-CA"/>
        </w:rPr>
        <w:t xml:space="preserve"> derived from the already checked merge candidate positions. The proposed method yields </w:t>
      </w:r>
      <w:r w:rsidR="00495E7B">
        <w:rPr>
          <w:lang w:val="en-CA"/>
        </w:rPr>
        <w:t>0.12%</w:t>
      </w:r>
      <w:r w:rsidR="0063312E">
        <w:rPr>
          <w:lang w:val="en-CA"/>
        </w:rPr>
        <w:t xml:space="preserve"> coding efficiency gain under common test conditions</w:t>
      </w:r>
      <w:r w:rsidR="00495E7B">
        <w:rPr>
          <w:lang w:val="en-CA"/>
        </w:rPr>
        <w:t xml:space="preserve"> for video PSNR over total bitrate</w:t>
      </w:r>
      <w:r w:rsidR="0063312E">
        <w:rPr>
          <w:lang w:val="en-CA"/>
        </w:rPr>
        <w:t>.</w:t>
      </w:r>
    </w:p>
    <w:p w14:paraId="4C68715D" w14:textId="77777777" w:rsidR="00806501" w:rsidRPr="005B217D" w:rsidRDefault="00806501" w:rsidP="00806501">
      <w:pPr>
        <w:pStyle w:val="berschrift1"/>
        <w:rPr>
          <w:lang w:val="en-CA"/>
        </w:rPr>
      </w:pPr>
      <w:r>
        <w:rPr>
          <w:lang w:val="en-CA"/>
        </w:rPr>
        <w:t>Depth-based Block Partitioning Algorithm</w:t>
      </w:r>
    </w:p>
    <w:p w14:paraId="5DD1C983" w14:textId="77777777" w:rsidR="00806501" w:rsidRDefault="00806501" w:rsidP="00806501">
      <w:pPr>
        <w:jc w:val="both"/>
      </w:pPr>
      <w:r w:rsidRPr="008B050B">
        <w:t>The proposed algorithm for using depth information for block partitioning in texture views consists of three sequential steps, which will be described in more detail in the following section.</w:t>
      </w:r>
    </w:p>
    <w:p w14:paraId="542C806E" w14:textId="77777777" w:rsidR="00806501" w:rsidRDefault="00806501" w:rsidP="00806501">
      <w:pPr>
        <w:pStyle w:val="berschrift2"/>
      </w:pPr>
      <w:r>
        <w:t>Depth Segmentation</w:t>
      </w:r>
    </w:p>
    <w:p w14:paraId="4A47CDA2" w14:textId="77777777" w:rsidR="00806501" w:rsidRDefault="00806501" w:rsidP="00806501">
      <w:r w:rsidRPr="006C2A55">
        <w:t>In an initial step the collocated depth block of the current coded tree block (CTB) of the texture component is segmented into two arbitrarily shaped segments.</w:t>
      </w:r>
      <w:r>
        <w:t xml:space="preserve"> As the depth component is coded after the corresponding texture view in the current CTC, a virtual depth map is derived from the base view’s reconstructed depth and shifted by a disparity vector, which is itself derived from the neighboring blocks (by means of </w:t>
      </w:r>
      <w:proofErr w:type="spellStart"/>
      <w:r>
        <w:t>DoNBDV</w:t>
      </w:r>
      <w:proofErr w:type="spellEnd"/>
      <w:r>
        <w:t>).</w:t>
      </w:r>
    </w:p>
    <w:p w14:paraId="3FA8993E" w14:textId="77777777" w:rsidR="00806501" w:rsidRPr="006C2A55" w:rsidRDefault="00806501" w:rsidP="00806501">
      <w:r w:rsidRPr="006C2A55">
        <w:t>The segmentation</w:t>
      </w:r>
      <w:r>
        <w:t xml:space="preserve"> of the (virtual) depth map</w:t>
      </w:r>
      <w:r w:rsidRPr="006C2A55">
        <w:t xml:space="preserve"> is performed based on a very simple thresholding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420BADC0" w14:textId="77777777" w:rsidR="00806501" w:rsidRPr="006C2A55" w:rsidRDefault="0000448E" w:rsidP="00806501">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55156A80" w14:textId="77777777" w:rsidR="00806501" w:rsidRPr="006C2A55" w:rsidRDefault="00806501" w:rsidP="00806501">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m:t>
            </m:r>
            <w:proofErr w:type="gramStart"/>
            <m:r>
              <w:rPr>
                <w:rFonts w:ascii="Cambria Math" w:hAnsi="Cambria Math"/>
              </w:rPr>
              <m:t>,y</m:t>
            </m:r>
            <w:proofErr w:type="gramEnd"/>
          </m:e>
        </m:d>
      </m:oMath>
      <w:r w:rsidRPr="006C2A55">
        <w:t xml:space="preserve"> resembles the already coded, corresponding depth map of the </w:t>
      </w:r>
      <w:r>
        <w:t>reference view’s</w:t>
      </w:r>
      <w:r w:rsidRPr="006C2A55">
        <w:t xml:space="preserve"> texture frame.</w:t>
      </w:r>
    </w:p>
    <w:p w14:paraId="31A3A2D7" w14:textId="77777777" w:rsidR="00806501" w:rsidRPr="006C2A55" w:rsidRDefault="00806501" w:rsidP="00806501">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rsidRPr="006C2A55">
        <w:t xml:space="preserve"> is generated based on </w:t>
      </w:r>
      <m:oMath>
        <m:r>
          <w:rPr>
            <w:rFonts w:ascii="Cambria Math" w:hAnsi="Cambria Math"/>
          </w:rPr>
          <m:t>d</m:t>
        </m:r>
      </m:oMath>
      <w:r w:rsidRPr="006C2A55">
        <w:t xml:space="preserve"> as follows.</w:t>
      </w:r>
    </w:p>
    <w:p w14:paraId="6DAAF2FC" w14:textId="77777777" w:rsidR="00806501" w:rsidRPr="006C2A55" w:rsidRDefault="0000448E" w:rsidP="00806501">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5238A86E" w14:textId="77777777" w:rsidR="00806501" w:rsidRDefault="00806501" w:rsidP="00806501">
      <w:r w:rsidRPr="006C2A55">
        <w:t xml:space="preserve">The resulting binary segmentation mask defines the shape of the partitioning of the texture </w:t>
      </w:r>
      <w:r>
        <w:t>block</w:t>
      </w:r>
      <w:r w:rsidRPr="006C2A55">
        <w:t>. While motion or disparity compensation in a modern video coder (e.g. in HEVC) is performed on a block-</w:t>
      </w:r>
      <w:r w:rsidRPr="00293746">
        <w:t>basis</w:t>
      </w:r>
      <w:r w:rsidRPr="006C2A55">
        <w:t xml:space="preserve">, an arbitrarily shaped block partitioning typically requires pixel-based compensation. This concept is applied in </w:t>
      </w:r>
      <w:r>
        <w:t xml:space="preserve">pixel-based </w:t>
      </w:r>
      <w:r w:rsidRPr="006C2A55">
        <w:t xml:space="preserve">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w:t>
      </w:r>
      <w:r>
        <w:t xml:space="preserve">pixel-based </w:t>
      </w:r>
      <w:r w:rsidRPr="006C2A55">
        <w:t>VSP introduces very high complexity compared to conventional block-based motion/disparity compensation. This is mainly due to the irregular access to the reference buffer and the pixel-wise conversion between depth and disparity.</w:t>
      </w:r>
    </w:p>
    <w:p w14:paraId="62A2599A" w14:textId="77777777" w:rsidR="00806501" w:rsidRDefault="00806501" w:rsidP="00806501">
      <w:pPr>
        <w:keepNext/>
        <w:jc w:val="center"/>
      </w:pPr>
      <w:r>
        <w:rPr>
          <w:noProof/>
          <w:lang w:val="de-DE" w:eastAsia="de-DE"/>
        </w:rPr>
        <w:drawing>
          <wp:inline distT="0" distB="0" distL="0" distR="0" wp14:anchorId="1FD78437" wp14:editId="29F7ECA7">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09545A64" w14:textId="77777777" w:rsidR="00806501" w:rsidRPr="006C2A55" w:rsidRDefault="00806501" w:rsidP="00806501">
      <w:pPr>
        <w:pStyle w:val="Beschriftung"/>
        <w:jc w:val="center"/>
      </w:pPr>
      <w:r>
        <w:t xml:space="preserve">Figure </w:t>
      </w:r>
      <w:r>
        <w:fldChar w:fldCharType="begin"/>
      </w:r>
      <w:r>
        <w:instrText xml:space="preserve"> SEQ Figure \* ARABIC </w:instrText>
      </w:r>
      <w:r>
        <w:fldChar w:fldCharType="separate"/>
      </w:r>
      <w:r w:rsidR="00EF193B">
        <w:rPr>
          <w:noProof/>
        </w:rPr>
        <w:t>1</w:t>
      </w:r>
      <w:r>
        <w:fldChar w:fldCharType="end"/>
      </w:r>
      <w:r>
        <w:t xml:space="preserve">: </w:t>
      </w:r>
      <w:r w:rsidRPr="00AE6B29">
        <w:t xml:space="preserve">Cropped frame from </w:t>
      </w:r>
      <w:proofErr w:type="spellStart"/>
      <w:r w:rsidRPr="00AE6B29">
        <w:rPr>
          <w:i/>
        </w:rPr>
        <w:t>Undo_Dancer</w:t>
      </w:r>
      <w:proofErr w:type="spellEnd"/>
      <w:r w:rsidRPr="00AE6B29">
        <w:t xml:space="preserve"> test sequence with magnified component blocks of an </w:t>
      </w:r>
      <w:proofErr w:type="gramStart"/>
      <w:r w:rsidRPr="00AE6B29">
        <w:t>example coding</w:t>
      </w:r>
      <w:proofErr w:type="gramEnd"/>
      <w:r w:rsidRPr="00AE6B29">
        <w:t xml:space="preserve">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AE6B29">
        <w:t>.</w:t>
      </w:r>
    </w:p>
    <w:p w14:paraId="041C61F5" w14:textId="77777777" w:rsidR="00806501" w:rsidRDefault="00806501" w:rsidP="00806501">
      <w:r w:rsidRPr="006C2A55">
        <w:t>To overcome this issue of VSP, the proposed depth-based block-partitioning (DBBP) scheme still uses block-based compensation in the prediction stage, as it is described in the following subsection.</w:t>
      </w:r>
    </w:p>
    <w:p w14:paraId="4FE6AD40" w14:textId="77777777" w:rsidR="00806501" w:rsidRDefault="00806501" w:rsidP="00806501">
      <w:pPr>
        <w:pStyle w:val="berschrift2"/>
      </w:pPr>
      <w:r>
        <w:t>Block-based Compensation</w:t>
      </w:r>
    </w:p>
    <w:p w14:paraId="5F914165" w14:textId="77777777" w:rsidR="00806501" w:rsidRDefault="00806501" w:rsidP="00806501">
      <w:r>
        <w:t xml:space="preserve">In the proposed DBBP scheme, the actual motion or disparity compensation is performed on a </w:t>
      </w:r>
      <m:oMath>
        <m:r>
          <w:rPr>
            <w:rFonts w:ascii="Cambria Math" w:hAnsi="Cambria Math"/>
          </w:rPr>
          <m:t>2Nx2N</m:t>
        </m:r>
      </m:oMath>
      <w:r>
        <w:t xml:space="preserve"> partitioning, which means that the full CTB is shifted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6286B507" w14:textId="77777777" w:rsidR="00806501" w:rsidRDefault="00806501" w:rsidP="00806501">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64DBB89D" w14:textId="77777777" w:rsidR="00806501" w:rsidRDefault="00806501" w:rsidP="00806501">
      <w:pPr>
        <w:pStyle w:val="berschrift2"/>
      </w:pPr>
      <w:r>
        <w:t>Merging of Prediction Signals</w:t>
      </w:r>
    </w:p>
    <w:p w14:paraId="5C464E87" w14:textId="77777777" w:rsidR="00806501" w:rsidRDefault="00806501" w:rsidP="00806501">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103F75AD" w14:textId="77777777" w:rsidR="00806501" w:rsidRPr="00A22CB3" w:rsidRDefault="0000448E" w:rsidP="00806501">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6D921F26" w14:textId="77777777" w:rsidR="00806501" w:rsidRDefault="00806501" w:rsidP="00806501">
      <w:r w:rsidRPr="00A22CB3">
        <w:lastRenderedPageBreak/>
        <w:t xml:space="preserve">By merging the two prediction signals, shape information from the depth map allows to independently compensate foreground and background objects in the same texture </w:t>
      </w:r>
      <w:r>
        <w:t>block</w:t>
      </w:r>
      <w:r w:rsidRPr="00A22CB3">
        <w:t>. At the same time, DBBP does not require pixel-wise motion/disparity compensation. Memory access to the reference buffers is always regular (block-based) for DBBP-coded blocks in contrast to approaches like VSP. Moreover, DBBP always uses full-size blocks for compensation. This is preferable with respect to complexity, because of the higher probability of finding the data in the memory cache.</w:t>
      </w:r>
    </w:p>
    <w:p w14:paraId="19C1E294" w14:textId="77777777" w:rsidR="00806501" w:rsidRDefault="00806501" w:rsidP="00806501">
      <w:pPr>
        <w:keepNext/>
        <w:jc w:val="center"/>
      </w:pPr>
      <w:r>
        <w:rPr>
          <w:noProof/>
          <w:lang w:val="de-DE" w:eastAsia="de-DE"/>
        </w:rPr>
        <w:drawing>
          <wp:inline distT="0" distB="0" distL="0" distR="0" wp14:anchorId="273E7EC3" wp14:editId="2391CC3E">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3E1DFF4A" w14:textId="77777777" w:rsidR="00806501" w:rsidRDefault="00806501" w:rsidP="00806501">
      <w:pPr>
        <w:pStyle w:val="Beschriftung"/>
        <w:jc w:val="center"/>
      </w:pPr>
      <w:r>
        <w:t xml:space="preserve">Figure </w:t>
      </w:r>
      <w:r>
        <w:fldChar w:fldCharType="begin"/>
      </w:r>
      <w:r>
        <w:instrText xml:space="preserve"> SEQ Figure \* ARABIC </w:instrText>
      </w:r>
      <w:r>
        <w:fldChar w:fldCharType="separate"/>
      </w:r>
      <w:r w:rsidR="00EF193B">
        <w:rPr>
          <w:noProof/>
        </w:rPr>
        <w:t>2</w:t>
      </w:r>
      <w:r>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45428894" w14:textId="513BCD76" w:rsidR="00C67B52" w:rsidRDefault="00044192" w:rsidP="001C02D6">
      <w:pPr>
        <w:pStyle w:val="berschrift1"/>
        <w:rPr>
          <w:lang w:val="en-CA"/>
        </w:rPr>
      </w:pPr>
      <w:r>
        <w:rPr>
          <w:lang w:val="en-CA"/>
        </w:rPr>
        <w:t>Segment-wise Prediction Merge Candidate</w:t>
      </w:r>
    </w:p>
    <w:p w14:paraId="139844A0" w14:textId="6FDE772C" w:rsidR="00F5784E" w:rsidRDefault="00044192" w:rsidP="00044192">
      <w:pPr>
        <w:pStyle w:val="berschrift2"/>
      </w:pPr>
      <w:r>
        <w:t>Derivation of Motion Information</w:t>
      </w:r>
    </w:p>
    <w:p w14:paraId="48AB5802" w14:textId="77777777" w:rsidR="00EF193B" w:rsidRDefault="00EF193B" w:rsidP="00EF193B">
      <w:pPr>
        <w:keepNext/>
      </w:pPr>
      <w:r>
        <w:rPr>
          <w:noProof/>
          <w:lang w:val="de-DE" w:eastAsia="de-DE"/>
        </w:rPr>
        <w:drawing>
          <wp:inline distT="0" distB="0" distL="0" distR="0" wp14:anchorId="77121DD3" wp14:editId="44A36F56">
            <wp:extent cx="5943600" cy="2169160"/>
            <wp:effectExtent l="0" t="0" r="0" b="0"/>
            <wp:docPr id="28" name="Bild 28" descr="Macintosh HD:Users:jaeger:Desktop:SP_f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SP_fi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169160"/>
                    </a:xfrm>
                    <a:prstGeom prst="rect">
                      <a:avLst/>
                    </a:prstGeom>
                    <a:noFill/>
                    <a:ln>
                      <a:noFill/>
                    </a:ln>
                  </pic:spPr>
                </pic:pic>
              </a:graphicData>
            </a:graphic>
          </wp:inline>
        </w:drawing>
      </w:r>
    </w:p>
    <w:p w14:paraId="3171A548" w14:textId="42AB3180" w:rsidR="00044192" w:rsidRDefault="00EF193B" w:rsidP="00EF193B">
      <w:pPr>
        <w:pStyle w:val="Beschriftung"/>
        <w:jc w:val="center"/>
      </w:pPr>
      <w:r>
        <w:t xml:space="preserve">Figure </w:t>
      </w:r>
      <w:r>
        <w:fldChar w:fldCharType="begin"/>
      </w:r>
      <w:r>
        <w:instrText xml:space="preserve"> SEQ Figure \* ARABIC </w:instrText>
      </w:r>
      <w:r>
        <w:fldChar w:fldCharType="separate"/>
      </w:r>
      <w:r>
        <w:rPr>
          <w:noProof/>
        </w:rPr>
        <w:t>3</w:t>
      </w:r>
      <w:r>
        <w:fldChar w:fldCharType="end"/>
      </w:r>
      <w:r>
        <w:t>: For the SP merge candidate, the conventional merge candidate positions are checked and assigned to one of the two segments, based on the depth-derived segmentation mask.</w:t>
      </w:r>
    </w:p>
    <w:p w14:paraId="1B2FD609" w14:textId="4739B3AB" w:rsidR="00EF193B" w:rsidRDefault="00505226" w:rsidP="00EF193B">
      <w:r>
        <w:t>When the encoder selects the SP merge candidate, the HEVC merge candidates are checked for availability and assigned to one of the two segments, based on the depth-derived segmentation mask. If both segments can be assigned a set of motion information, SP is available as a merge candidate. The prediction mechanism is the same as for DBBP, using the two sets of motion information</w:t>
      </w:r>
      <w:r w:rsidR="00013621">
        <w:t xml:space="preserve"> (first available candidate of each segment)</w:t>
      </w:r>
      <w:r>
        <w:t>.</w:t>
      </w:r>
    </w:p>
    <w:p w14:paraId="707100CD" w14:textId="52241859" w:rsidR="00ED4112" w:rsidRPr="00ED4112" w:rsidRDefault="00ED4112" w:rsidP="00ED4112">
      <w:pPr>
        <w:numPr>
          <w:ilvl w:val="0"/>
          <w:numId w:val="17"/>
        </w:numPr>
        <w:tabs>
          <w:tab w:val="left" w:pos="720"/>
        </w:tabs>
        <w:rPr>
          <w:lang w:val="de-DE"/>
        </w:rPr>
      </w:pPr>
      <w:r w:rsidRPr="00ED4112">
        <w:t>Check conventional neighboring merge candidates for availability and assign</w:t>
      </w:r>
      <w:r>
        <w:t xml:space="preserve"> them</w:t>
      </w:r>
      <w:r w:rsidRPr="00ED4112">
        <w:t xml:space="preserve"> to either segment 0 or segment 1, depending on closest segmentation mask corner value</w:t>
      </w:r>
      <w:r>
        <w:t>.</w:t>
      </w:r>
    </w:p>
    <w:p w14:paraId="3A389921" w14:textId="4DC6F775" w:rsidR="00ED4112" w:rsidRPr="00ED4112" w:rsidRDefault="00ED4112" w:rsidP="00ED4112">
      <w:pPr>
        <w:numPr>
          <w:ilvl w:val="0"/>
          <w:numId w:val="17"/>
        </w:numPr>
        <w:tabs>
          <w:tab w:val="left" w:pos="720"/>
        </w:tabs>
        <w:rPr>
          <w:lang w:val="de-DE"/>
        </w:rPr>
      </w:pPr>
      <w:r w:rsidRPr="00ED4112">
        <w:t>If motion info for both segments is found, add segment prediction (SP) merge candidate to the merge candidate list</w:t>
      </w:r>
      <w:r>
        <w:t>.</w:t>
      </w:r>
    </w:p>
    <w:p w14:paraId="28576D1E" w14:textId="65101746" w:rsidR="00ED4112" w:rsidRPr="00ED4112" w:rsidRDefault="00ED4112" w:rsidP="00ED4112">
      <w:pPr>
        <w:numPr>
          <w:ilvl w:val="0"/>
          <w:numId w:val="17"/>
        </w:numPr>
        <w:tabs>
          <w:tab w:val="left" w:pos="720"/>
        </w:tabs>
        <w:rPr>
          <w:lang w:val="de-DE"/>
        </w:rPr>
      </w:pPr>
      <w:r w:rsidRPr="00ED4112">
        <w:t>If encoder selects SP merge candidate, apply DBBP</w:t>
      </w:r>
      <w:r>
        <w:t>-like</w:t>
      </w:r>
      <w:r w:rsidRPr="00ED4112">
        <w:t xml:space="preserve"> prediction mechanism to PU</w:t>
      </w:r>
    </w:p>
    <w:p w14:paraId="3D01E17B" w14:textId="2448940E" w:rsidR="00ED4112" w:rsidRPr="00ED4112" w:rsidRDefault="00ED4112" w:rsidP="00ED4112">
      <w:pPr>
        <w:numPr>
          <w:ilvl w:val="0"/>
          <w:numId w:val="18"/>
        </w:numPr>
        <w:rPr>
          <w:lang w:val="de-DE"/>
        </w:rPr>
      </w:pPr>
      <w:r>
        <w:t>O</w:t>
      </w:r>
      <w:r w:rsidRPr="00ED4112">
        <w:t>nly merge index is required to do segment-wise prediction for a PU</w:t>
      </w:r>
    </w:p>
    <w:p w14:paraId="0C33ED66" w14:textId="08F5E095" w:rsidR="00ED4112" w:rsidRPr="00ED4112" w:rsidRDefault="00ED4112" w:rsidP="006425EB">
      <w:pPr>
        <w:numPr>
          <w:ilvl w:val="0"/>
          <w:numId w:val="19"/>
        </w:numPr>
        <w:tabs>
          <w:tab w:val="clear" w:pos="720"/>
        </w:tabs>
        <w:rPr>
          <w:lang w:val="de-DE"/>
        </w:rPr>
      </w:pPr>
      <w:r>
        <w:lastRenderedPageBreak/>
        <w:t>M</w:t>
      </w:r>
      <w:r w:rsidRPr="00ED4112">
        <w:t>otion information for both segments is deriv</w:t>
      </w:r>
      <w:r w:rsidR="006425EB">
        <w:t>ed from neighboring motion info.</w:t>
      </w:r>
    </w:p>
    <w:p w14:paraId="1A59A06A" w14:textId="77777777" w:rsidR="00ED4112" w:rsidRPr="00EF193B" w:rsidRDefault="00ED4112" w:rsidP="00EF193B"/>
    <w:p w14:paraId="10F2038C" w14:textId="760774E7" w:rsidR="003B3FAE" w:rsidRDefault="003B3FAE" w:rsidP="003B3FAE">
      <w:pPr>
        <w:pStyle w:val="berschrift1"/>
        <w:rPr>
          <w:lang w:val="en-CA"/>
        </w:rPr>
      </w:pPr>
      <w:r>
        <w:rPr>
          <w:lang w:val="en-CA"/>
        </w:rPr>
        <w:t>Simulation Results</w:t>
      </w:r>
    </w:p>
    <w:p w14:paraId="0C70ABD0" w14:textId="0B663F7B" w:rsidR="002A6B00" w:rsidRPr="002A6B00" w:rsidRDefault="002A6B00" w:rsidP="002A6B00">
      <w:pPr>
        <w:pStyle w:val="berschrift2"/>
      </w:pPr>
      <w:r>
        <w:t>HTM-11.0+SP-Merge VS. HTM-11.0</w:t>
      </w:r>
    </w:p>
    <w:tbl>
      <w:tblPr>
        <w:tblW w:w="5000" w:type="pct"/>
        <w:tblCellMar>
          <w:left w:w="70" w:type="dxa"/>
          <w:right w:w="70" w:type="dxa"/>
        </w:tblCellMar>
        <w:tblLook w:val="04A0" w:firstRow="1" w:lastRow="0" w:firstColumn="1" w:lastColumn="0" w:noHBand="0" w:noVBand="1"/>
      </w:tblPr>
      <w:tblGrid>
        <w:gridCol w:w="1256"/>
        <w:gridCol w:w="1060"/>
        <w:gridCol w:w="1062"/>
        <w:gridCol w:w="1062"/>
        <w:gridCol w:w="1062"/>
        <w:gridCol w:w="1062"/>
        <w:gridCol w:w="1062"/>
        <w:gridCol w:w="937"/>
        <w:gridCol w:w="937"/>
      </w:tblGrid>
      <w:tr w:rsidR="00445E28" w:rsidRPr="00445E28" w14:paraId="5BA1D98B" w14:textId="77777777" w:rsidTr="002A6B00">
        <w:trPr>
          <w:trHeight w:val="580"/>
        </w:trPr>
        <w:tc>
          <w:tcPr>
            <w:tcW w:w="661" w:type="pct"/>
            <w:tcBorders>
              <w:top w:val="single" w:sz="8" w:space="0" w:color="auto"/>
              <w:left w:val="single" w:sz="8" w:space="0" w:color="auto"/>
              <w:bottom w:val="nil"/>
              <w:right w:val="nil"/>
            </w:tcBorders>
            <w:shd w:val="clear" w:color="000000" w:fill="B7DEE8"/>
            <w:noWrap/>
            <w:vAlign w:val="bottom"/>
            <w:hideMark/>
          </w:tcPr>
          <w:p w14:paraId="1514EA85"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 </w:t>
            </w:r>
          </w:p>
        </w:tc>
        <w:tc>
          <w:tcPr>
            <w:tcW w:w="558" w:type="pct"/>
            <w:tcBorders>
              <w:top w:val="single" w:sz="8" w:space="0" w:color="auto"/>
              <w:left w:val="single" w:sz="8" w:space="0" w:color="auto"/>
              <w:bottom w:val="nil"/>
              <w:right w:val="nil"/>
            </w:tcBorders>
            <w:shd w:val="clear" w:color="000000" w:fill="B7DEE8"/>
            <w:noWrap/>
            <w:vAlign w:val="bottom"/>
            <w:hideMark/>
          </w:tcPr>
          <w:p w14:paraId="5E75BD9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video</w:t>
            </w:r>
            <w:proofErr w:type="spellEnd"/>
            <w:r w:rsidRPr="00445E28">
              <w:rPr>
                <w:rFonts w:ascii="Calibri" w:hAnsi="Calibri"/>
                <w:color w:val="000000"/>
                <w:sz w:val="18"/>
                <w:szCs w:val="18"/>
                <w:lang w:val="de-DE" w:eastAsia="de-DE"/>
              </w:rPr>
              <w:t xml:space="preserve"> 0</w:t>
            </w:r>
          </w:p>
        </w:tc>
        <w:tc>
          <w:tcPr>
            <w:tcW w:w="559" w:type="pct"/>
            <w:tcBorders>
              <w:top w:val="single" w:sz="8" w:space="0" w:color="auto"/>
              <w:left w:val="nil"/>
              <w:bottom w:val="nil"/>
              <w:right w:val="nil"/>
            </w:tcBorders>
            <w:shd w:val="clear" w:color="000000" w:fill="B7DEE8"/>
            <w:noWrap/>
            <w:vAlign w:val="bottom"/>
            <w:hideMark/>
          </w:tcPr>
          <w:p w14:paraId="65F647E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video</w:t>
            </w:r>
            <w:proofErr w:type="spellEnd"/>
            <w:r w:rsidRPr="00445E28">
              <w:rPr>
                <w:rFonts w:ascii="Calibri" w:hAnsi="Calibri"/>
                <w:color w:val="000000"/>
                <w:sz w:val="18"/>
                <w:szCs w:val="18"/>
                <w:lang w:val="de-DE" w:eastAsia="de-DE"/>
              </w:rPr>
              <w:t xml:space="preserve"> 1</w:t>
            </w:r>
          </w:p>
        </w:tc>
        <w:tc>
          <w:tcPr>
            <w:tcW w:w="559" w:type="pct"/>
            <w:tcBorders>
              <w:top w:val="single" w:sz="8" w:space="0" w:color="auto"/>
              <w:left w:val="nil"/>
              <w:bottom w:val="nil"/>
              <w:right w:val="single" w:sz="8" w:space="0" w:color="auto"/>
            </w:tcBorders>
            <w:shd w:val="clear" w:color="000000" w:fill="B7DEE8"/>
            <w:noWrap/>
            <w:vAlign w:val="bottom"/>
            <w:hideMark/>
          </w:tcPr>
          <w:p w14:paraId="343250A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video</w:t>
            </w:r>
            <w:proofErr w:type="spellEnd"/>
            <w:r w:rsidRPr="00445E28">
              <w:rPr>
                <w:rFonts w:ascii="Calibri" w:hAnsi="Calibri"/>
                <w:color w:val="000000"/>
                <w:sz w:val="18"/>
                <w:szCs w:val="18"/>
                <w:lang w:val="de-DE" w:eastAsia="de-DE"/>
              </w:rPr>
              <w:t xml:space="preserve"> 2</w:t>
            </w:r>
          </w:p>
        </w:tc>
        <w:tc>
          <w:tcPr>
            <w:tcW w:w="559" w:type="pct"/>
            <w:tcBorders>
              <w:top w:val="single" w:sz="8" w:space="0" w:color="auto"/>
              <w:left w:val="nil"/>
              <w:bottom w:val="nil"/>
              <w:right w:val="nil"/>
            </w:tcBorders>
            <w:shd w:val="clear" w:color="000000" w:fill="B7DEE8"/>
            <w:vAlign w:val="bottom"/>
            <w:hideMark/>
          </w:tcPr>
          <w:p w14:paraId="094CCC5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video</w:t>
            </w:r>
            <w:proofErr w:type="spellEnd"/>
            <w:r w:rsidRPr="00445E28">
              <w:rPr>
                <w:rFonts w:ascii="Calibri" w:hAnsi="Calibri"/>
                <w:color w:val="000000"/>
                <w:sz w:val="18"/>
                <w:szCs w:val="18"/>
                <w:lang w:val="de-DE" w:eastAsia="de-DE"/>
              </w:rPr>
              <w:t xml:space="preserve"> PSNR / </w:t>
            </w:r>
            <w:proofErr w:type="spellStart"/>
            <w:r w:rsidRPr="00445E28">
              <w:rPr>
                <w:rFonts w:ascii="Calibri" w:hAnsi="Calibri"/>
                <w:color w:val="000000"/>
                <w:sz w:val="18"/>
                <w:szCs w:val="18"/>
                <w:lang w:val="de-DE" w:eastAsia="de-DE"/>
              </w:rPr>
              <w:t>video</w:t>
            </w:r>
            <w:proofErr w:type="spellEnd"/>
            <w:r w:rsidRPr="00445E28">
              <w:rPr>
                <w:rFonts w:ascii="Calibri" w:hAnsi="Calibri"/>
                <w:color w:val="000000"/>
                <w:sz w:val="18"/>
                <w:szCs w:val="18"/>
                <w:lang w:val="de-DE" w:eastAsia="de-DE"/>
              </w:rPr>
              <w:t xml:space="preserve"> </w:t>
            </w:r>
            <w:proofErr w:type="spellStart"/>
            <w:r w:rsidRPr="00445E28">
              <w:rPr>
                <w:rFonts w:ascii="Calibri" w:hAnsi="Calibri"/>
                <w:color w:val="000000"/>
                <w:sz w:val="18"/>
                <w:szCs w:val="18"/>
                <w:lang w:val="de-DE" w:eastAsia="de-DE"/>
              </w:rPr>
              <w:t>bitrate</w:t>
            </w:r>
            <w:proofErr w:type="spellEnd"/>
          </w:p>
        </w:tc>
        <w:tc>
          <w:tcPr>
            <w:tcW w:w="559" w:type="pct"/>
            <w:tcBorders>
              <w:top w:val="single" w:sz="8" w:space="0" w:color="auto"/>
              <w:left w:val="nil"/>
              <w:bottom w:val="nil"/>
              <w:right w:val="nil"/>
            </w:tcBorders>
            <w:shd w:val="clear" w:color="000000" w:fill="B7DEE8"/>
            <w:vAlign w:val="bottom"/>
            <w:hideMark/>
          </w:tcPr>
          <w:p w14:paraId="62471B5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video</w:t>
            </w:r>
            <w:proofErr w:type="spellEnd"/>
            <w:r w:rsidRPr="00445E28">
              <w:rPr>
                <w:rFonts w:ascii="Calibri" w:hAnsi="Calibri"/>
                <w:color w:val="000000"/>
                <w:sz w:val="18"/>
                <w:szCs w:val="18"/>
                <w:lang w:val="de-DE" w:eastAsia="de-DE"/>
              </w:rPr>
              <w:t xml:space="preserve"> PSNR / total </w:t>
            </w:r>
            <w:proofErr w:type="spellStart"/>
            <w:r w:rsidRPr="00445E28">
              <w:rPr>
                <w:rFonts w:ascii="Calibri" w:hAnsi="Calibri"/>
                <w:color w:val="000000"/>
                <w:sz w:val="18"/>
                <w:szCs w:val="18"/>
                <w:lang w:val="de-DE" w:eastAsia="de-DE"/>
              </w:rPr>
              <w:t>bitrate</w:t>
            </w:r>
            <w:proofErr w:type="spellEnd"/>
          </w:p>
        </w:tc>
        <w:tc>
          <w:tcPr>
            <w:tcW w:w="559" w:type="pct"/>
            <w:tcBorders>
              <w:top w:val="single" w:sz="8" w:space="0" w:color="auto"/>
              <w:left w:val="nil"/>
              <w:bottom w:val="nil"/>
              <w:right w:val="single" w:sz="8" w:space="0" w:color="auto"/>
            </w:tcBorders>
            <w:shd w:val="clear" w:color="000000" w:fill="B7DEE8"/>
            <w:vAlign w:val="bottom"/>
            <w:hideMark/>
          </w:tcPr>
          <w:p w14:paraId="5CF193C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synth</w:t>
            </w:r>
            <w:proofErr w:type="spellEnd"/>
            <w:r w:rsidRPr="00445E28">
              <w:rPr>
                <w:rFonts w:ascii="Calibri" w:hAnsi="Calibri"/>
                <w:color w:val="000000"/>
                <w:sz w:val="18"/>
                <w:szCs w:val="18"/>
                <w:lang w:val="de-DE" w:eastAsia="de-DE"/>
              </w:rPr>
              <w:t xml:space="preserve"> PSNR / total </w:t>
            </w:r>
            <w:proofErr w:type="spellStart"/>
            <w:r w:rsidRPr="00445E28">
              <w:rPr>
                <w:rFonts w:ascii="Calibri" w:hAnsi="Calibri"/>
                <w:color w:val="000000"/>
                <w:sz w:val="18"/>
                <w:szCs w:val="18"/>
                <w:lang w:val="de-DE" w:eastAsia="de-DE"/>
              </w:rPr>
              <w:t>bitrate</w:t>
            </w:r>
            <w:proofErr w:type="spellEnd"/>
            <w:r w:rsidRPr="00445E28">
              <w:rPr>
                <w:rFonts w:ascii="Calibri" w:hAnsi="Calibri"/>
                <w:color w:val="000000"/>
                <w:sz w:val="18"/>
                <w:szCs w:val="18"/>
                <w:lang w:val="de-DE" w:eastAsia="de-DE"/>
              </w:rPr>
              <w:t xml:space="preserve"> </w:t>
            </w:r>
          </w:p>
        </w:tc>
        <w:tc>
          <w:tcPr>
            <w:tcW w:w="493" w:type="pct"/>
            <w:tcBorders>
              <w:top w:val="single" w:sz="8" w:space="0" w:color="auto"/>
              <w:left w:val="nil"/>
              <w:bottom w:val="nil"/>
              <w:right w:val="nil"/>
            </w:tcBorders>
            <w:shd w:val="clear" w:color="000000" w:fill="B7DEE8"/>
            <w:noWrap/>
            <w:vAlign w:val="bottom"/>
            <w:hideMark/>
          </w:tcPr>
          <w:p w14:paraId="3ABE2C3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enc</w:t>
            </w:r>
            <w:proofErr w:type="spellEnd"/>
            <w:r w:rsidRPr="00445E28">
              <w:rPr>
                <w:rFonts w:ascii="Calibri" w:hAnsi="Calibri"/>
                <w:color w:val="000000"/>
                <w:sz w:val="18"/>
                <w:szCs w:val="18"/>
                <w:lang w:val="de-DE" w:eastAsia="de-DE"/>
              </w:rPr>
              <w:t xml:space="preserve"> time</w:t>
            </w:r>
          </w:p>
        </w:tc>
        <w:tc>
          <w:tcPr>
            <w:tcW w:w="493" w:type="pct"/>
            <w:tcBorders>
              <w:top w:val="single" w:sz="8" w:space="0" w:color="auto"/>
              <w:left w:val="single" w:sz="4" w:space="0" w:color="auto"/>
              <w:bottom w:val="nil"/>
              <w:right w:val="single" w:sz="8" w:space="0" w:color="auto"/>
            </w:tcBorders>
            <w:shd w:val="clear" w:color="000000" w:fill="B7DEE8"/>
            <w:noWrap/>
            <w:vAlign w:val="bottom"/>
            <w:hideMark/>
          </w:tcPr>
          <w:p w14:paraId="2CB29F9B"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dec</w:t>
            </w:r>
            <w:proofErr w:type="spellEnd"/>
            <w:r w:rsidRPr="00445E28">
              <w:rPr>
                <w:rFonts w:ascii="Calibri" w:hAnsi="Calibri"/>
                <w:color w:val="000000"/>
                <w:sz w:val="18"/>
                <w:szCs w:val="18"/>
                <w:lang w:val="de-DE" w:eastAsia="de-DE"/>
              </w:rPr>
              <w:t xml:space="preserve"> time</w:t>
            </w:r>
          </w:p>
        </w:tc>
      </w:tr>
      <w:tr w:rsidR="00445E28" w:rsidRPr="00445E28" w14:paraId="2B48688B" w14:textId="77777777" w:rsidTr="002A6B00">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6B239A56"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Balloons</w:t>
            </w:r>
            <w:proofErr w:type="spellEnd"/>
          </w:p>
        </w:tc>
        <w:tc>
          <w:tcPr>
            <w:tcW w:w="558" w:type="pct"/>
            <w:tcBorders>
              <w:top w:val="single" w:sz="8" w:space="0" w:color="auto"/>
              <w:left w:val="single" w:sz="8" w:space="0" w:color="auto"/>
              <w:bottom w:val="nil"/>
              <w:right w:val="nil"/>
            </w:tcBorders>
            <w:shd w:val="clear" w:color="auto" w:fill="auto"/>
            <w:noWrap/>
            <w:vAlign w:val="bottom"/>
            <w:hideMark/>
          </w:tcPr>
          <w:p w14:paraId="4FE4C43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single" w:sz="8" w:space="0" w:color="auto"/>
              <w:left w:val="nil"/>
              <w:bottom w:val="nil"/>
              <w:right w:val="nil"/>
            </w:tcBorders>
            <w:shd w:val="clear" w:color="auto" w:fill="auto"/>
            <w:noWrap/>
            <w:vAlign w:val="bottom"/>
            <w:hideMark/>
          </w:tcPr>
          <w:p w14:paraId="164825E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-0,37%</w:t>
            </w:r>
          </w:p>
        </w:tc>
        <w:tc>
          <w:tcPr>
            <w:tcW w:w="559" w:type="pct"/>
            <w:tcBorders>
              <w:top w:val="single" w:sz="8" w:space="0" w:color="auto"/>
              <w:left w:val="nil"/>
              <w:bottom w:val="nil"/>
              <w:right w:val="single" w:sz="8" w:space="0" w:color="auto"/>
            </w:tcBorders>
            <w:shd w:val="clear" w:color="auto" w:fill="auto"/>
            <w:noWrap/>
            <w:vAlign w:val="bottom"/>
            <w:hideMark/>
          </w:tcPr>
          <w:p w14:paraId="68E30A6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59" w:type="pct"/>
            <w:tcBorders>
              <w:top w:val="single" w:sz="8" w:space="0" w:color="auto"/>
              <w:left w:val="nil"/>
              <w:bottom w:val="nil"/>
              <w:right w:val="nil"/>
            </w:tcBorders>
            <w:shd w:val="clear" w:color="auto" w:fill="auto"/>
            <w:noWrap/>
            <w:vAlign w:val="bottom"/>
            <w:hideMark/>
          </w:tcPr>
          <w:p w14:paraId="6912D21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-0,08%</w:t>
            </w:r>
          </w:p>
        </w:tc>
        <w:tc>
          <w:tcPr>
            <w:tcW w:w="559" w:type="pct"/>
            <w:tcBorders>
              <w:top w:val="single" w:sz="8" w:space="0" w:color="auto"/>
              <w:left w:val="nil"/>
              <w:bottom w:val="nil"/>
              <w:right w:val="nil"/>
            </w:tcBorders>
            <w:shd w:val="clear" w:color="auto" w:fill="auto"/>
            <w:noWrap/>
            <w:vAlign w:val="bottom"/>
            <w:hideMark/>
          </w:tcPr>
          <w:p w14:paraId="1212401B"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-0,05%</w:t>
            </w:r>
          </w:p>
        </w:tc>
        <w:tc>
          <w:tcPr>
            <w:tcW w:w="559" w:type="pct"/>
            <w:tcBorders>
              <w:top w:val="single" w:sz="8" w:space="0" w:color="auto"/>
              <w:left w:val="nil"/>
              <w:bottom w:val="nil"/>
              <w:right w:val="single" w:sz="8" w:space="0" w:color="auto"/>
            </w:tcBorders>
            <w:shd w:val="clear" w:color="auto" w:fill="auto"/>
            <w:noWrap/>
            <w:vAlign w:val="bottom"/>
            <w:hideMark/>
          </w:tcPr>
          <w:p w14:paraId="6132026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493" w:type="pct"/>
            <w:tcBorders>
              <w:top w:val="single" w:sz="8" w:space="0" w:color="auto"/>
              <w:left w:val="nil"/>
              <w:bottom w:val="nil"/>
              <w:right w:val="nil"/>
            </w:tcBorders>
            <w:shd w:val="clear" w:color="auto" w:fill="auto"/>
            <w:noWrap/>
            <w:vAlign w:val="bottom"/>
            <w:hideMark/>
          </w:tcPr>
          <w:p w14:paraId="56941FC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96,4%</w:t>
            </w:r>
          </w:p>
        </w:tc>
        <w:tc>
          <w:tcPr>
            <w:tcW w:w="493" w:type="pct"/>
            <w:tcBorders>
              <w:top w:val="single" w:sz="8" w:space="0" w:color="auto"/>
              <w:left w:val="single" w:sz="4" w:space="0" w:color="auto"/>
              <w:bottom w:val="nil"/>
              <w:right w:val="single" w:sz="8" w:space="0" w:color="auto"/>
            </w:tcBorders>
            <w:shd w:val="clear" w:color="auto" w:fill="auto"/>
            <w:noWrap/>
            <w:vAlign w:val="bottom"/>
            <w:hideMark/>
          </w:tcPr>
          <w:p w14:paraId="0B93419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103,4%</w:t>
            </w:r>
          </w:p>
        </w:tc>
      </w:tr>
      <w:tr w:rsidR="00445E28" w:rsidRPr="00445E28" w14:paraId="0FE3DEC7"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13DF6DCC"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Kendo</w:t>
            </w:r>
          </w:p>
        </w:tc>
        <w:tc>
          <w:tcPr>
            <w:tcW w:w="558" w:type="pct"/>
            <w:tcBorders>
              <w:top w:val="nil"/>
              <w:left w:val="single" w:sz="8" w:space="0" w:color="auto"/>
              <w:bottom w:val="nil"/>
              <w:right w:val="nil"/>
            </w:tcBorders>
            <w:shd w:val="clear" w:color="auto" w:fill="auto"/>
            <w:noWrap/>
            <w:vAlign w:val="bottom"/>
            <w:hideMark/>
          </w:tcPr>
          <w:p w14:paraId="7D83E1A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4774CCD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-0,36%</w:t>
            </w:r>
          </w:p>
        </w:tc>
        <w:tc>
          <w:tcPr>
            <w:tcW w:w="559" w:type="pct"/>
            <w:tcBorders>
              <w:top w:val="nil"/>
              <w:left w:val="nil"/>
              <w:bottom w:val="nil"/>
              <w:right w:val="single" w:sz="8" w:space="0" w:color="auto"/>
            </w:tcBorders>
            <w:shd w:val="clear" w:color="auto" w:fill="auto"/>
            <w:noWrap/>
            <w:vAlign w:val="bottom"/>
            <w:hideMark/>
          </w:tcPr>
          <w:p w14:paraId="66E4043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-0,32%</w:t>
            </w:r>
          </w:p>
        </w:tc>
        <w:tc>
          <w:tcPr>
            <w:tcW w:w="559" w:type="pct"/>
            <w:tcBorders>
              <w:top w:val="nil"/>
              <w:left w:val="nil"/>
              <w:bottom w:val="nil"/>
              <w:right w:val="nil"/>
            </w:tcBorders>
            <w:shd w:val="clear" w:color="auto" w:fill="auto"/>
            <w:noWrap/>
            <w:vAlign w:val="bottom"/>
            <w:hideMark/>
          </w:tcPr>
          <w:p w14:paraId="54837CB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59" w:type="pct"/>
            <w:tcBorders>
              <w:top w:val="nil"/>
              <w:left w:val="nil"/>
              <w:bottom w:val="nil"/>
              <w:right w:val="nil"/>
            </w:tcBorders>
            <w:shd w:val="clear" w:color="auto" w:fill="auto"/>
            <w:noWrap/>
            <w:vAlign w:val="bottom"/>
            <w:hideMark/>
          </w:tcPr>
          <w:p w14:paraId="5354492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-0,12%</w:t>
            </w:r>
          </w:p>
        </w:tc>
        <w:tc>
          <w:tcPr>
            <w:tcW w:w="559" w:type="pct"/>
            <w:tcBorders>
              <w:top w:val="nil"/>
              <w:left w:val="nil"/>
              <w:bottom w:val="nil"/>
              <w:right w:val="single" w:sz="8" w:space="0" w:color="auto"/>
            </w:tcBorders>
            <w:shd w:val="clear" w:color="auto" w:fill="auto"/>
            <w:noWrap/>
            <w:vAlign w:val="bottom"/>
            <w:hideMark/>
          </w:tcPr>
          <w:p w14:paraId="6388353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-0,10%</w:t>
            </w:r>
          </w:p>
        </w:tc>
        <w:tc>
          <w:tcPr>
            <w:tcW w:w="493" w:type="pct"/>
            <w:tcBorders>
              <w:top w:val="nil"/>
              <w:left w:val="nil"/>
              <w:bottom w:val="nil"/>
              <w:right w:val="nil"/>
            </w:tcBorders>
            <w:shd w:val="clear" w:color="auto" w:fill="auto"/>
            <w:noWrap/>
            <w:vAlign w:val="bottom"/>
            <w:hideMark/>
          </w:tcPr>
          <w:p w14:paraId="7B6F4298"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107,2%</w:t>
            </w:r>
          </w:p>
        </w:tc>
        <w:tc>
          <w:tcPr>
            <w:tcW w:w="493" w:type="pct"/>
            <w:tcBorders>
              <w:top w:val="nil"/>
              <w:left w:val="single" w:sz="4" w:space="0" w:color="auto"/>
              <w:bottom w:val="nil"/>
              <w:right w:val="single" w:sz="8" w:space="0" w:color="auto"/>
            </w:tcBorders>
            <w:shd w:val="clear" w:color="auto" w:fill="auto"/>
            <w:noWrap/>
            <w:vAlign w:val="bottom"/>
            <w:hideMark/>
          </w:tcPr>
          <w:p w14:paraId="765AAE7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105,2%</w:t>
            </w:r>
          </w:p>
        </w:tc>
      </w:tr>
      <w:tr w:rsidR="00445E28" w:rsidRPr="00445E28" w14:paraId="652C14C0"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33E64026"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Newspaper_CC</w:t>
            </w:r>
            <w:proofErr w:type="spellEnd"/>
          </w:p>
        </w:tc>
        <w:tc>
          <w:tcPr>
            <w:tcW w:w="558" w:type="pct"/>
            <w:tcBorders>
              <w:top w:val="nil"/>
              <w:left w:val="single" w:sz="8" w:space="0" w:color="auto"/>
              <w:bottom w:val="nil"/>
              <w:right w:val="nil"/>
            </w:tcBorders>
            <w:shd w:val="clear" w:color="auto" w:fill="auto"/>
            <w:noWrap/>
            <w:vAlign w:val="bottom"/>
            <w:hideMark/>
          </w:tcPr>
          <w:p w14:paraId="2337D31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2FA8DDD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-0,45%</w:t>
            </w:r>
          </w:p>
        </w:tc>
        <w:tc>
          <w:tcPr>
            <w:tcW w:w="559" w:type="pct"/>
            <w:tcBorders>
              <w:top w:val="nil"/>
              <w:left w:val="nil"/>
              <w:bottom w:val="nil"/>
              <w:right w:val="single" w:sz="8" w:space="0" w:color="auto"/>
            </w:tcBorders>
            <w:shd w:val="clear" w:color="auto" w:fill="auto"/>
            <w:noWrap/>
            <w:vAlign w:val="bottom"/>
            <w:hideMark/>
          </w:tcPr>
          <w:p w14:paraId="7C52359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-0,30%</w:t>
            </w:r>
          </w:p>
        </w:tc>
        <w:tc>
          <w:tcPr>
            <w:tcW w:w="559" w:type="pct"/>
            <w:tcBorders>
              <w:top w:val="nil"/>
              <w:left w:val="nil"/>
              <w:bottom w:val="nil"/>
              <w:right w:val="nil"/>
            </w:tcBorders>
            <w:shd w:val="clear" w:color="auto" w:fill="auto"/>
            <w:noWrap/>
            <w:vAlign w:val="bottom"/>
            <w:hideMark/>
          </w:tcPr>
          <w:p w14:paraId="78DF21E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-0,15%</w:t>
            </w:r>
          </w:p>
        </w:tc>
        <w:tc>
          <w:tcPr>
            <w:tcW w:w="559" w:type="pct"/>
            <w:tcBorders>
              <w:top w:val="nil"/>
              <w:left w:val="nil"/>
              <w:bottom w:val="nil"/>
              <w:right w:val="nil"/>
            </w:tcBorders>
            <w:shd w:val="clear" w:color="auto" w:fill="auto"/>
            <w:noWrap/>
            <w:vAlign w:val="bottom"/>
            <w:hideMark/>
          </w:tcPr>
          <w:p w14:paraId="23243D03"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59" w:type="pct"/>
            <w:tcBorders>
              <w:top w:val="nil"/>
              <w:left w:val="nil"/>
              <w:bottom w:val="nil"/>
              <w:right w:val="single" w:sz="8" w:space="0" w:color="auto"/>
            </w:tcBorders>
            <w:shd w:val="clear" w:color="auto" w:fill="auto"/>
            <w:noWrap/>
            <w:vAlign w:val="bottom"/>
            <w:hideMark/>
          </w:tcPr>
          <w:p w14:paraId="4045687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-0,14%</w:t>
            </w:r>
          </w:p>
        </w:tc>
        <w:tc>
          <w:tcPr>
            <w:tcW w:w="493" w:type="pct"/>
            <w:tcBorders>
              <w:top w:val="nil"/>
              <w:left w:val="nil"/>
              <w:bottom w:val="nil"/>
              <w:right w:val="nil"/>
            </w:tcBorders>
            <w:shd w:val="clear" w:color="auto" w:fill="auto"/>
            <w:noWrap/>
            <w:vAlign w:val="bottom"/>
            <w:hideMark/>
          </w:tcPr>
          <w:p w14:paraId="41C4946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108,1%</w:t>
            </w:r>
          </w:p>
        </w:tc>
        <w:tc>
          <w:tcPr>
            <w:tcW w:w="493" w:type="pct"/>
            <w:tcBorders>
              <w:top w:val="nil"/>
              <w:left w:val="single" w:sz="4" w:space="0" w:color="auto"/>
              <w:bottom w:val="nil"/>
              <w:right w:val="single" w:sz="8" w:space="0" w:color="auto"/>
            </w:tcBorders>
            <w:shd w:val="clear" w:color="auto" w:fill="auto"/>
            <w:noWrap/>
            <w:vAlign w:val="bottom"/>
            <w:hideMark/>
          </w:tcPr>
          <w:p w14:paraId="2D7E666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102,7%</w:t>
            </w:r>
          </w:p>
        </w:tc>
      </w:tr>
      <w:tr w:rsidR="00445E28" w:rsidRPr="00445E28" w14:paraId="3EB00371"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6724E995"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GT_Fly</w:t>
            </w:r>
            <w:proofErr w:type="spellEnd"/>
          </w:p>
        </w:tc>
        <w:tc>
          <w:tcPr>
            <w:tcW w:w="558" w:type="pct"/>
            <w:tcBorders>
              <w:top w:val="nil"/>
              <w:left w:val="single" w:sz="8" w:space="0" w:color="auto"/>
              <w:bottom w:val="nil"/>
              <w:right w:val="nil"/>
            </w:tcBorders>
            <w:shd w:val="clear" w:color="auto" w:fill="auto"/>
            <w:noWrap/>
            <w:vAlign w:val="bottom"/>
            <w:hideMark/>
          </w:tcPr>
          <w:p w14:paraId="0E21DF2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447BD0A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-0,29%</w:t>
            </w:r>
          </w:p>
        </w:tc>
        <w:tc>
          <w:tcPr>
            <w:tcW w:w="559" w:type="pct"/>
            <w:tcBorders>
              <w:top w:val="nil"/>
              <w:left w:val="nil"/>
              <w:bottom w:val="nil"/>
              <w:right w:val="single" w:sz="8" w:space="0" w:color="auto"/>
            </w:tcBorders>
            <w:shd w:val="clear" w:color="auto" w:fill="auto"/>
            <w:noWrap/>
            <w:vAlign w:val="bottom"/>
            <w:hideMark/>
          </w:tcPr>
          <w:p w14:paraId="5D01B5C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-0,16%</w:t>
            </w:r>
          </w:p>
        </w:tc>
        <w:tc>
          <w:tcPr>
            <w:tcW w:w="559" w:type="pct"/>
            <w:tcBorders>
              <w:top w:val="nil"/>
              <w:left w:val="nil"/>
              <w:bottom w:val="nil"/>
              <w:right w:val="nil"/>
            </w:tcBorders>
            <w:shd w:val="clear" w:color="auto" w:fill="auto"/>
            <w:noWrap/>
            <w:vAlign w:val="bottom"/>
            <w:hideMark/>
          </w:tcPr>
          <w:p w14:paraId="25A72B7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-0,04%</w:t>
            </w:r>
          </w:p>
        </w:tc>
        <w:tc>
          <w:tcPr>
            <w:tcW w:w="559" w:type="pct"/>
            <w:tcBorders>
              <w:top w:val="nil"/>
              <w:left w:val="nil"/>
              <w:bottom w:val="nil"/>
              <w:right w:val="nil"/>
            </w:tcBorders>
            <w:shd w:val="clear" w:color="auto" w:fill="auto"/>
            <w:noWrap/>
            <w:vAlign w:val="bottom"/>
            <w:hideMark/>
          </w:tcPr>
          <w:p w14:paraId="193C745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-0,02%</w:t>
            </w:r>
          </w:p>
        </w:tc>
        <w:tc>
          <w:tcPr>
            <w:tcW w:w="559" w:type="pct"/>
            <w:tcBorders>
              <w:top w:val="nil"/>
              <w:left w:val="nil"/>
              <w:bottom w:val="nil"/>
              <w:right w:val="single" w:sz="8" w:space="0" w:color="auto"/>
            </w:tcBorders>
            <w:shd w:val="clear" w:color="auto" w:fill="auto"/>
            <w:noWrap/>
            <w:vAlign w:val="bottom"/>
            <w:hideMark/>
          </w:tcPr>
          <w:p w14:paraId="3F46FE5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-0,05%</w:t>
            </w:r>
          </w:p>
        </w:tc>
        <w:tc>
          <w:tcPr>
            <w:tcW w:w="493" w:type="pct"/>
            <w:tcBorders>
              <w:top w:val="nil"/>
              <w:left w:val="nil"/>
              <w:bottom w:val="nil"/>
              <w:right w:val="nil"/>
            </w:tcBorders>
            <w:shd w:val="clear" w:color="auto" w:fill="auto"/>
            <w:noWrap/>
            <w:vAlign w:val="bottom"/>
            <w:hideMark/>
          </w:tcPr>
          <w:p w14:paraId="21987BA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106,6%</w:t>
            </w:r>
          </w:p>
        </w:tc>
        <w:tc>
          <w:tcPr>
            <w:tcW w:w="493" w:type="pct"/>
            <w:tcBorders>
              <w:top w:val="nil"/>
              <w:left w:val="single" w:sz="4" w:space="0" w:color="auto"/>
              <w:bottom w:val="nil"/>
              <w:right w:val="single" w:sz="8" w:space="0" w:color="auto"/>
            </w:tcBorders>
            <w:shd w:val="clear" w:color="auto" w:fill="auto"/>
            <w:noWrap/>
            <w:vAlign w:val="bottom"/>
            <w:hideMark/>
          </w:tcPr>
          <w:p w14:paraId="71CC1E3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105,9%</w:t>
            </w:r>
          </w:p>
        </w:tc>
      </w:tr>
      <w:tr w:rsidR="00445E28" w:rsidRPr="00445E28" w14:paraId="0F0082EC"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0180C96A"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Poznan_Hall2</w:t>
            </w:r>
          </w:p>
        </w:tc>
        <w:tc>
          <w:tcPr>
            <w:tcW w:w="558" w:type="pct"/>
            <w:tcBorders>
              <w:top w:val="nil"/>
              <w:left w:val="single" w:sz="8" w:space="0" w:color="auto"/>
              <w:bottom w:val="nil"/>
              <w:right w:val="nil"/>
            </w:tcBorders>
            <w:shd w:val="clear" w:color="auto" w:fill="auto"/>
            <w:noWrap/>
            <w:vAlign w:val="bottom"/>
            <w:hideMark/>
          </w:tcPr>
          <w:p w14:paraId="44BBA64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6DE793B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-0,27%</w:t>
            </w:r>
          </w:p>
        </w:tc>
        <w:tc>
          <w:tcPr>
            <w:tcW w:w="559" w:type="pct"/>
            <w:tcBorders>
              <w:top w:val="nil"/>
              <w:left w:val="nil"/>
              <w:bottom w:val="nil"/>
              <w:right w:val="single" w:sz="8" w:space="0" w:color="auto"/>
            </w:tcBorders>
            <w:shd w:val="clear" w:color="auto" w:fill="auto"/>
            <w:noWrap/>
            <w:vAlign w:val="bottom"/>
            <w:hideMark/>
          </w:tcPr>
          <w:p w14:paraId="6819C9A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-0,45%</w:t>
            </w:r>
          </w:p>
        </w:tc>
        <w:tc>
          <w:tcPr>
            <w:tcW w:w="559" w:type="pct"/>
            <w:tcBorders>
              <w:top w:val="nil"/>
              <w:left w:val="nil"/>
              <w:bottom w:val="nil"/>
              <w:right w:val="nil"/>
            </w:tcBorders>
            <w:shd w:val="clear" w:color="auto" w:fill="auto"/>
            <w:noWrap/>
            <w:vAlign w:val="bottom"/>
            <w:hideMark/>
          </w:tcPr>
          <w:p w14:paraId="405B3D6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-0,14%</w:t>
            </w:r>
          </w:p>
        </w:tc>
        <w:tc>
          <w:tcPr>
            <w:tcW w:w="559" w:type="pct"/>
            <w:tcBorders>
              <w:top w:val="nil"/>
              <w:left w:val="nil"/>
              <w:bottom w:val="nil"/>
              <w:right w:val="nil"/>
            </w:tcBorders>
            <w:shd w:val="clear" w:color="auto" w:fill="auto"/>
            <w:noWrap/>
            <w:vAlign w:val="bottom"/>
            <w:hideMark/>
          </w:tcPr>
          <w:p w14:paraId="07506C4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59" w:type="pct"/>
            <w:tcBorders>
              <w:top w:val="nil"/>
              <w:left w:val="nil"/>
              <w:bottom w:val="nil"/>
              <w:right w:val="single" w:sz="8" w:space="0" w:color="auto"/>
            </w:tcBorders>
            <w:shd w:val="clear" w:color="auto" w:fill="auto"/>
            <w:noWrap/>
            <w:vAlign w:val="bottom"/>
            <w:hideMark/>
          </w:tcPr>
          <w:p w14:paraId="3357501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-0,01%</w:t>
            </w:r>
          </w:p>
        </w:tc>
        <w:tc>
          <w:tcPr>
            <w:tcW w:w="493" w:type="pct"/>
            <w:tcBorders>
              <w:top w:val="nil"/>
              <w:left w:val="nil"/>
              <w:bottom w:val="nil"/>
              <w:right w:val="nil"/>
            </w:tcBorders>
            <w:shd w:val="clear" w:color="auto" w:fill="auto"/>
            <w:noWrap/>
            <w:vAlign w:val="bottom"/>
            <w:hideMark/>
          </w:tcPr>
          <w:p w14:paraId="37A849D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103,1%</w:t>
            </w:r>
          </w:p>
        </w:tc>
        <w:tc>
          <w:tcPr>
            <w:tcW w:w="493" w:type="pct"/>
            <w:tcBorders>
              <w:top w:val="nil"/>
              <w:left w:val="single" w:sz="4" w:space="0" w:color="auto"/>
              <w:bottom w:val="nil"/>
              <w:right w:val="single" w:sz="8" w:space="0" w:color="auto"/>
            </w:tcBorders>
            <w:shd w:val="clear" w:color="auto" w:fill="auto"/>
            <w:noWrap/>
            <w:vAlign w:val="bottom"/>
            <w:hideMark/>
          </w:tcPr>
          <w:p w14:paraId="4E257B8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109,9%</w:t>
            </w:r>
          </w:p>
        </w:tc>
      </w:tr>
      <w:tr w:rsidR="00445E28" w:rsidRPr="00445E28" w14:paraId="572CB848"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21AB56E7"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Poznan_Street</w:t>
            </w:r>
            <w:proofErr w:type="spellEnd"/>
          </w:p>
        </w:tc>
        <w:tc>
          <w:tcPr>
            <w:tcW w:w="558" w:type="pct"/>
            <w:tcBorders>
              <w:top w:val="nil"/>
              <w:left w:val="single" w:sz="8" w:space="0" w:color="auto"/>
              <w:bottom w:val="nil"/>
              <w:right w:val="nil"/>
            </w:tcBorders>
            <w:shd w:val="clear" w:color="auto" w:fill="auto"/>
            <w:noWrap/>
            <w:vAlign w:val="bottom"/>
            <w:hideMark/>
          </w:tcPr>
          <w:p w14:paraId="4531941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1A0BFF38"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-0,20%</w:t>
            </w:r>
          </w:p>
        </w:tc>
        <w:tc>
          <w:tcPr>
            <w:tcW w:w="559" w:type="pct"/>
            <w:tcBorders>
              <w:top w:val="nil"/>
              <w:left w:val="nil"/>
              <w:bottom w:val="nil"/>
              <w:right w:val="single" w:sz="8" w:space="0" w:color="auto"/>
            </w:tcBorders>
            <w:shd w:val="clear" w:color="auto" w:fill="auto"/>
            <w:noWrap/>
            <w:vAlign w:val="bottom"/>
            <w:hideMark/>
          </w:tcPr>
          <w:p w14:paraId="594AC34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-0,36%</w:t>
            </w:r>
          </w:p>
        </w:tc>
        <w:tc>
          <w:tcPr>
            <w:tcW w:w="559" w:type="pct"/>
            <w:tcBorders>
              <w:top w:val="nil"/>
              <w:left w:val="nil"/>
              <w:bottom w:val="nil"/>
              <w:right w:val="nil"/>
            </w:tcBorders>
            <w:shd w:val="clear" w:color="auto" w:fill="auto"/>
            <w:noWrap/>
            <w:vAlign w:val="bottom"/>
            <w:hideMark/>
          </w:tcPr>
          <w:p w14:paraId="2432AD5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59" w:type="pct"/>
            <w:tcBorders>
              <w:top w:val="nil"/>
              <w:left w:val="nil"/>
              <w:bottom w:val="nil"/>
              <w:right w:val="nil"/>
            </w:tcBorders>
            <w:shd w:val="clear" w:color="auto" w:fill="auto"/>
            <w:noWrap/>
            <w:vAlign w:val="bottom"/>
            <w:hideMark/>
          </w:tcPr>
          <w:p w14:paraId="4731036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-0,08%</w:t>
            </w:r>
          </w:p>
        </w:tc>
        <w:tc>
          <w:tcPr>
            <w:tcW w:w="559" w:type="pct"/>
            <w:tcBorders>
              <w:top w:val="nil"/>
              <w:left w:val="nil"/>
              <w:bottom w:val="nil"/>
              <w:right w:val="single" w:sz="8" w:space="0" w:color="auto"/>
            </w:tcBorders>
            <w:shd w:val="clear" w:color="auto" w:fill="auto"/>
            <w:noWrap/>
            <w:vAlign w:val="bottom"/>
            <w:hideMark/>
          </w:tcPr>
          <w:p w14:paraId="3E5C589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-0,02%</w:t>
            </w:r>
          </w:p>
        </w:tc>
        <w:tc>
          <w:tcPr>
            <w:tcW w:w="493" w:type="pct"/>
            <w:tcBorders>
              <w:top w:val="nil"/>
              <w:left w:val="nil"/>
              <w:bottom w:val="nil"/>
              <w:right w:val="nil"/>
            </w:tcBorders>
            <w:shd w:val="clear" w:color="auto" w:fill="auto"/>
            <w:noWrap/>
            <w:vAlign w:val="bottom"/>
            <w:hideMark/>
          </w:tcPr>
          <w:p w14:paraId="77C062D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109,9%</w:t>
            </w:r>
          </w:p>
        </w:tc>
        <w:tc>
          <w:tcPr>
            <w:tcW w:w="493" w:type="pct"/>
            <w:tcBorders>
              <w:top w:val="nil"/>
              <w:left w:val="single" w:sz="4" w:space="0" w:color="auto"/>
              <w:bottom w:val="nil"/>
              <w:right w:val="single" w:sz="8" w:space="0" w:color="auto"/>
            </w:tcBorders>
            <w:shd w:val="clear" w:color="auto" w:fill="auto"/>
            <w:noWrap/>
            <w:vAlign w:val="bottom"/>
            <w:hideMark/>
          </w:tcPr>
          <w:p w14:paraId="2A9CA9D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108,2%</w:t>
            </w:r>
          </w:p>
        </w:tc>
      </w:tr>
      <w:tr w:rsidR="00445E28" w:rsidRPr="00445E28" w14:paraId="775EF772"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69A682D0"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Undo_Dancer</w:t>
            </w:r>
            <w:proofErr w:type="spellEnd"/>
          </w:p>
        </w:tc>
        <w:tc>
          <w:tcPr>
            <w:tcW w:w="558" w:type="pct"/>
            <w:tcBorders>
              <w:top w:val="nil"/>
              <w:left w:val="single" w:sz="8" w:space="0" w:color="auto"/>
              <w:bottom w:val="nil"/>
              <w:right w:val="nil"/>
            </w:tcBorders>
            <w:shd w:val="clear" w:color="auto" w:fill="auto"/>
            <w:noWrap/>
            <w:vAlign w:val="bottom"/>
            <w:hideMark/>
          </w:tcPr>
          <w:p w14:paraId="33F54B8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645FCF23"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-1,58%</w:t>
            </w:r>
          </w:p>
        </w:tc>
        <w:tc>
          <w:tcPr>
            <w:tcW w:w="559" w:type="pct"/>
            <w:tcBorders>
              <w:top w:val="nil"/>
              <w:left w:val="nil"/>
              <w:bottom w:val="nil"/>
              <w:right w:val="single" w:sz="8" w:space="0" w:color="auto"/>
            </w:tcBorders>
            <w:shd w:val="clear" w:color="auto" w:fill="auto"/>
            <w:noWrap/>
            <w:vAlign w:val="bottom"/>
            <w:hideMark/>
          </w:tcPr>
          <w:p w14:paraId="4A9A6208"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-1,60%</w:t>
            </w:r>
          </w:p>
        </w:tc>
        <w:tc>
          <w:tcPr>
            <w:tcW w:w="559" w:type="pct"/>
            <w:tcBorders>
              <w:top w:val="nil"/>
              <w:left w:val="nil"/>
              <w:bottom w:val="nil"/>
              <w:right w:val="nil"/>
            </w:tcBorders>
            <w:shd w:val="clear" w:color="auto" w:fill="auto"/>
            <w:noWrap/>
            <w:vAlign w:val="bottom"/>
            <w:hideMark/>
          </w:tcPr>
          <w:p w14:paraId="1FAFB17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-0,43%</w:t>
            </w:r>
          </w:p>
        </w:tc>
        <w:tc>
          <w:tcPr>
            <w:tcW w:w="559" w:type="pct"/>
            <w:tcBorders>
              <w:top w:val="nil"/>
              <w:left w:val="nil"/>
              <w:bottom w:val="nil"/>
              <w:right w:val="nil"/>
            </w:tcBorders>
            <w:shd w:val="clear" w:color="auto" w:fill="auto"/>
            <w:noWrap/>
            <w:vAlign w:val="bottom"/>
            <w:hideMark/>
          </w:tcPr>
          <w:p w14:paraId="3237CC9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-0,37%</w:t>
            </w:r>
          </w:p>
        </w:tc>
        <w:tc>
          <w:tcPr>
            <w:tcW w:w="559" w:type="pct"/>
            <w:tcBorders>
              <w:top w:val="nil"/>
              <w:left w:val="nil"/>
              <w:bottom w:val="nil"/>
              <w:right w:val="single" w:sz="8" w:space="0" w:color="auto"/>
            </w:tcBorders>
            <w:shd w:val="clear" w:color="auto" w:fill="auto"/>
            <w:noWrap/>
            <w:vAlign w:val="bottom"/>
            <w:hideMark/>
          </w:tcPr>
          <w:p w14:paraId="21AFA23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-0,28%</w:t>
            </w:r>
          </w:p>
        </w:tc>
        <w:tc>
          <w:tcPr>
            <w:tcW w:w="493" w:type="pct"/>
            <w:tcBorders>
              <w:top w:val="nil"/>
              <w:left w:val="nil"/>
              <w:bottom w:val="nil"/>
              <w:right w:val="nil"/>
            </w:tcBorders>
            <w:shd w:val="clear" w:color="auto" w:fill="auto"/>
            <w:noWrap/>
            <w:vAlign w:val="bottom"/>
            <w:hideMark/>
          </w:tcPr>
          <w:p w14:paraId="69EE8253"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101,1%</w:t>
            </w:r>
          </w:p>
        </w:tc>
        <w:tc>
          <w:tcPr>
            <w:tcW w:w="493" w:type="pct"/>
            <w:tcBorders>
              <w:top w:val="nil"/>
              <w:left w:val="single" w:sz="4" w:space="0" w:color="auto"/>
              <w:bottom w:val="nil"/>
              <w:right w:val="single" w:sz="8" w:space="0" w:color="auto"/>
            </w:tcBorders>
            <w:shd w:val="clear" w:color="auto" w:fill="auto"/>
            <w:noWrap/>
            <w:vAlign w:val="bottom"/>
            <w:hideMark/>
          </w:tcPr>
          <w:p w14:paraId="7E0A976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108,5%</w:t>
            </w:r>
          </w:p>
        </w:tc>
      </w:tr>
      <w:tr w:rsidR="00445E28" w:rsidRPr="00445E28" w14:paraId="018A9883" w14:textId="77777777" w:rsidTr="002A6B00">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1147D710"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45E28">
              <w:rPr>
                <w:rFonts w:ascii="Calibri" w:hAnsi="Calibri"/>
                <w:color w:val="000000"/>
                <w:sz w:val="18"/>
                <w:szCs w:val="18"/>
                <w:lang w:val="de-DE" w:eastAsia="de-DE"/>
              </w:rPr>
              <w:t>Shark</w:t>
            </w:r>
            <w:proofErr w:type="spellEnd"/>
          </w:p>
        </w:tc>
        <w:tc>
          <w:tcPr>
            <w:tcW w:w="558" w:type="pct"/>
            <w:tcBorders>
              <w:top w:val="nil"/>
              <w:left w:val="single" w:sz="8" w:space="0" w:color="auto"/>
              <w:bottom w:val="single" w:sz="8" w:space="0" w:color="auto"/>
              <w:right w:val="nil"/>
            </w:tcBorders>
            <w:shd w:val="clear" w:color="auto" w:fill="auto"/>
            <w:noWrap/>
            <w:vAlign w:val="bottom"/>
            <w:hideMark/>
          </w:tcPr>
          <w:p w14:paraId="0C12440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single" w:sz="8" w:space="0" w:color="auto"/>
              <w:right w:val="nil"/>
            </w:tcBorders>
            <w:shd w:val="clear" w:color="auto" w:fill="auto"/>
            <w:noWrap/>
            <w:vAlign w:val="bottom"/>
            <w:hideMark/>
          </w:tcPr>
          <w:p w14:paraId="33C8716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-1,14%</w:t>
            </w:r>
          </w:p>
        </w:tc>
        <w:tc>
          <w:tcPr>
            <w:tcW w:w="559" w:type="pct"/>
            <w:tcBorders>
              <w:top w:val="nil"/>
              <w:left w:val="nil"/>
              <w:bottom w:val="single" w:sz="8" w:space="0" w:color="auto"/>
              <w:right w:val="single" w:sz="8" w:space="0" w:color="auto"/>
            </w:tcBorders>
            <w:shd w:val="clear" w:color="auto" w:fill="auto"/>
            <w:noWrap/>
            <w:vAlign w:val="bottom"/>
            <w:hideMark/>
          </w:tcPr>
          <w:p w14:paraId="2BB31A0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-0,57%</w:t>
            </w:r>
          </w:p>
        </w:tc>
        <w:tc>
          <w:tcPr>
            <w:tcW w:w="559" w:type="pct"/>
            <w:tcBorders>
              <w:top w:val="nil"/>
              <w:left w:val="nil"/>
              <w:bottom w:val="single" w:sz="8" w:space="0" w:color="auto"/>
              <w:right w:val="nil"/>
            </w:tcBorders>
            <w:shd w:val="clear" w:color="auto" w:fill="auto"/>
            <w:noWrap/>
            <w:vAlign w:val="bottom"/>
            <w:hideMark/>
          </w:tcPr>
          <w:p w14:paraId="10F9DBA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-0,18%</w:t>
            </w:r>
          </w:p>
        </w:tc>
        <w:tc>
          <w:tcPr>
            <w:tcW w:w="559" w:type="pct"/>
            <w:tcBorders>
              <w:top w:val="nil"/>
              <w:left w:val="nil"/>
              <w:bottom w:val="single" w:sz="8" w:space="0" w:color="auto"/>
              <w:right w:val="nil"/>
            </w:tcBorders>
            <w:shd w:val="clear" w:color="auto" w:fill="auto"/>
            <w:noWrap/>
            <w:vAlign w:val="bottom"/>
            <w:hideMark/>
          </w:tcPr>
          <w:p w14:paraId="5C6B709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-0,13%</w:t>
            </w:r>
          </w:p>
        </w:tc>
        <w:tc>
          <w:tcPr>
            <w:tcW w:w="559" w:type="pct"/>
            <w:tcBorders>
              <w:top w:val="nil"/>
              <w:left w:val="nil"/>
              <w:bottom w:val="single" w:sz="8" w:space="0" w:color="auto"/>
              <w:right w:val="single" w:sz="8" w:space="0" w:color="auto"/>
            </w:tcBorders>
            <w:shd w:val="clear" w:color="auto" w:fill="auto"/>
            <w:noWrap/>
            <w:vAlign w:val="bottom"/>
            <w:hideMark/>
          </w:tcPr>
          <w:p w14:paraId="20CB97D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-0,08%</w:t>
            </w:r>
          </w:p>
        </w:tc>
        <w:tc>
          <w:tcPr>
            <w:tcW w:w="493" w:type="pct"/>
            <w:tcBorders>
              <w:top w:val="nil"/>
              <w:left w:val="nil"/>
              <w:bottom w:val="single" w:sz="8" w:space="0" w:color="auto"/>
              <w:right w:val="nil"/>
            </w:tcBorders>
            <w:shd w:val="clear" w:color="auto" w:fill="auto"/>
            <w:noWrap/>
            <w:vAlign w:val="bottom"/>
            <w:hideMark/>
          </w:tcPr>
          <w:p w14:paraId="3D8DE3E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108,0%</w:t>
            </w:r>
          </w:p>
        </w:tc>
        <w:tc>
          <w:tcPr>
            <w:tcW w:w="493" w:type="pct"/>
            <w:tcBorders>
              <w:top w:val="nil"/>
              <w:left w:val="single" w:sz="4" w:space="0" w:color="auto"/>
              <w:bottom w:val="single" w:sz="8" w:space="0" w:color="auto"/>
              <w:right w:val="single" w:sz="8" w:space="0" w:color="auto"/>
            </w:tcBorders>
            <w:shd w:val="clear" w:color="auto" w:fill="auto"/>
            <w:noWrap/>
            <w:vAlign w:val="bottom"/>
            <w:hideMark/>
          </w:tcPr>
          <w:p w14:paraId="076D275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107,1%</w:t>
            </w:r>
          </w:p>
        </w:tc>
      </w:tr>
      <w:tr w:rsidR="00445E28" w:rsidRPr="00445E28" w14:paraId="7D20AD61" w14:textId="77777777" w:rsidTr="002A6B00">
        <w:trPr>
          <w:trHeight w:val="300"/>
        </w:trPr>
        <w:tc>
          <w:tcPr>
            <w:tcW w:w="661" w:type="pct"/>
            <w:tcBorders>
              <w:top w:val="nil"/>
              <w:left w:val="single" w:sz="8" w:space="0" w:color="auto"/>
              <w:bottom w:val="nil"/>
              <w:right w:val="nil"/>
            </w:tcBorders>
            <w:shd w:val="clear" w:color="auto" w:fill="auto"/>
            <w:noWrap/>
            <w:vAlign w:val="bottom"/>
            <w:hideMark/>
          </w:tcPr>
          <w:p w14:paraId="3D0988A5"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1024x768</w:t>
            </w:r>
          </w:p>
        </w:tc>
        <w:tc>
          <w:tcPr>
            <w:tcW w:w="558" w:type="pct"/>
            <w:tcBorders>
              <w:top w:val="nil"/>
              <w:left w:val="single" w:sz="8" w:space="0" w:color="auto"/>
              <w:bottom w:val="nil"/>
              <w:right w:val="nil"/>
            </w:tcBorders>
            <w:shd w:val="clear" w:color="auto" w:fill="auto"/>
            <w:noWrap/>
            <w:vAlign w:val="bottom"/>
            <w:hideMark/>
          </w:tcPr>
          <w:p w14:paraId="31CBFE7B"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79EE802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-0,39%</w:t>
            </w:r>
          </w:p>
        </w:tc>
        <w:tc>
          <w:tcPr>
            <w:tcW w:w="559" w:type="pct"/>
            <w:tcBorders>
              <w:top w:val="nil"/>
              <w:left w:val="nil"/>
              <w:bottom w:val="nil"/>
              <w:right w:val="single" w:sz="8" w:space="0" w:color="auto"/>
            </w:tcBorders>
            <w:shd w:val="clear" w:color="auto" w:fill="auto"/>
            <w:noWrap/>
            <w:vAlign w:val="bottom"/>
            <w:hideMark/>
          </w:tcPr>
          <w:p w14:paraId="4DB6952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-0,24%</w:t>
            </w:r>
          </w:p>
        </w:tc>
        <w:tc>
          <w:tcPr>
            <w:tcW w:w="559" w:type="pct"/>
            <w:tcBorders>
              <w:top w:val="nil"/>
              <w:left w:val="nil"/>
              <w:bottom w:val="nil"/>
              <w:right w:val="nil"/>
            </w:tcBorders>
            <w:shd w:val="clear" w:color="auto" w:fill="auto"/>
            <w:noWrap/>
            <w:vAlign w:val="bottom"/>
            <w:hideMark/>
          </w:tcPr>
          <w:p w14:paraId="7085F73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-0,12%</w:t>
            </w:r>
          </w:p>
        </w:tc>
        <w:tc>
          <w:tcPr>
            <w:tcW w:w="559" w:type="pct"/>
            <w:tcBorders>
              <w:top w:val="nil"/>
              <w:left w:val="nil"/>
              <w:bottom w:val="nil"/>
              <w:right w:val="nil"/>
            </w:tcBorders>
            <w:shd w:val="clear" w:color="auto" w:fill="auto"/>
            <w:noWrap/>
            <w:vAlign w:val="bottom"/>
            <w:hideMark/>
          </w:tcPr>
          <w:p w14:paraId="5E6A4D0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59" w:type="pct"/>
            <w:tcBorders>
              <w:top w:val="nil"/>
              <w:left w:val="nil"/>
              <w:bottom w:val="nil"/>
              <w:right w:val="single" w:sz="8" w:space="0" w:color="auto"/>
            </w:tcBorders>
            <w:shd w:val="clear" w:color="auto" w:fill="auto"/>
            <w:noWrap/>
            <w:vAlign w:val="bottom"/>
            <w:hideMark/>
          </w:tcPr>
          <w:p w14:paraId="2F19E12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493" w:type="pct"/>
            <w:tcBorders>
              <w:top w:val="nil"/>
              <w:left w:val="nil"/>
              <w:bottom w:val="nil"/>
              <w:right w:val="nil"/>
            </w:tcBorders>
            <w:shd w:val="clear" w:color="auto" w:fill="auto"/>
            <w:noWrap/>
            <w:vAlign w:val="bottom"/>
            <w:hideMark/>
          </w:tcPr>
          <w:p w14:paraId="0EE0812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103,9%</w:t>
            </w:r>
          </w:p>
        </w:tc>
        <w:tc>
          <w:tcPr>
            <w:tcW w:w="493" w:type="pct"/>
            <w:tcBorders>
              <w:top w:val="nil"/>
              <w:left w:val="single" w:sz="4" w:space="0" w:color="auto"/>
              <w:bottom w:val="nil"/>
              <w:right w:val="single" w:sz="8" w:space="0" w:color="auto"/>
            </w:tcBorders>
            <w:shd w:val="clear" w:color="auto" w:fill="auto"/>
            <w:noWrap/>
            <w:vAlign w:val="bottom"/>
            <w:hideMark/>
          </w:tcPr>
          <w:p w14:paraId="55C8383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103,8%</w:t>
            </w:r>
          </w:p>
        </w:tc>
      </w:tr>
      <w:tr w:rsidR="00445E28" w:rsidRPr="00445E28" w14:paraId="689BEC0B" w14:textId="77777777" w:rsidTr="002A6B00">
        <w:trPr>
          <w:trHeight w:val="320"/>
        </w:trPr>
        <w:tc>
          <w:tcPr>
            <w:tcW w:w="661" w:type="pct"/>
            <w:tcBorders>
              <w:top w:val="nil"/>
              <w:left w:val="single" w:sz="8" w:space="0" w:color="auto"/>
              <w:bottom w:val="nil"/>
              <w:right w:val="nil"/>
            </w:tcBorders>
            <w:shd w:val="clear" w:color="auto" w:fill="auto"/>
            <w:noWrap/>
            <w:vAlign w:val="bottom"/>
            <w:hideMark/>
          </w:tcPr>
          <w:p w14:paraId="69A84C8F"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1920x1088</w:t>
            </w:r>
          </w:p>
        </w:tc>
        <w:tc>
          <w:tcPr>
            <w:tcW w:w="558" w:type="pct"/>
            <w:tcBorders>
              <w:top w:val="nil"/>
              <w:left w:val="single" w:sz="8" w:space="0" w:color="auto"/>
              <w:bottom w:val="nil"/>
              <w:right w:val="nil"/>
            </w:tcBorders>
            <w:shd w:val="clear" w:color="auto" w:fill="auto"/>
            <w:noWrap/>
            <w:vAlign w:val="bottom"/>
            <w:hideMark/>
          </w:tcPr>
          <w:p w14:paraId="788E008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59" w:type="pct"/>
            <w:tcBorders>
              <w:top w:val="nil"/>
              <w:left w:val="nil"/>
              <w:bottom w:val="nil"/>
              <w:right w:val="nil"/>
            </w:tcBorders>
            <w:shd w:val="clear" w:color="auto" w:fill="auto"/>
            <w:noWrap/>
            <w:vAlign w:val="bottom"/>
            <w:hideMark/>
          </w:tcPr>
          <w:p w14:paraId="7AB85C6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-0,70%</w:t>
            </w:r>
          </w:p>
        </w:tc>
        <w:tc>
          <w:tcPr>
            <w:tcW w:w="559" w:type="pct"/>
            <w:tcBorders>
              <w:top w:val="nil"/>
              <w:left w:val="nil"/>
              <w:bottom w:val="nil"/>
              <w:right w:val="single" w:sz="8" w:space="0" w:color="auto"/>
            </w:tcBorders>
            <w:shd w:val="clear" w:color="auto" w:fill="auto"/>
            <w:noWrap/>
            <w:vAlign w:val="bottom"/>
            <w:hideMark/>
          </w:tcPr>
          <w:p w14:paraId="0DBD5EA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-0,63%</w:t>
            </w:r>
          </w:p>
        </w:tc>
        <w:tc>
          <w:tcPr>
            <w:tcW w:w="559" w:type="pct"/>
            <w:tcBorders>
              <w:top w:val="nil"/>
              <w:left w:val="nil"/>
              <w:bottom w:val="single" w:sz="8" w:space="0" w:color="auto"/>
              <w:right w:val="nil"/>
            </w:tcBorders>
            <w:shd w:val="clear" w:color="auto" w:fill="auto"/>
            <w:noWrap/>
            <w:vAlign w:val="bottom"/>
            <w:hideMark/>
          </w:tcPr>
          <w:p w14:paraId="34E48C3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-0,18%</w:t>
            </w:r>
          </w:p>
        </w:tc>
        <w:tc>
          <w:tcPr>
            <w:tcW w:w="559" w:type="pct"/>
            <w:tcBorders>
              <w:top w:val="nil"/>
              <w:left w:val="nil"/>
              <w:bottom w:val="single" w:sz="8" w:space="0" w:color="auto"/>
              <w:right w:val="nil"/>
            </w:tcBorders>
            <w:shd w:val="clear" w:color="auto" w:fill="auto"/>
            <w:noWrap/>
            <w:vAlign w:val="bottom"/>
            <w:hideMark/>
          </w:tcPr>
          <w:p w14:paraId="3EE44DF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-0,14%</w:t>
            </w:r>
          </w:p>
        </w:tc>
        <w:tc>
          <w:tcPr>
            <w:tcW w:w="559" w:type="pct"/>
            <w:tcBorders>
              <w:top w:val="nil"/>
              <w:left w:val="nil"/>
              <w:bottom w:val="single" w:sz="8" w:space="0" w:color="auto"/>
              <w:right w:val="single" w:sz="8" w:space="0" w:color="auto"/>
            </w:tcBorders>
            <w:shd w:val="clear" w:color="auto" w:fill="auto"/>
            <w:noWrap/>
            <w:vAlign w:val="bottom"/>
            <w:hideMark/>
          </w:tcPr>
          <w:p w14:paraId="578F956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493" w:type="pct"/>
            <w:tcBorders>
              <w:top w:val="nil"/>
              <w:left w:val="nil"/>
              <w:bottom w:val="single" w:sz="8" w:space="0" w:color="auto"/>
              <w:right w:val="nil"/>
            </w:tcBorders>
            <w:shd w:val="clear" w:color="auto" w:fill="auto"/>
            <w:noWrap/>
            <w:vAlign w:val="bottom"/>
            <w:hideMark/>
          </w:tcPr>
          <w:p w14:paraId="3A62A13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105,7%</w:t>
            </w:r>
          </w:p>
        </w:tc>
        <w:tc>
          <w:tcPr>
            <w:tcW w:w="493" w:type="pct"/>
            <w:tcBorders>
              <w:top w:val="nil"/>
              <w:left w:val="single" w:sz="4" w:space="0" w:color="auto"/>
              <w:bottom w:val="single" w:sz="8" w:space="0" w:color="auto"/>
              <w:right w:val="single" w:sz="8" w:space="0" w:color="auto"/>
            </w:tcBorders>
            <w:shd w:val="clear" w:color="auto" w:fill="auto"/>
            <w:noWrap/>
            <w:vAlign w:val="bottom"/>
            <w:hideMark/>
          </w:tcPr>
          <w:p w14:paraId="74CFF2A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107,9%</w:t>
            </w:r>
          </w:p>
        </w:tc>
      </w:tr>
      <w:tr w:rsidR="00445E28" w:rsidRPr="00445E28" w14:paraId="2D0B18EF" w14:textId="77777777" w:rsidTr="002A6B00">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0BB4F04"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445E28">
              <w:rPr>
                <w:rFonts w:ascii="Cambria" w:hAnsi="Cambria"/>
                <w:b/>
                <w:bCs/>
                <w:color w:val="000000"/>
                <w:sz w:val="20"/>
                <w:lang w:val="de-DE" w:eastAsia="de-DE"/>
              </w:rPr>
              <w:t>average</w:t>
            </w:r>
            <w:proofErr w:type="spellEnd"/>
          </w:p>
        </w:tc>
        <w:tc>
          <w:tcPr>
            <w:tcW w:w="558" w:type="pct"/>
            <w:tcBorders>
              <w:top w:val="single" w:sz="8" w:space="0" w:color="auto"/>
              <w:left w:val="single" w:sz="8" w:space="0" w:color="auto"/>
              <w:bottom w:val="single" w:sz="8" w:space="0" w:color="auto"/>
              <w:right w:val="nil"/>
            </w:tcBorders>
            <w:shd w:val="clear" w:color="auto" w:fill="auto"/>
            <w:noWrap/>
            <w:vAlign w:val="bottom"/>
            <w:hideMark/>
          </w:tcPr>
          <w:p w14:paraId="6CD3314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0,00%</w:t>
            </w:r>
          </w:p>
        </w:tc>
        <w:tc>
          <w:tcPr>
            <w:tcW w:w="559" w:type="pct"/>
            <w:tcBorders>
              <w:top w:val="single" w:sz="8" w:space="0" w:color="auto"/>
              <w:left w:val="nil"/>
              <w:bottom w:val="single" w:sz="8" w:space="0" w:color="auto"/>
              <w:right w:val="nil"/>
            </w:tcBorders>
            <w:shd w:val="clear" w:color="auto" w:fill="auto"/>
            <w:noWrap/>
            <w:vAlign w:val="bottom"/>
            <w:hideMark/>
          </w:tcPr>
          <w:p w14:paraId="7D1769E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-0,58%</w:t>
            </w:r>
          </w:p>
        </w:tc>
        <w:tc>
          <w:tcPr>
            <w:tcW w:w="559" w:type="pct"/>
            <w:tcBorders>
              <w:top w:val="single" w:sz="8" w:space="0" w:color="auto"/>
              <w:left w:val="nil"/>
              <w:bottom w:val="single" w:sz="8" w:space="0" w:color="auto"/>
              <w:right w:val="single" w:sz="8" w:space="0" w:color="auto"/>
            </w:tcBorders>
            <w:shd w:val="clear" w:color="auto" w:fill="auto"/>
            <w:noWrap/>
            <w:vAlign w:val="bottom"/>
            <w:hideMark/>
          </w:tcPr>
          <w:p w14:paraId="0646CAC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-0,48%</w:t>
            </w:r>
          </w:p>
        </w:tc>
        <w:tc>
          <w:tcPr>
            <w:tcW w:w="559" w:type="pct"/>
            <w:tcBorders>
              <w:top w:val="nil"/>
              <w:left w:val="nil"/>
              <w:bottom w:val="single" w:sz="8" w:space="0" w:color="auto"/>
              <w:right w:val="nil"/>
            </w:tcBorders>
            <w:shd w:val="clear" w:color="auto" w:fill="auto"/>
            <w:noWrap/>
            <w:vAlign w:val="bottom"/>
            <w:hideMark/>
          </w:tcPr>
          <w:p w14:paraId="64DD80D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-0,16%</w:t>
            </w:r>
          </w:p>
        </w:tc>
        <w:tc>
          <w:tcPr>
            <w:tcW w:w="559" w:type="pct"/>
            <w:tcBorders>
              <w:top w:val="nil"/>
              <w:left w:val="nil"/>
              <w:bottom w:val="single" w:sz="8" w:space="0" w:color="auto"/>
              <w:right w:val="nil"/>
            </w:tcBorders>
            <w:shd w:val="clear" w:color="auto" w:fill="auto"/>
            <w:noWrap/>
            <w:vAlign w:val="bottom"/>
            <w:hideMark/>
          </w:tcPr>
          <w:p w14:paraId="20A3B3E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-0,12%</w:t>
            </w:r>
          </w:p>
        </w:tc>
        <w:tc>
          <w:tcPr>
            <w:tcW w:w="559" w:type="pct"/>
            <w:tcBorders>
              <w:top w:val="nil"/>
              <w:left w:val="nil"/>
              <w:bottom w:val="single" w:sz="8" w:space="0" w:color="auto"/>
              <w:right w:val="single" w:sz="8" w:space="0" w:color="auto"/>
            </w:tcBorders>
            <w:shd w:val="clear" w:color="auto" w:fill="auto"/>
            <w:noWrap/>
            <w:vAlign w:val="bottom"/>
            <w:hideMark/>
          </w:tcPr>
          <w:p w14:paraId="433AA1C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-0,10%</w:t>
            </w:r>
          </w:p>
        </w:tc>
        <w:tc>
          <w:tcPr>
            <w:tcW w:w="493" w:type="pct"/>
            <w:tcBorders>
              <w:top w:val="nil"/>
              <w:left w:val="nil"/>
              <w:bottom w:val="single" w:sz="8" w:space="0" w:color="auto"/>
              <w:right w:val="nil"/>
            </w:tcBorders>
            <w:shd w:val="clear" w:color="auto" w:fill="auto"/>
            <w:noWrap/>
            <w:vAlign w:val="bottom"/>
            <w:hideMark/>
          </w:tcPr>
          <w:p w14:paraId="3B5D33D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105,1%</w:t>
            </w:r>
          </w:p>
        </w:tc>
        <w:tc>
          <w:tcPr>
            <w:tcW w:w="493" w:type="pct"/>
            <w:tcBorders>
              <w:top w:val="nil"/>
              <w:left w:val="single" w:sz="4" w:space="0" w:color="auto"/>
              <w:bottom w:val="single" w:sz="8" w:space="0" w:color="auto"/>
              <w:right w:val="single" w:sz="8" w:space="0" w:color="auto"/>
            </w:tcBorders>
            <w:shd w:val="clear" w:color="auto" w:fill="auto"/>
            <w:noWrap/>
            <w:vAlign w:val="bottom"/>
            <w:hideMark/>
          </w:tcPr>
          <w:p w14:paraId="019ADC8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106,4%</w:t>
            </w:r>
          </w:p>
        </w:tc>
      </w:tr>
    </w:tbl>
    <w:p w14:paraId="6C9E0B87" w14:textId="642B2CEB" w:rsidR="002A6B00" w:rsidRDefault="002A6B00" w:rsidP="002A6B00">
      <w:pPr>
        <w:pStyle w:val="berschrift2"/>
      </w:pPr>
      <w:r>
        <w:t>HTM-11.0+SP-Merge VS. HTM-11.0 without DBBP</w:t>
      </w:r>
    </w:p>
    <w:p w14:paraId="2AFB4B0A" w14:textId="07DEE691" w:rsidR="00704AC2" w:rsidRPr="00704AC2" w:rsidRDefault="00704AC2" w:rsidP="00704AC2">
      <w:r>
        <w:t>The following</w:t>
      </w:r>
      <w:r w:rsidR="0000448E">
        <w:t xml:space="preserve"> (informal)</w:t>
      </w:r>
      <w:r>
        <w:t xml:space="preserve"> results</w:t>
      </w:r>
      <w:bookmarkStart w:id="0" w:name="_GoBack"/>
      <w:bookmarkEnd w:id="0"/>
      <w:r>
        <w:t xml:space="preserve"> compare the combination of both segment-wise prediction tools</w:t>
      </w:r>
      <w:r w:rsidR="00231622">
        <w:t xml:space="preserve"> (DBBP and SP)</w:t>
      </w:r>
      <w:r>
        <w:t xml:space="preserve"> </w:t>
      </w:r>
      <w:r w:rsidR="00231622">
        <w:t>with</w:t>
      </w:r>
      <w:r>
        <w:t xml:space="preserve"> an HTM version without these</w:t>
      </w:r>
      <w:r w:rsidR="00231622">
        <w:t xml:space="preserve"> two tools, which are essentially using the same prediction process.</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A9451B" w:rsidRPr="00A9451B" w14:paraId="7AF0401E" w14:textId="77777777" w:rsidTr="00A9451B">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7C666703"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7F8ADA8B"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proofErr w:type="gramStart"/>
            <w:r w:rsidRPr="00A9451B">
              <w:rPr>
                <w:rFonts w:ascii="Calibri" w:hAnsi="Calibri"/>
                <w:color w:val="000000"/>
                <w:sz w:val="18"/>
                <w:szCs w:val="18"/>
                <w:lang w:eastAsia="de-DE"/>
              </w:rPr>
              <w:t>video</w:t>
            </w:r>
            <w:proofErr w:type="gramEnd"/>
            <w:r w:rsidRPr="00A9451B">
              <w:rPr>
                <w:rFonts w:ascii="Calibri" w:hAnsi="Calibri"/>
                <w:color w:val="000000"/>
                <w:sz w:val="18"/>
                <w:szCs w:val="18"/>
                <w:lang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0CEEFB76"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proofErr w:type="gramStart"/>
            <w:r w:rsidRPr="00A9451B">
              <w:rPr>
                <w:rFonts w:ascii="Calibri" w:hAnsi="Calibri"/>
                <w:color w:val="000000"/>
                <w:sz w:val="18"/>
                <w:szCs w:val="18"/>
                <w:lang w:eastAsia="de-DE"/>
              </w:rPr>
              <w:t>video</w:t>
            </w:r>
            <w:proofErr w:type="gramEnd"/>
            <w:r w:rsidRPr="00A9451B">
              <w:rPr>
                <w:rFonts w:ascii="Calibri" w:hAnsi="Calibri"/>
                <w:color w:val="000000"/>
                <w:sz w:val="18"/>
                <w:szCs w:val="18"/>
                <w:lang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4731A62C"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proofErr w:type="gramStart"/>
            <w:r w:rsidRPr="00A9451B">
              <w:rPr>
                <w:rFonts w:ascii="Calibri" w:hAnsi="Calibri"/>
                <w:color w:val="000000"/>
                <w:sz w:val="18"/>
                <w:szCs w:val="18"/>
                <w:lang w:eastAsia="de-DE"/>
              </w:rPr>
              <w:t>video</w:t>
            </w:r>
            <w:proofErr w:type="gramEnd"/>
            <w:r w:rsidRPr="00A9451B">
              <w:rPr>
                <w:rFonts w:ascii="Calibri" w:hAnsi="Calibri"/>
                <w:color w:val="000000"/>
                <w:sz w:val="18"/>
                <w:szCs w:val="18"/>
                <w:lang w:eastAsia="de-DE"/>
              </w:rPr>
              <w:t xml:space="preserve"> 2</w:t>
            </w:r>
          </w:p>
        </w:tc>
        <w:tc>
          <w:tcPr>
            <w:tcW w:w="708" w:type="pct"/>
            <w:tcBorders>
              <w:top w:val="single" w:sz="8" w:space="0" w:color="auto"/>
              <w:left w:val="nil"/>
              <w:bottom w:val="nil"/>
              <w:right w:val="nil"/>
            </w:tcBorders>
            <w:shd w:val="clear" w:color="000000" w:fill="B7DEE8"/>
            <w:vAlign w:val="bottom"/>
            <w:hideMark/>
          </w:tcPr>
          <w:p w14:paraId="56C0CAB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proofErr w:type="gramStart"/>
            <w:r w:rsidRPr="00A9451B">
              <w:rPr>
                <w:rFonts w:ascii="Calibri" w:hAnsi="Calibri"/>
                <w:color w:val="000000"/>
                <w:sz w:val="18"/>
                <w:szCs w:val="18"/>
                <w:lang w:eastAsia="de-DE"/>
              </w:rPr>
              <w:t>video</w:t>
            </w:r>
            <w:proofErr w:type="gramEnd"/>
            <w:r w:rsidRPr="00A9451B">
              <w:rPr>
                <w:rFonts w:ascii="Calibri" w:hAnsi="Calibri"/>
                <w:color w:val="000000"/>
                <w:sz w:val="18"/>
                <w:szCs w:val="18"/>
                <w:lang w:eastAsia="de-DE"/>
              </w:rPr>
              <w:t xml:space="preserve"> PSNR / video bitrate</w:t>
            </w:r>
          </w:p>
        </w:tc>
        <w:tc>
          <w:tcPr>
            <w:tcW w:w="708" w:type="pct"/>
            <w:tcBorders>
              <w:top w:val="single" w:sz="8" w:space="0" w:color="auto"/>
              <w:left w:val="nil"/>
              <w:bottom w:val="nil"/>
              <w:right w:val="nil"/>
            </w:tcBorders>
            <w:shd w:val="clear" w:color="000000" w:fill="B7DEE8"/>
            <w:vAlign w:val="bottom"/>
            <w:hideMark/>
          </w:tcPr>
          <w:p w14:paraId="3D2CA093"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proofErr w:type="gramStart"/>
            <w:r w:rsidRPr="00A9451B">
              <w:rPr>
                <w:rFonts w:ascii="Calibri" w:hAnsi="Calibri"/>
                <w:color w:val="000000"/>
                <w:sz w:val="18"/>
                <w:szCs w:val="18"/>
                <w:lang w:eastAsia="de-DE"/>
              </w:rPr>
              <w:t>video</w:t>
            </w:r>
            <w:proofErr w:type="gramEnd"/>
            <w:r w:rsidRPr="00A9451B">
              <w:rPr>
                <w:rFonts w:ascii="Calibri" w:hAnsi="Calibri"/>
                <w:color w:val="000000"/>
                <w:sz w:val="18"/>
                <w:szCs w:val="18"/>
                <w:lang w:eastAsia="de-DE"/>
              </w:rPr>
              <w:t xml:space="preserve"> PSNR / total bitrate</w:t>
            </w:r>
          </w:p>
        </w:tc>
        <w:tc>
          <w:tcPr>
            <w:tcW w:w="708" w:type="pct"/>
            <w:tcBorders>
              <w:top w:val="single" w:sz="8" w:space="0" w:color="auto"/>
              <w:left w:val="nil"/>
              <w:bottom w:val="nil"/>
              <w:right w:val="single" w:sz="8" w:space="0" w:color="auto"/>
            </w:tcBorders>
            <w:shd w:val="clear" w:color="000000" w:fill="B7DEE8"/>
            <w:vAlign w:val="bottom"/>
            <w:hideMark/>
          </w:tcPr>
          <w:p w14:paraId="7418EAA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proofErr w:type="gramStart"/>
            <w:r w:rsidRPr="00A9451B">
              <w:rPr>
                <w:rFonts w:ascii="Calibri" w:hAnsi="Calibri"/>
                <w:color w:val="000000"/>
                <w:sz w:val="18"/>
                <w:szCs w:val="18"/>
                <w:lang w:eastAsia="de-DE"/>
              </w:rPr>
              <w:t>synth</w:t>
            </w:r>
            <w:proofErr w:type="gramEnd"/>
            <w:r w:rsidRPr="00A9451B">
              <w:rPr>
                <w:rFonts w:ascii="Calibri" w:hAnsi="Calibri"/>
                <w:color w:val="000000"/>
                <w:sz w:val="18"/>
                <w:szCs w:val="18"/>
                <w:lang w:eastAsia="de-DE"/>
              </w:rPr>
              <w:t xml:space="preserve"> PSNR / total bitrate </w:t>
            </w:r>
          </w:p>
        </w:tc>
      </w:tr>
      <w:tr w:rsidR="00A9451B" w:rsidRPr="00A9451B" w14:paraId="665604D5" w14:textId="77777777" w:rsidTr="00A9451B">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6DD8CB89"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Balloons</w:t>
            </w:r>
          </w:p>
        </w:tc>
        <w:tc>
          <w:tcPr>
            <w:tcW w:w="708" w:type="pct"/>
            <w:tcBorders>
              <w:top w:val="single" w:sz="8" w:space="0" w:color="auto"/>
              <w:left w:val="single" w:sz="8" w:space="0" w:color="auto"/>
              <w:bottom w:val="nil"/>
              <w:right w:val="nil"/>
            </w:tcBorders>
            <w:shd w:val="clear" w:color="auto" w:fill="auto"/>
            <w:noWrap/>
            <w:vAlign w:val="bottom"/>
            <w:hideMark/>
          </w:tcPr>
          <w:p w14:paraId="310544BA"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single" w:sz="8" w:space="0" w:color="auto"/>
              <w:left w:val="nil"/>
              <w:bottom w:val="nil"/>
              <w:right w:val="nil"/>
            </w:tcBorders>
            <w:shd w:val="clear" w:color="auto" w:fill="auto"/>
            <w:noWrap/>
            <w:vAlign w:val="bottom"/>
            <w:hideMark/>
          </w:tcPr>
          <w:p w14:paraId="322A5416"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-0,7%</w:t>
            </w:r>
          </w:p>
        </w:tc>
        <w:tc>
          <w:tcPr>
            <w:tcW w:w="708" w:type="pct"/>
            <w:tcBorders>
              <w:top w:val="single" w:sz="8" w:space="0" w:color="auto"/>
              <w:left w:val="nil"/>
              <w:bottom w:val="nil"/>
              <w:right w:val="single" w:sz="8" w:space="0" w:color="auto"/>
            </w:tcBorders>
            <w:shd w:val="clear" w:color="auto" w:fill="auto"/>
            <w:noWrap/>
            <w:vAlign w:val="bottom"/>
            <w:hideMark/>
          </w:tcPr>
          <w:p w14:paraId="1CE89288"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-0,4%</w:t>
            </w:r>
          </w:p>
        </w:tc>
        <w:tc>
          <w:tcPr>
            <w:tcW w:w="708" w:type="pct"/>
            <w:tcBorders>
              <w:top w:val="single" w:sz="8" w:space="0" w:color="auto"/>
              <w:left w:val="nil"/>
              <w:bottom w:val="nil"/>
              <w:right w:val="nil"/>
            </w:tcBorders>
            <w:shd w:val="clear" w:color="auto" w:fill="auto"/>
            <w:noWrap/>
            <w:vAlign w:val="bottom"/>
            <w:hideMark/>
          </w:tcPr>
          <w:p w14:paraId="214A2A46"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single" w:sz="8" w:space="0" w:color="auto"/>
              <w:left w:val="nil"/>
              <w:bottom w:val="nil"/>
              <w:right w:val="nil"/>
            </w:tcBorders>
            <w:shd w:val="clear" w:color="auto" w:fill="auto"/>
            <w:noWrap/>
            <w:vAlign w:val="bottom"/>
            <w:hideMark/>
          </w:tcPr>
          <w:p w14:paraId="3544821E"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single" w:sz="8" w:space="0" w:color="auto"/>
              <w:left w:val="nil"/>
              <w:bottom w:val="nil"/>
              <w:right w:val="single" w:sz="8" w:space="0" w:color="auto"/>
            </w:tcBorders>
            <w:shd w:val="clear" w:color="auto" w:fill="auto"/>
            <w:noWrap/>
            <w:vAlign w:val="bottom"/>
            <w:hideMark/>
          </w:tcPr>
          <w:p w14:paraId="204085B4"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-0,1%</w:t>
            </w:r>
          </w:p>
        </w:tc>
      </w:tr>
      <w:tr w:rsidR="00A9451B" w:rsidRPr="00A9451B" w14:paraId="5CE3EF8D"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0D04534C"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Kendo</w:t>
            </w:r>
          </w:p>
        </w:tc>
        <w:tc>
          <w:tcPr>
            <w:tcW w:w="708" w:type="pct"/>
            <w:tcBorders>
              <w:top w:val="nil"/>
              <w:left w:val="single" w:sz="8" w:space="0" w:color="auto"/>
              <w:bottom w:val="nil"/>
              <w:right w:val="nil"/>
            </w:tcBorders>
            <w:shd w:val="clear" w:color="auto" w:fill="auto"/>
            <w:noWrap/>
            <w:vAlign w:val="bottom"/>
            <w:hideMark/>
          </w:tcPr>
          <w:p w14:paraId="79FC3E0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5CE3C3CB"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-0,5%</w:t>
            </w:r>
          </w:p>
        </w:tc>
        <w:tc>
          <w:tcPr>
            <w:tcW w:w="708" w:type="pct"/>
            <w:tcBorders>
              <w:top w:val="nil"/>
              <w:left w:val="nil"/>
              <w:bottom w:val="nil"/>
              <w:right w:val="single" w:sz="8" w:space="0" w:color="auto"/>
            </w:tcBorders>
            <w:shd w:val="clear" w:color="auto" w:fill="auto"/>
            <w:noWrap/>
            <w:vAlign w:val="bottom"/>
            <w:hideMark/>
          </w:tcPr>
          <w:p w14:paraId="28DB2055"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-0,4%</w:t>
            </w:r>
          </w:p>
        </w:tc>
        <w:tc>
          <w:tcPr>
            <w:tcW w:w="708" w:type="pct"/>
            <w:tcBorders>
              <w:top w:val="nil"/>
              <w:left w:val="nil"/>
              <w:bottom w:val="nil"/>
              <w:right w:val="nil"/>
            </w:tcBorders>
            <w:shd w:val="clear" w:color="auto" w:fill="auto"/>
            <w:noWrap/>
            <w:vAlign w:val="bottom"/>
            <w:hideMark/>
          </w:tcPr>
          <w:p w14:paraId="797431B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nil"/>
            </w:tcBorders>
            <w:shd w:val="clear" w:color="auto" w:fill="auto"/>
            <w:noWrap/>
            <w:vAlign w:val="bottom"/>
            <w:hideMark/>
          </w:tcPr>
          <w:p w14:paraId="79A36B2D"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-0,1%</w:t>
            </w:r>
          </w:p>
        </w:tc>
        <w:tc>
          <w:tcPr>
            <w:tcW w:w="708" w:type="pct"/>
            <w:tcBorders>
              <w:top w:val="nil"/>
              <w:left w:val="nil"/>
              <w:bottom w:val="nil"/>
              <w:right w:val="single" w:sz="8" w:space="0" w:color="auto"/>
            </w:tcBorders>
            <w:shd w:val="clear" w:color="auto" w:fill="auto"/>
            <w:noWrap/>
            <w:vAlign w:val="bottom"/>
            <w:hideMark/>
          </w:tcPr>
          <w:p w14:paraId="0D53A4B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r>
      <w:tr w:rsidR="00A9451B" w:rsidRPr="00A9451B" w14:paraId="34168DF6"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2F69EEF5"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proofErr w:type="spellStart"/>
            <w:r w:rsidRPr="00A9451B">
              <w:rPr>
                <w:rFonts w:ascii="Calibri" w:hAnsi="Calibri"/>
                <w:color w:val="000000"/>
                <w:sz w:val="18"/>
                <w:szCs w:val="18"/>
                <w:lang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0E00F4B7"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55B8BD7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-0,7%</w:t>
            </w:r>
          </w:p>
        </w:tc>
        <w:tc>
          <w:tcPr>
            <w:tcW w:w="708" w:type="pct"/>
            <w:tcBorders>
              <w:top w:val="nil"/>
              <w:left w:val="nil"/>
              <w:bottom w:val="nil"/>
              <w:right w:val="single" w:sz="8" w:space="0" w:color="auto"/>
            </w:tcBorders>
            <w:shd w:val="clear" w:color="auto" w:fill="auto"/>
            <w:noWrap/>
            <w:vAlign w:val="bottom"/>
            <w:hideMark/>
          </w:tcPr>
          <w:p w14:paraId="2B484AEE"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-0,6%</w:t>
            </w:r>
          </w:p>
        </w:tc>
        <w:tc>
          <w:tcPr>
            <w:tcW w:w="708" w:type="pct"/>
            <w:tcBorders>
              <w:top w:val="nil"/>
              <w:left w:val="nil"/>
              <w:bottom w:val="nil"/>
              <w:right w:val="nil"/>
            </w:tcBorders>
            <w:shd w:val="clear" w:color="auto" w:fill="auto"/>
            <w:noWrap/>
            <w:vAlign w:val="bottom"/>
            <w:hideMark/>
          </w:tcPr>
          <w:p w14:paraId="0F6F4CC1"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-0,3%</w:t>
            </w:r>
          </w:p>
        </w:tc>
        <w:tc>
          <w:tcPr>
            <w:tcW w:w="708" w:type="pct"/>
            <w:tcBorders>
              <w:top w:val="nil"/>
              <w:left w:val="nil"/>
              <w:bottom w:val="nil"/>
              <w:right w:val="nil"/>
            </w:tcBorders>
            <w:shd w:val="clear" w:color="auto" w:fill="auto"/>
            <w:noWrap/>
            <w:vAlign w:val="bottom"/>
            <w:hideMark/>
          </w:tcPr>
          <w:p w14:paraId="3BE035B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single" w:sz="8" w:space="0" w:color="auto"/>
            </w:tcBorders>
            <w:shd w:val="clear" w:color="auto" w:fill="auto"/>
            <w:noWrap/>
            <w:vAlign w:val="bottom"/>
            <w:hideMark/>
          </w:tcPr>
          <w:p w14:paraId="237AAB9E"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r>
      <w:tr w:rsidR="00A9451B" w:rsidRPr="00A9451B" w14:paraId="01BBC614"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6050EDBB"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proofErr w:type="spellStart"/>
            <w:r w:rsidRPr="00A9451B">
              <w:rPr>
                <w:rFonts w:ascii="Calibri" w:hAnsi="Calibri"/>
                <w:color w:val="000000"/>
                <w:sz w:val="18"/>
                <w:szCs w:val="18"/>
                <w:lang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1BBD173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402FA118"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-0,8%</w:t>
            </w:r>
          </w:p>
        </w:tc>
        <w:tc>
          <w:tcPr>
            <w:tcW w:w="708" w:type="pct"/>
            <w:tcBorders>
              <w:top w:val="nil"/>
              <w:left w:val="nil"/>
              <w:bottom w:val="nil"/>
              <w:right w:val="single" w:sz="8" w:space="0" w:color="auto"/>
            </w:tcBorders>
            <w:shd w:val="clear" w:color="auto" w:fill="auto"/>
            <w:noWrap/>
            <w:vAlign w:val="bottom"/>
            <w:hideMark/>
          </w:tcPr>
          <w:p w14:paraId="7E43FDF1"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-0,6%</w:t>
            </w:r>
          </w:p>
        </w:tc>
        <w:tc>
          <w:tcPr>
            <w:tcW w:w="708" w:type="pct"/>
            <w:tcBorders>
              <w:top w:val="nil"/>
              <w:left w:val="nil"/>
              <w:bottom w:val="nil"/>
              <w:right w:val="nil"/>
            </w:tcBorders>
            <w:shd w:val="clear" w:color="auto" w:fill="auto"/>
            <w:noWrap/>
            <w:vAlign w:val="bottom"/>
            <w:hideMark/>
          </w:tcPr>
          <w:p w14:paraId="1171F9CB"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nil"/>
            </w:tcBorders>
            <w:shd w:val="clear" w:color="auto" w:fill="auto"/>
            <w:noWrap/>
            <w:vAlign w:val="bottom"/>
            <w:hideMark/>
          </w:tcPr>
          <w:p w14:paraId="5C88A24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single" w:sz="8" w:space="0" w:color="auto"/>
            </w:tcBorders>
            <w:shd w:val="clear" w:color="auto" w:fill="auto"/>
            <w:noWrap/>
            <w:vAlign w:val="bottom"/>
            <w:hideMark/>
          </w:tcPr>
          <w:p w14:paraId="00C7881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-0,1%</w:t>
            </w:r>
          </w:p>
        </w:tc>
      </w:tr>
      <w:tr w:rsidR="00A9451B" w:rsidRPr="00A9451B" w14:paraId="042AACBB"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1BAA8ED6"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Poznan_Hall2</w:t>
            </w:r>
          </w:p>
        </w:tc>
        <w:tc>
          <w:tcPr>
            <w:tcW w:w="708" w:type="pct"/>
            <w:tcBorders>
              <w:top w:val="nil"/>
              <w:left w:val="single" w:sz="8" w:space="0" w:color="auto"/>
              <w:bottom w:val="nil"/>
              <w:right w:val="nil"/>
            </w:tcBorders>
            <w:shd w:val="clear" w:color="auto" w:fill="auto"/>
            <w:noWrap/>
            <w:vAlign w:val="bottom"/>
            <w:hideMark/>
          </w:tcPr>
          <w:p w14:paraId="7936751A"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39375155"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-0,7%</w:t>
            </w:r>
          </w:p>
        </w:tc>
        <w:tc>
          <w:tcPr>
            <w:tcW w:w="708" w:type="pct"/>
            <w:tcBorders>
              <w:top w:val="nil"/>
              <w:left w:val="nil"/>
              <w:bottom w:val="nil"/>
              <w:right w:val="single" w:sz="8" w:space="0" w:color="auto"/>
            </w:tcBorders>
            <w:shd w:val="clear" w:color="auto" w:fill="auto"/>
            <w:noWrap/>
            <w:vAlign w:val="bottom"/>
            <w:hideMark/>
          </w:tcPr>
          <w:p w14:paraId="1A37F4E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-0,3%</w:t>
            </w:r>
          </w:p>
        </w:tc>
        <w:tc>
          <w:tcPr>
            <w:tcW w:w="708" w:type="pct"/>
            <w:tcBorders>
              <w:top w:val="nil"/>
              <w:left w:val="nil"/>
              <w:bottom w:val="nil"/>
              <w:right w:val="nil"/>
            </w:tcBorders>
            <w:shd w:val="clear" w:color="auto" w:fill="auto"/>
            <w:noWrap/>
            <w:vAlign w:val="bottom"/>
            <w:hideMark/>
          </w:tcPr>
          <w:p w14:paraId="6FBA551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nil"/>
            </w:tcBorders>
            <w:shd w:val="clear" w:color="auto" w:fill="auto"/>
            <w:noWrap/>
            <w:vAlign w:val="bottom"/>
            <w:hideMark/>
          </w:tcPr>
          <w:p w14:paraId="5A6069FD"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single" w:sz="8" w:space="0" w:color="auto"/>
            </w:tcBorders>
            <w:shd w:val="clear" w:color="auto" w:fill="auto"/>
            <w:noWrap/>
            <w:vAlign w:val="bottom"/>
            <w:hideMark/>
          </w:tcPr>
          <w:p w14:paraId="3FCF061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-0,1%</w:t>
            </w:r>
          </w:p>
        </w:tc>
      </w:tr>
      <w:tr w:rsidR="00A9451B" w:rsidRPr="00A9451B" w14:paraId="692914DC"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743130C3"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proofErr w:type="spellStart"/>
            <w:r w:rsidRPr="00A9451B">
              <w:rPr>
                <w:rFonts w:ascii="Calibri" w:hAnsi="Calibri"/>
                <w:color w:val="000000"/>
                <w:sz w:val="18"/>
                <w:szCs w:val="18"/>
                <w:lang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1E2896D6"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162F5C19"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-0,8%</w:t>
            </w:r>
          </w:p>
        </w:tc>
        <w:tc>
          <w:tcPr>
            <w:tcW w:w="708" w:type="pct"/>
            <w:tcBorders>
              <w:top w:val="nil"/>
              <w:left w:val="nil"/>
              <w:bottom w:val="nil"/>
              <w:right w:val="single" w:sz="8" w:space="0" w:color="auto"/>
            </w:tcBorders>
            <w:shd w:val="clear" w:color="auto" w:fill="auto"/>
            <w:noWrap/>
            <w:vAlign w:val="bottom"/>
            <w:hideMark/>
          </w:tcPr>
          <w:p w14:paraId="31ECE215"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-1,1%</w:t>
            </w:r>
          </w:p>
        </w:tc>
        <w:tc>
          <w:tcPr>
            <w:tcW w:w="708" w:type="pct"/>
            <w:tcBorders>
              <w:top w:val="nil"/>
              <w:left w:val="nil"/>
              <w:bottom w:val="nil"/>
              <w:right w:val="nil"/>
            </w:tcBorders>
            <w:shd w:val="clear" w:color="auto" w:fill="auto"/>
            <w:noWrap/>
            <w:vAlign w:val="bottom"/>
            <w:hideMark/>
          </w:tcPr>
          <w:p w14:paraId="67A9FF8A"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-0,3%</w:t>
            </w:r>
          </w:p>
        </w:tc>
        <w:tc>
          <w:tcPr>
            <w:tcW w:w="708" w:type="pct"/>
            <w:tcBorders>
              <w:top w:val="nil"/>
              <w:left w:val="nil"/>
              <w:bottom w:val="nil"/>
              <w:right w:val="nil"/>
            </w:tcBorders>
            <w:shd w:val="clear" w:color="auto" w:fill="auto"/>
            <w:noWrap/>
            <w:vAlign w:val="bottom"/>
            <w:hideMark/>
          </w:tcPr>
          <w:p w14:paraId="7FBD4F0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-0,3%</w:t>
            </w:r>
          </w:p>
        </w:tc>
        <w:tc>
          <w:tcPr>
            <w:tcW w:w="708" w:type="pct"/>
            <w:tcBorders>
              <w:top w:val="nil"/>
              <w:left w:val="nil"/>
              <w:bottom w:val="nil"/>
              <w:right w:val="single" w:sz="8" w:space="0" w:color="auto"/>
            </w:tcBorders>
            <w:shd w:val="clear" w:color="auto" w:fill="auto"/>
            <w:noWrap/>
            <w:vAlign w:val="bottom"/>
            <w:hideMark/>
          </w:tcPr>
          <w:p w14:paraId="1C8D05ED"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r>
      <w:tr w:rsidR="00A9451B" w:rsidRPr="00A9451B" w14:paraId="13B367B8"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68122BDD"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proofErr w:type="spellStart"/>
            <w:r w:rsidRPr="00A9451B">
              <w:rPr>
                <w:rFonts w:ascii="Calibri" w:hAnsi="Calibri"/>
                <w:color w:val="000000"/>
                <w:sz w:val="18"/>
                <w:szCs w:val="18"/>
                <w:lang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1C29A55D"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000000" w:fill="CCFFCC"/>
            <w:noWrap/>
            <w:vAlign w:val="bottom"/>
            <w:hideMark/>
          </w:tcPr>
          <w:p w14:paraId="04B99FBB"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de-DE"/>
              </w:rPr>
            </w:pPr>
            <w:r w:rsidRPr="00A9451B">
              <w:rPr>
                <w:rFonts w:ascii="Arial" w:hAnsi="Arial" w:cs="Arial"/>
                <w:sz w:val="18"/>
                <w:szCs w:val="18"/>
                <w:lang w:eastAsia="de-DE"/>
              </w:rPr>
              <w:t>-3,1%</w:t>
            </w:r>
          </w:p>
        </w:tc>
        <w:tc>
          <w:tcPr>
            <w:tcW w:w="708" w:type="pct"/>
            <w:tcBorders>
              <w:top w:val="nil"/>
              <w:left w:val="nil"/>
              <w:bottom w:val="nil"/>
              <w:right w:val="single" w:sz="8" w:space="0" w:color="auto"/>
            </w:tcBorders>
            <w:shd w:val="clear" w:color="000000" w:fill="CCFFCC"/>
            <w:noWrap/>
            <w:vAlign w:val="bottom"/>
            <w:hideMark/>
          </w:tcPr>
          <w:p w14:paraId="60316C39"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de-DE"/>
              </w:rPr>
            </w:pPr>
            <w:r w:rsidRPr="00A9451B">
              <w:rPr>
                <w:rFonts w:ascii="Arial" w:hAnsi="Arial" w:cs="Arial"/>
                <w:sz w:val="18"/>
                <w:szCs w:val="18"/>
                <w:lang w:eastAsia="de-DE"/>
              </w:rPr>
              <w:t>-3,1%</w:t>
            </w:r>
          </w:p>
        </w:tc>
        <w:tc>
          <w:tcPr>
            <w:tcW w:w="708" w:type="pct"/>
            <w:tcBorders>
              <w:top w:val="nil"/>
              <w:left w:val="nil"/>
              <w:bottom w:val="nil"/>
              <w:right w:val="nil"/>
            </w:tcBorders>
            <w:shd w:val="clear" w:color="auto" w:fill="auto"/>
            <w:noWrap/>
            <w:vAlign w:val="bottom"/>
            <w:hideMark/>
          </w:tcPr>
          <w:p w14:paraId="6311B5C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-0,9%</w:t>
            </w:r>
          </w:p>
        </w:tc>
        <w:tc>
          <w:tcPr>
            <w:tcW w:w="708" w:type="pct"/>
            <w:tcBorders>
              <w:top w:val="nil"/>
              <w:left w:val="nil"/>
              <w:bottom w:val="nil"/>
              <w:right w:val="nil"/>
            </w:tcBorders>
            <w:shd w:val="clear" w:color="auto" w:fill="auto"/>
            <w:noWrap/>
            <w:vAlign w:val="bottom"/>
            <w:hideMark/>
          </w:tcPr>
          <w:p w14:paraId="397667E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-0,8%</w:t>
            </w:r>
          </w:p>
        </w:tc>
        <w:tc>
          <w:tcPr>
            <w:tcW w:w="708" w:type="pct"/>
            <w:tcBorders>
              <w:top w:val="nil"/>
              <w:left w:val="nil"/>
              <w:bottom w:val="nil"/>
              <w:right w:val="single" w:sz="8" w:space="0" w:color="auto"/>
            </w:tcBorders>
            <w:shd w:val="clear" w:color="auto" w:fill="auto"/>
            <w:noWrap/>
            <w:vAlign w:val="bottom"/>
            <w:hideMark/>
          </w:tcPr>
          <w:p w14:paraId="0E7E05DB"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-0,6%</w:t>
            </w:r>
          </w:p>
        </w:tc>
      </w:tr>
      <w:tr w:rsidR="00A9451B" w:rsidRPr="00A9451B" w14:paraId="18305060" w14:textId="77777777" w:rsidTr="00A9451B">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649ECA6B"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Shark</w:t>
            </w:r>
          </w:p>
        </w:tc>
        <w:tc>
          <w:tcPr>
            <w:tcW w:w="708" w:type="pct"/>
            <w:tcBorders>
              <w:top w:val="nil"/>
              <w:left w:val="single" w:sz="8" w:space="0" w:color="auto"/>
              <w:bottom w:val="single" w:sz="8" w:space="0" w:color="auto"/>
              <w:right w:val="nil"/>
            </w:tcBorders>
            <w:shd w:val="clear" w:color="auto" w:fill="auto"/>
            <w:noWrap/>
            <w:vAlign w:val="bottom"/>
            <w:hideMark/>
          </w:tcPr>
          <w:p w14:paraId="3AC85D23"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single" w:sz="8" w:space="0" w:color="auto"/>
              <w:right w:val="nil"/>
            </w:tcBorders>
            <w:shd w:val="clear" w:color="auto" w:fill="auto"/>
            <w:noWrap/>
            <w:vAlign w:val="bottom"/>
            <w:hideMark/>
          </w:tcPr>
          <w:p w14:paraId="33A9E1A1"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-2,0%</w:t>
            </w:r>
          </w:p>
        </w:tc>
        <w:tc>
          <w:tcPr>
            <w:tcW w:w="708" w:type="pct"/>
            <w:tcBorders>
              <w:top w:val="nil"/>
              <w:left w:val="nil"/>
              <w:bottom w:val="single" w:sz="8" w:space="0" w:color="auto"/>
              <w:right w:val="single" w:sz="8" w:space="0" w:color="auto"/>
            </w:tcBorders>
            <w:shd w:val="clear" w:color="auto" w:fill="auto"/>
            <w:noWrap/>
            <w:vAlign w:val="bottom"/>
            <w:hideMark/>
          </w:tcPr>
          <w:p w14:paraId="1741B62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-1,6%</w:t>
            </w:r>
          </w:p>
        </w:tc>
        <w:tc>
          <w:tcPr>
            <w:tcW w:w="708" w:type="pct"/>
            <w:tcBorders>
              <w:top w:val="nil"/>
              <w:left w:val="nil"/>
              <w:bottom w:val="single" w:sz="8" w:space="0" w:color="auto"/>
              <w:right w:val="nil"/>
            </w:tcBorders>
            <w:shd w:val="clear" w:color="auto" w:fill="auto"/>
            <w:noWrap/>
            <w:vAlign w:val="bottom"/>
            <w:hideMark/>
          </w:tcPr>
          <w:p w14:paraId="4EF4E54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-0,4%</w:t>
            </w:r>
          </w:p>
        </w:tc>
        <w:tc>
          <w:tcPr>
            <w:tcW w:w="708" w:type="pct"/>
            <w:tcBorders>
              <w:top w:val="nil"/>
              <w:left w:val="nil"/>
              <w:bottom w:val="single" w:sz="8" w:space="0" w:color="auto"/>
              <w:right w:val="nil"/>
            </w:tcBorders>
            <w:shd w:val="clear" w:color="auto" w:fill="auto"/>
            <w:noWrap/>
            <w:vAlign w:val="bottom"/>
            <w:hideMark/>
          </w:tcPr>
          <w:p w14:paraId="240BE394"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-0,3%</w:t>
            </w:r>
          </w:p>
        </w:tc>
        <w:tc>
          <w:tcPr>
            <w:tcW w:w="708" w:type="pct"/>
            <w:tcBorders>
              <w:top w:val="nil"/>
              <w:left w:val="nil"/>
              <w:bottom w:val="single" w:sz="8" w:space="0" w:color="auto"/>
              <w:right w:val="single" w:sz="8" w:space="0" w:color="auto"/>
            </w:tcBorders>
            <w:shd w:val="clear" w:color="auto" w:fill="auto"/>
            <w:noWrap/>
            <w:vAlign w:val="bottom"/>
            <w:hideMark/>
          </w:tcPr>
          <w:p w14:paraId="77266CFE"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r>
      <w:tr w:rsidR="00A9451B" w:rsidRPr="00A9451B" w14:paraId="7F4A278F" w14:textId="77777777" w:rsidTr="00A9451B">
        <w:trPr>
          <w:trHeight w:val="300"/>
        </w:trPr>
        <w:tc>
          <w:tcPr>
            <w:tcW w:w="755" w:type="pct"/>
            <w:tcBorders>
              <w:top w:val="nil"/>
              <w:left w:val="single" w:sz="8" w:space="0" w:color="auto"/>
              <w:bottom w:val="nil"/>
              <w:right w:val="nil"/>
            </w:tcBorders>
            <w:shd w:val="clear" w:color="auto" w:fill="auto"/>
            <w:noWrap/>
            <w:vAlign w:val="bottom"/>
            <w:hideMark/>
          </w:tcPr>
          <w:p w14:paraId="10882F58"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1024x768</w:t>
            </w:r>
          </w:p>
        </w:tc>
        <w:tc>
          <w:tcPr>
            <w:tcW w:w="708" w:type="pct"/>
            <w:tcBorders>
              <w:top w:val="nil"/>
              <w:left w:val="single" w:sz="8" w:space="0" w:color="auto"/>
              <w:bottom w:val="nil"/>
              <w:right w:val="nil"/>
            </w:tcBorders>
            <w:shd w:val="clear" w:color="auto" w:fill="auto"/>
            <w:noWrap/>
            <w:vAlign w:val="bottom"/>
            <w:hideMark/>
          </w:tcPr>
          <w:p w14:paraId="538D0CD9"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6532BE6A"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-0,6%</w:t>
            </w:r>
          </w:p>
        </w:tc>
        <w:tc>
          <w:tcPr>
            <w:tcW w:w="708" w:type="pct"/>
            <w:tcBorders>
              <w:top w:val="nil"/>
              <w:left w:val="nil"/>
              <w:bottom w:val="nil"/>
              <w:right w:val="single" w:sz="8" w:space="0" w:color="auto"/>
            </w:tcBorders>
            <w:shd w:val="clear" w:color="auto" w:fill="auto"/>
            <w:noWrap/>
            <w:vAlign w:val="bottom"/>
            <w:hideMark/>
          </w:tcPr>
          <w:p w14:paraId="66BFE3B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-0,5%</w:t>
            </w:r>
          </w:p>
        </w:tc>
        <w:tc>
          <w:tcPr>
            <w:tcW w:w="708" w:type="pct"/>
            <w:tcBorders>
              <w:top w:val="nil"/>
              <w:left w:val="nil"/>
              <w:bottom w:val="nil"/>
              <w:right w:val="nil"/>
            </w:tcBorders>
            <w:shd w:val="clear" w:color="auto" w:fill="auto"/>
            <w:noWrap/>
            <w:vAlign w:val="bottom"/>
            <w:hideMark/>
          </w:tcPr>
          <w:p w14:paraId="6A8EC874"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nil"/>
            </w:tcBorders>
            <w:shd w:val="clear" w:color="auto" w:fill="auto"/>
            <w:noWrap/>
            <w:vAlign w:val="bottom"/>
            <w:hideMark/>
          </w:tcPr>
          <w:p w14:paraId="02ACEB1A"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c>
          <w:tcPr>
            <w:tcW w:w="708" w:type="pct"/>
            <w:tcBorders>
              <w:top w:val="nil"/>
              <w:left w:val="nil"/>
              <w:bottom w:val="nil"/>
              <w:right w:val="single" w:sz="8" w:space="0" w:color="auto"/>
            </w:tcBorders>
            <w:shd w:val="clear" w:color="auto" w:fill="auto"/>
            <w:noWrap/>
            <w:vAlign w:val="bottom"/>
            <w:hideMark/>
          </w:tcPr>
          <w:p w14:paraId="3EC3F992"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-0,1%</w:t>
            </w:r>
          </w:p>
        </w:tc>
      </w:tr>
      <w:tr w:rsidR="00A9451B" w:rsidRPr="00A9451B" w14:paraId="6202D4F1" w14:textId="77777777" w:rsidTr="00A9451B">
        <w:trPr>
          <w:trHeight w:val="320"/>
        </w:trPr>
        <w:tc>
          <w:tcPr>
            <w:tcW w:w="755" w:type="pct"/>
            <w:tcBorders>
              <w:top w:val="nil"/>
              <w:left w:val="single" w:sz="8" w:space="0" w:color="auto"/>
              <w:bottom w:val="nil"/>
              <w:right w:val="nil"/>
            </w:tcBorders>
            <w:shd w:val="clear" w:color="auto" w:fill="auto"/>
            <w:noWrap/>
            <w:vAlign w:val="bottom"/>
            <w:hideMark/>
          </w:tcPr>
          <w:p w14:paraId="5ADCA1C4"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9451B">
              <w:rPr>
                <w:rFonts w:ascii="Calibri" w:hAnsi="Calibri"/>
                <w:color w:val="000000"/>
                <w:sz w:val="18"/>
                <w:szCs w:val="18"/>
                <w:lang w:eastAsia="de-DE"/>
              </w:rPr>
              <w:t>1920x1088</w:t>
            </w:r>
          </w:p>
        </w:tc>
        <w:tc>
          <w:tcPr>
            <w:tcW w:w="708" w:type="pct"/>
            <w:tcBorders>
              <w:top w:val="nil"/>
              <w:left w:val="single" w:sz="8" w:space="0" w:color="auto"/>
              <w:bottom w:val="nil"/>
              <w:right w:val="nil"/>
            </w:tcBorders>
            <w:shd w:val="clear" w:color="auto" w:fill="auto"/>
            <w:noWrap/>
            <w:vAlign w:val="bottom"/>
            <w:hideMark/>
          </w:tcPr>
          <w:p w14:paraId="5D36D01E"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0,0%</w:t>
            </w:r>
          </w:p>
        </w:tc>
        <w:tc>
          <w:tcPr>
            <w:tcW w:w="708" w:type="pct"/>
            <w:tcBorders>
              <w:top w:val="nil"/>
              <w:left w:val="nil"/>
              <w:bottom w:val="nil"/>
              <w:right w:val="nil"/>
            </w:tcBorders>
            <w:shd w:val="clear" w:color="auto" w:fill="auto"/>
            <w:noWrap/>
            <w:vAlign w:val="bottom"/>
            <w:hideMark/>
          </w:tcPr>
          <w:p w14:paraId="1ADAE8AA"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-1,5%</w:t>
            </w:r>
          </w:p>
        </w:tc>
        <w:tc>
          <w:tcPr>
            <w:tcW w:w="708" w:type="pct"/>
            <w:tcBorders>
              <w:top w:val="nil"/>
              <w:left w:val="nil"/>
              <w:bottom w:val="nil"/>
              <w:right w:val="single" w:sz="8" w:space="0" w:color="auto"/>
            </w:tcBorders>
            <w:shd w:val="clear" w:color="auto" w:fill="auto"/>
            <w:noWrap/>
            <w:vAlign w:val="bottom"/>
            <w:hideMark/>
          </w:tcPr>
          <w:p w14:paraId="5B1C8C76"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-1,4%</w:t>
            </w:r>
          </w:p>
        </w:tc>
        <w:tc>
          <w:tcPr>
            <w:tcW w:w="708" w:type="pct"/>
            <w:tcBorders>
              <w:top w:val="nil"/>
              <w:left w:val="nil"/>
              <w:bottom w:val="single" w:sz="8" w:space="0" w:color="auto"/>
              <w:right w:val="nil"/>
            </w:tcBorders>
            <w:shd w:val="clear" w:color="auto" w:fill="auto"/>
            <w:noWrap/>
            <w:vAlign w:val="bottom"/>
            <w:hideMark/>
          </w:tcPr>
          <w:p w14:paraId="7145686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-0,4%</w:t>
            </w:r>
          </w:p>
        </w:tc>
        <w:tc>
          <w:tcPr>
            <w:tcW w:w="708" w:type="pct"/>
            <w:tcBorders>
              <w:top w:val="nil"/>
              <w:left w:val="nil"/>
              <w:bottom w:val="single" w:sz="8" w:space="0" w:color="auto"/>
              <w:right w:val="nil"/>
            </w:tcBorders>
            <w:shd w:val="clear" w:color="auto" w:fill="auto"/>
            <w:noWrap/>
            <w:vAlign w:val="bottom"/>
            <w:hideMark/>
          </w:tcPr>
          <w:p w14:paraId="0EC21F18"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-0,4%</w:t>
            </w:r>
          </w:p>
        </w:tc>
        <w:tc>
          <w:tcPr>
            <w:tcW w:w="708" w:type="pct"/>
            <w:tcBorders>
              <w:top w:val="nil"/>
              <w:left w:val="nil"/>
              <w:bottom w:val="single" w:sz="8" w:space="0" w:color="auto"/>
              <w:right w:val="single" w:sz="8" w:space="0" w:color="auto"/>
            </w:tcBorders>
            <w:shd w:val="clear" w:color="auto" w:fill="auto"/>
            <w:noWrap/>
            <w:vAlign w:val="bottom"/>
            <w:hideMark/>
          </w:tcPr>
          <w:p w14:paraId="482F84B4"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de-DE"/>
              </w:rPr>
            </w:pPr>
            <w:r w:rsidRPr="00A9451B">
              <w:rPr>
                <w:rFonts w:ascii="Arial" w:hAnsi="Arial" w:cs="Arial"/>
                <w:color w:val="000000"/>
                <w:sz w:val="18"/>
                <w:szCs w:val="18"/>
                <w:lang w:eastAsia="de-DE"/>
              </w:rPr>
              <w:t>-0,2%</w:t>
            </w:r>
          </w:p>
        </w:tc>
      </w:tr>
      <w:tr w:rsidR="00A9451B" w:rsidRPr="00A9451B" w14:paraId="436FF4E7" w14:textId="77777777" w:rsidTr="00A9451B">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21AFFC71" w14:textId="77777777" w:rsidR="00A9451B" w:rsidRPr="00A9451B" w:rsidRDefault="00A9451B" w:rsidP="00A9451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eastAsia="de-DE"/>
              </w:rPr>
            </w:pPr>
            <w:proofErr w:type="gramStart"/>
            <w:r w:rsidRPr="00A9451B">
              <w:rPr>
                <w:rFonts w:ascii="Cambria" w:hAnsi="Cambria"/>
                <w:b/>
                <w:bCs/>
                <w:color w:val="000000"/>
                <w:sz w:val="20"/>
                <w:lang w:eastAsia="de-DE"/>
              </w:rPr>
              <w:t>average</w:t>
            </w:r>
            <w:proofErr w:type="gram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77743B3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9451B">
              <w:rPr>
                <w:rFonts w:ascii="Cambria" w:hAnsi="Cambria"/>
                <w:b/>
                <w:bCs/>
                <w:color w:val="000000"/>
                <w:sz w:val="20"/>
                <w:lang w:eastAsia="de-DE"/>
              </w:rPr>
              <w:t>0,0%</w:t>
            </w:r>
          </w:p>
        </w:tc>
        <w:tc>
          <w:tcPr>
            <w:tcW w:w="708" w:type="pct"/>
            <w:tcBorders>
              <w:top w:val="single" w:sz="8" w:space="0" w:color="auto"/>
              <w:left w:val="nil"/>
              <w:bottom w:val="single" w:sz="8" w:space="0" w:color="auto"/>
              <w:right w:val="nil"/>
            </w:tcBorders>
            <w:shd w:val="clear" w:color="auto" w:fill="auto"/>
            <w:noWrap/>
            <w:vAlign w:val="bottom"/>
            <w:hideMark/>
          </w:tcPr>
          <w:p w14:paraId="410F8CDC"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9451B">
              <w:rPr>
                <w:rFonts w:ascii="Cambria" w:hAnsi="Cambria"/>
                <w:b/>
                <w:bCs/>
                <w:color w:val="000000"/>
                <w:sz w:val="20"/>
                <w:lang w:eastAsia="de-DE"/>
              </w:rPr>
              <w:t>-1,2%</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0C9BA778"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9451B">
              <w:rPr>
                <w:rFonts w:ascii="Cambria" w:hAnsi="Cambria"/>
                <w:b/>
                <w:bCs/>
                <w:color w:val="000000"/>
                <w:sz w:val="20"/>
                <w:lang w:eastAsia="de-DE"/>
              </w:rPr>
              <w:t>-1,0%</w:t>
            </w:r>
          </w:p>
        </w:tc>
        <w:tc>
          <w:tcPr>
            <w:tcW w:w="708" w:type="pct"/>
            <w:tcBorders>
              <w:top w:val="nil"/>
              <w:left w:val="nil"/>
              <w:bottom w:val="single" w:sz="8" w:space="0" w:color="auto"/>
              <w:right w:val="nil"/>
            </w:tcBorders>
            <w:shd w:val="clear" w:color="auto" w:fill="auto"/>
            <w:noWrap/>
            <w:vAlign w:val="bottom"/>
            <w:hideMark/>
          </w:tcPr>
          <w:p w14:paraId="4A746E60"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9451B">
              <w:rPr>
                <w:rFonts w:ascii="Cambria" w:hAnsi="Cambria"/>
                <w:b/>
                <w:bCs/>
                <w:color w:val="000000"/>
                <w:sz w:val="20"/>
                <w:lang w:eastAsia="de-DE"/>
              </w:rPr>
              <w:t>-0,3%</w:t>
            </w:r>
          </w:p>
        </w:tc>
        <w:tc>
          <w:tcPr>
            <w:tcW w:w="708" w:type="pct"/>
            <w:tcBorders>
              <w:top w:val="nil"/>
              <w:left w:val="nil"/>
              <w:bottom w:val="single" w:sz="8" w:space="0" w:color="auto"/>
              <w:right w:val="nil"/>
            </w:tcBorders>
            <w:shd w:val="clear" w:color="auto" w:fill="auto"/>
            <w:noWrap/>
            <w:vAlign w:val="bottom"/>
            <w:hideMark/>
          </w:tcPr>
          <w:p w14:paraId="6FBB3329"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9451B">
              <w:rPr>
                <w:rFonts w:ascii="Cambria" w:hAnsi="Cambria"/>
                <w:b/>
                <w:bCs/>
                <w:color w:val="000000"/>
                <w:sz w:val="20"/>
                <w:lang w:eastAsia="de-DE"/>
              </w:rPr>
              <w:t>-0,3%</w:t>
            </w:r>
          </w:p>
        </w:tc>
        <w:tc>
          <w:tcPr>
            <w:tcW w:w="708" w:type="pct"/>
            <w:tcBorders>
              <w:top w:val="nil"/>
              <w:left w:val="nil"/>
              <w:bottom w:val="single" w:sz="8" w:space="0" w:color="auto"/>
              <w:right w:val="single" w:sz="8" w:space="0" w:color="auto"/>
            </w:tcBorders>
            <w:shd w:val="clear" w:color="auto" w:fill="auto"/>
            <w:noWrap/>
            <w:vAlign w:val="bottom"/>
            <w:hideMark/>
          </w:tcPr>
          <w:p w14:paraId="7BA6A75F" w14:textId="77777777" w:rsidR="00A9451B" w:rsidRPr="00A9451B" w:rsidRDefault="00A9451B" w:rsidP="00A9451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9451B">
              <w:rPr>
                <w:rFonts w:ascii="Cambria" w:hAnsi="Cambria"/>
                <w:b/>
                <w:bCs/>
                <w:color w:val="000000"/>
                <w:sz w:val="20"/>
                <w:lang w:eastAsia="de-DE"/>
              </w:rPr>
              <w:t>-0,2%</w:t>
            </w:r>
          </w:p>
        </w:tc>
      </w:tr>
    </w:tbl>
    <w:p w14:paraId="171CA6D9" w14:textId="4139A015" w:rsidR="003B3FAE" w:rsidRDefault="003B3FAE" w:rsidP="00F803F2">
      <w:pPr>
        <w:pStyle w:val="berschrift1"/>
        <w:rPr>
          <w:lang w:val="en-CA"/>
        </w:rPr>
      </w:pPr>
      <w:r>
        <w:rPr>
          <w:lang w:val="en-CA"/>
        </w:rPr>
        <w:t>Cross Check</w:t>
      </w:r>
    </w:p>
    <w:p w14:paraId="15D8F324" w14:textId="3EF45BCF" w:rsidR="00FC31A0" w:rsidRPr="00FC31A0" w:rsidRDefault="00FC31A0" w:rsidP="00FC31A0">
      <w:r>
        <w:t>The cross check was performed by Qualcomm. They investigated the proposed changes to the software and the specification text and ran the same simulation configuration to confirm the presented simulation results.</w:t>
      </w:r>
    </w:p>
    <w:p w14:paraId="17555C98" w14:textId="3A033F34" w:rsidR="00525B23" w:rsidRDefault="00525B23" w:rsidP="00F803F2">
      <w:pPr>
        <w:pStyle w:val="berschrift1"/>
        <w:rPr>
          <w:lang w:val="en-CA"/>
        </w:rPr>
      </w:pPr>
      <w:r>
        <w:rPr>
          <w:lang w:val="en-CA"/>
        </w:rPr>
        <w:lastRenderedPageBreak/>
        <w:t>Conclusion</w:t>
      </w:r>
    </w:p>
    <w:p w14:paraId="787225B5" w14:textId="220C3564" w:rsidR="00C73B19" w:rsidRPr="00C73B19" w:rsidRDefault="00C73B19" w:rsidP="00C73B19">
      <w:r>
        <w:t xml:space="preserve">In this contribution </w:t>
      </w:r>
      <w:r w:rsidR="00D71B09">
        <w:t xml:space="preserve">we propose to add a new Segment-wise Prediction (SP) merge candidate to 3D-HEVC, which allows </w:t>
      </w:r>
      <w:r w:rsidR="00BB159E">
        <w:t>using</w:t>
      </w:r>
      <w:r w:rsidR="00D71B09">
        <w:t xml:space="preserve"> segment-wise motion or disparity prediction by means of a special merge candidate. This candidate derives two sets of motion information to do the prediction, which is itself the same as proposed for DBBP.</w:t>
      </w:r>
    </w:p>
    <w:p w14:paraId="761BC126" w14:textId="77777777" w:rsidR="00F803F2" w:rsidRPr="007B5B71" w:rsidRDefault="00F803F2" w:rsidP="00F803F2">
      <w:pPr>
        <w:pStyle w:val="berschrift1"/>
        <w:rPr>
          <w:lang w:val="en-CA"/>
        </w:rPr>
      </w:pPr>
      <w:r w:rsidRPr="005B217D">
        <w:rPr>
          <w:lang w:val="en-CA"/>
        </w:rPr>
        <w:t>Patent rights declaration</w:t>
      </w:r>
    </w:p>
    <w:p w14:paraId="76F847FA" w14:textId="21CDCEC9" w:rsidR="001C02D6" w:rsidRDefault="00F803F2" w:rsidP="00F803F2">
      <w:pPr>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BF7FFF8" w14:textId="2CE69728" w:rsidR="00423DCF" w:rsidRPr="001C02D6" w:rsidRDefault="00965D50" w:rsidP="00423DCF">
      <w:r>
        <w:rPr>
          <w:b/>
          <w:szCs w:val="22"/>
          <w:lang w:val="en-CA"/>
        </w:rPr>
        <w:t>Huawei Technologies</w:t>
      </w:r>
      <w:r w:rsidR="00423DCF"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3106D86" w14:textId="22287B70" w:rsidR="00C67B52" w:rsidRDefault="00C67B52" w:rsidP="00C67B52">
      <w:pPr>
        <w:pStyle w:val="berschrift1"/>
        <w:rPr>
          <w:lang w:val="en-CA"/>
        </w:rPr>
      </w:pPr>
      <w:r>
        <w:rPr>
          <w:lang w:val="en-CA"/>
        </w:rPr>
        <w:t>References</w:t>
      </w:r>
    </w:p>
    <w:p w14:paraId="0B35E500" w14:textId="77777777" w:rsidR="00A17C7A" w:rsidRDefault="00C67B52"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sidR="00A17C7A">
        <w:rPr>
          <w:szCs w:val="22"/>
          <w:lang w:val="de-DE" w:eastAsia="de-DE"/>
        </w:rPr>
        <w:t>[1]</w:t>
      </w:r>
      <w:r w:rsidR="00A17C7A">
        <w:rPr>
          <w:szCs w:val="22"/>
          <w:lang w:val="de-DE" w:eastAsia="de-DE"/>
        </w:rPr>
        <w:tab/>
        <w:t>F. Jäger, J. Konieczny, and G. Cordara, “CE3: Results on Depth-based Block Partitioning (DBBP),” 7th Meeting, San Jose, USA, 2014.</w:t>
      </w:r>
    </w:p>
    <w:p w14:paraId="63B5895E" w14:textId="5A828A31" w:rsidR="007F1F8B" w:rsidRPr="005B217D" w:rsidRDefault="00A17C7A"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en-CA"/>
        </w:rPr>
      </w:pPr>
      <w:r>
        <w:rPr>
          <w:szCs w:val="22"/>
          <w:lang w:val="de-DE" w:eastAsia="de-DE"/>
        </w:rPr>
        <w:t>[2]</w:t>
      </w:r>
      <w:r>
        <w:rPr>
          <w:szCs w:val="22"/>
          <w:lang w:val="de-DE" w:eastAsia="de-DE"/>
        </w:rPr>
        <w:tab/>
        <w:t>J. L. Lin, Y. W. Chen, T. D. Chuang, X. Zhang, Y. W. Huang, and S. Lei, “Improvement on the signaling of DBBP,” Joint Collaborative Team on 3D Video Coding Extension Development (JCT-3V) of ITU-T VCEG and ISO/IEC MPEG, Valencia, JCT3V-H0094, Apr. 2014.</w:t>
      </w:r>
      <w:r w:rsidR="00C67B52">
        <w:rPr>
          <w:szCs w:val="22"/>
          <w:lang w:val="en-CA"/>
        </w:rPr>
        <w:fldChar w:fldCharType="end"/>
      </w: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ED4112" w:rsidRDefault="00ED4112">
      <w:r>
        <w:separator/>
      </w:r>
    </w:p>
  </w:endnote>
  <w:endnote w:type="continuationSeparator" w:id="0">
    <w:p w14:paraId="738B9F06" w14:textId="77777777" w:rsidR="00ED4112" w:rsidRDefault="00ED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mbria Math">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ED4112" w:rsidRDefault="00ED4112"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00448E">
      <w:rPr>
        <w:rStyle w:val="Seitenzahl"/>
        <w:noProof/>
      </w:rPr>
      <w:t>5</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00448E">
      <w:rPr>
        <w:rStyle w:val="Seitenzahl"/>
        <w:noProof/>
      </w:rPr>
      <w:t>2014-07-04</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ED4112" w:rsidRDefault="00ED4112">
      <w:r>
        <w:separator/>
      </w:r>
    </w:p>
  </w:footnote>
  <w:footnote w:type="continuationSeparator" w:id="0">
    <w:p w14:paraId="636118DB" w14:textId="77777777" w:rsidR="00ED4112" w:rsidRDefault="00ED411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FB2CF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4747BEE"/>
    <w:multiLevelType w:val="hybridMultilevel"/>
    <w:tmpl w:val="34F4CE8C"/>
    <w:lvl w:ilvl="0" w:tplc="78D644B2">
      <w:start w:val="1"/>
      <w:numFmt w:val="bullet"/>
      <w:lvlText w:val="•"/>
      <w:lvlJc w:val="left"/>
      <w:pPr>
        <w:tabs>
          <w:tab w:val="num" w:pos="720"/>
        </w:tabs>
        <w:ind w:left="720" w:hanging="360"/>
      </w:pPr>
      <w:rPr>
        <w:rFonts w:ascii="Arial" w:hAnsi="Arial" w:hint="default"/>
      </w:rPr>
    </w:lvl>
    <w:lvl w:ilvl="1" w:tplc="B27CDDEA">
      <w:start w:val="1"/>
      <w:numFmt w:val="bullet"/>
      <w:lvlText w:val="•"/>
      <w:lvlJc w:val="left"/>
      <w:pPr>
        <w:tabs>
          <w:tab w:val="num" w:pos="1440"/>
        </w:tabs>
        <w:ind w:left="1440" w:hanging="360"/>
      </w:pPr>
      <w:rPr>
        <w:rFonts w:ascii="Arial" w:hAnsi="Arial" w:hint="default"/>
      </w:rPr>
    </w:lvl>
    <w:lvl w:ilvl="2" w:tplc="F3CEE3F0" w:tentative="1">
      <w:start w:val="1"/>
      <w:numFmt w:val="bullet"/>
      <w:lvlText w:val="•"/>
      <w:lvlJc w:val="left"/>
      <w:pPr>
        <w:tabs>
          <w:tab w:val="num" w:pos="2160"/>
        </w:tabs>
        <w:ind w:left="2160" w:hanging="360"/>
      </w:pPr>
      <w:rPr>
        <w:rFonts w:ascii="Arial" w:hAnsi="Arial" w:hint="default"/>
      </w:rPr>
    </w:lvl>
    <w:lvl w:ilvl="3" w:tplc="2AC087A4" w:tentative="1">
      <w:start w:val="1"/>
      <w:numFmt w:val="bullet"/>
      <w:lvlText w:val="•"/>
      <w:lvlJc w:val="left"/>
      <w:pPr>
        <w:tabs>
          <w:tab w:val="num" w:pos="2880"/>
        </w:tabs>
        <w:ind w:left="2880" w:hanging="360"/>
      </w:pPr>
      <w:rPr>
        <w:rFonts w:ascii="Arial" w:hAnsi="Arial" w:hint="default"/>
      </w:rPr>
    </w:lvl>
    <w:lvl w:ilvl="4" w:tplc="15B899D0" w:tentative="1">
      <w:start w:val="1"/>
      <w:numFmt w:val="bullet"/>
      <w:lvlText w:val="•"/>
      <w:lvlJc w:val="left"/>
      <w:pPr>
        <w:tabs>
          <w:tab w:val="num" w:pos="3600"/>
        </w:tabs>
        <w:ind w:left="3600" w:hanging="360"/>
      </w:pPr>
      <w:rPr>
        <w:rFonts w:ascii="Arial" w:hAnsi="Arial" w:hint="default"/>
      </w:rPr>
    </w:lvl>
    <w:lvl w:ilvl="5" w:tplc="30348F4E" w:tentative="1">
      <w:start w:val="1"/>
      <w:numFmt w:val="bullet"/>
      <w:lvlText w:val="•"/>
      <w:lvlJc w:val="left"/>
      <w:pPr>
        <w:tabs>
          <w:tab w:val="num" w:pos="4320"/>
        </w:tabs>
        <w:ind w:left="4320" w:hanging="360"/>
      </w:pPr>
      <w:rPr>
        <w:rFonts w:ascii="Arial" w:hAnsi="Arial" w:hint="default"/>
      </w:rPr>
    </w:lvl>
    <w:lvl w:ilvl="6" w:tplc="1AAED10C" w:tentative="1">
      <w:start w:val="1"/>
      <w:numFmt w:val="bullet"/>
      <w:lvlText w:val="•"/>
      <w:lvlJc w:val="left"/>
      <w:pPr>
        <w:tabs>
          <w:tab w:val="num" w:pos="5040"/>
        </w:tabs>
        <w:ind w:left="5040" w:hanging="360"/>
      </w:pPr>
      <w:rPr>
        <w:rFonts w:ascii="Arial" w:hAnsi="Arial" w:hint="default"/>
      </w:rPr>
    </w:lvl>
    <w:lvl w:ilvl="7" w:tplc="39421A8C" w:tentative="1">
      <w:start w:val="1"/>
      <w:numFmt w:val="bullet"/>
      <w:lvlText w:val="•"/>
      <w:lvlJc w:val="left"/>
      <w:pPr>
        <w:tabs>
          <w:tab w:val="num" w:pos="5760"/>
        </w:tabs>
        <w:ind w:left="5760" w:hanging="360"/>
      </w:pPr>
      <w:rPr>
        <w:rFonts w:ascii="Arial" w:hAnsi="Arial" w:hint="default"/>
      </w:rPr>
    </w:lvl>
    <w:lvl w:ilvl="8" w:tplc="CC428816" w:tentative="1">
      <w:start w:val="1"/>
      <w:numFmt w:val="bullet"/>
      <w:lvlText w:val="•"/>
      <w:lvlJc w:val="left"/>
      <w:pPr>
        <w:tabs>
          <w:tab w:val="num" w:pos="6480"/>
        </w:tabs>
        <w:ind w:left="6480" w:hanging="360"/>
      </w:pPr>
      <w:rPr>
        <w:rFonts w:ascii="Arial" w:hAnsi="Arial"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FD582C"/>
    <w:multiLevelType w:val="multilevel"/>
    <w:tmpl w:val="3A82E334"/>
    <w:numStyleLink w:val="3DEquation"/>
  </w:abstractNum>
  <w:abstractNum w:abstractNumId="11">
    <w:nsid w:val="3C221CA4"/>
    <w:multiLevelType w:val="hybridMultilevel"/>
    <w:tmpl w:val="1234C076"/>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BB45A2F"/>
    <w:multiLevelType w:val="hybridMultilevel"/>
    <w:tmpl w:val="18DE7D72"/>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3"/>
  </w:num>
  <w:num w:numId="5">
    <w:abstractNumId w:val="14"/>
  </w:num>
  <w:num w:numId="6">
    <w:abstractNumId w:val="5"/>
  </w:num>
  <w:num w:numId="7">
    <w:abstractNumId w:val="9"/>
  </w:num>
  <w:num w:numId="8">
    <w:abstractNumId w:val="5"/>
  </w:num>
  <w:num w:numId="9">
    <w:abstractNumId w:val="2"/>
  </w:num>
  <w:num w:numId="10">
    <w:abstractNumId w:val="4"/>
  </w:num>
  <w:num w:numId="11">
    <w:abstractNumId w:val="3"/>
  </w:num>
  <w:num w:numId="12">
    <w:abstractNumId w:val="0"/>
  </w:num>
  <w:num w:numId="13">
    <w:abstractNumId w:val="12"/>
  </w:num>
  <w:num w:numId="14">
    <w:abstractNumId w:val="7"/>
  </w:num>
  <w:num w:numId="15">
    <w:abstractNumId w:val="10"/>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 w:numId="17">
    <w:abstractNumId w:val="8"/>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48E"/>
    <w:rsid w:val="00013621"/>
    <w:rsid w:val="0001565F"/>
    <w:rsid w:val="00044192"/>
    <w:rsid w:val="000458BC"/>
    <w:rsid w:val="00045C41"/>
    <w:rsid w:val="00046C03"/>
    <w:rsid w:val="0005662D"/>
    <w:rsid w:val="0007614F"/>
    <w:rsid w:val="0008335C"/>
    <w:rsid w:val="00085877"/>
    <w:rsid w:val="0008769A"/>
    <w:rsid w:val="000B1C6B"/>
    <w:rsid w:val="000B3429"/>
    <w:rsid w:val="000B4FF9"/>
    <w:rsid w:val="000C09AC"/>
    <w:rsid w:val="000C3238"/>
    <w:rsid w:val="000C6CC3"/>
    <w:rsid w:val="000D7CD9"/>
    <w:rsid w:val="000E00F3"/>
    <w:rsid w:val="000F158C"/>
    <w:rsid w:val="00102F3D"/>
    <w:rsid w:val="0010643D"/>
    <w:rsid w:val="00124E38"/>
    <w:rsid w:val="0012580B"/>
    <w:rsid w:val="00131F90"/>
    <w:rsid w:val="0013526E"/>
    <w:rsid w:val="00144582"/>
    <w:rsid w:val="00150997"/>
    <w:rsid w:val="00157E37"/>
    <w:rsid w:val="00160824"/>
    <w:rsid w:val="00171371"/>
    <w:rsid w:val="00175A24"/>
    <w:rsid w:val="00187E58"/>
    <w:rsid w:val="001A297E"/>
    <w:rsid w:val="001A368E"/>
    <w:rsid w:val="001A7329"/>
    <w:rsid w:val="001B4E28"/>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31622"/>
    <w:rsid w:val="00263398"/>
    <w:rsid w:val="00275BCF"/>
    <w:rsid w:val="00292257"/>
    <w:rsid w:val="002A54E0"/>
    <w:rsid w:val="002A6B00"/>
    <w:rsid w:val="002B1595"/>
    <w:rsid w:val="002B191D"/>
    <w:rsid w:val="002D0AF6"/>
    <w:rsid w:val="002F164D"/>
    <w:rsid w:val="00306206"/>
    <w:rsid w:val="00317D85"/>
    <w:rsid w:val="00320319"/>
    <w:rsid w:val="00326E64"/>
    <w:rsid w:val="00327C56"/>
    <w:rsid w:val="003315A1"/>
    <w:rsid w:val="003373EC"/>
    <w:rsid w:val="00342FF4"/>
    <w:rsid w:val="00370515"/>
    <w:rsid w:val="003706CC"/>
    <w:rsid w:val="00377710"/>
    <w:rsid w:val="00394C39"/>
    <w:rsid w:val="003A2D8E"/>
    <w:rsid w:val="003B3FAE"/>
    <w:rsid w:val="003B78A9"/>
    <w:rsid w:val="003C20E4"/>
    <w:rsid w:val="003D77C5"/>
    <w:rsid w:val="003E6F90"/>
    <w:rsid w:val="003F070E"/>
    <w:rsid w:val="003F5D0F"/>
    <w:rsid w:val="00405680"/>
    <w:rsid w:val="00414101"/>
    <w:rsid w:val="00421111"/>
    <w:rsid w:val="00423DCF"/>
    <w:rsid w:val="00433DDB"/>
    <w:rsid w:val="00437619"/>
    <w:rsid w:val="00445E28"/>
    <w:rsid w:val="00477042"/>
    <w:rsid w:val="0048399A"/>
    <w:rsid w:val="00495E7B"/>
    <w:rsid w:val="004A025C"/>
    <w:rsid w:val="004A2A63"/>
    <w:rsid w:val="004B210C"/>
    <w:rsid w:val="004C4FAE"/>
    <w:rsid w:val="004C68EC"/>
    <w:rsid w:val="004D405F"/>
    <w:rsid w:val="004E4F4F"/>
    <w:rsid w:val="004E6789"/>
    <w:rsid w:val="004F61E3"/>
    <w:rsid w:val="00505226"/>
    <w:rsid w:val="0051015C"/>
    <w:rsid w:val="00516CF1"/>
    <w:rsid w:val="00525B23"/>
    <w:rsid w:val="005268B0"/>
    <w:rsid w:val="00531AE9"/>
    <w:rsid w:val="00535AAC"/>
    <w:rsid w:val="00550A66"/>
    <w:rsid w:val="00567EC7"/>
    <w:rsid w:val="00570013"/>
    <w:rsid w:val="005801A2"/>
    <w:rsid w:val="005952A5"/>
    <w:rsid w:val="005A33A1"/>
    <w:rsid w:val="005A601C"/>
    <w:rsid w:val="005B217D"/>
    <w:rsid w:val="005C385F"/>
    <w:rsid w:val="005E1AC6"/>
    <w:rsid w:val="005F6F1B"/>
    <w:rsid w:val="00610D43"/>
    <w:rsid w:val="00620816"/>
    <w:rsid w:val="00624B33"/>
    <w:rsid w:val="00630AA2"/>
    <w:rsid w:val="0063312E"/>
    <w:rsid w:val="006425EB"/>
    <w:rsid w:val="00642826"/>
    <w:rsid w:val="00642C26"/>
    <w:rsid w:val="00646707"/>
    <w:rsid w:val="00646CED"/>
    <w:rsid w:val="006477EC"/>
    <w:rsid w:val="006622D8"/>
    <w:rsid w:val="00662E58"/>
    <w:rsid w:val="00664DCF"/>
    <w:rsid w:val="006C5D39"/>
    <w:rsid w:val="006E2810"/>
    <w:rsid w:val="006E36F8"/>
    <w:rsid w:val="006E5417"/>
    <w:rsid w:val="006E5A77"/>
    <w:rsid w:val="00704AC2"/>
    <w:rsid w:val="00712F60"/>
    <w:rsid w:val="00720E3B"/>
    <w:rsid w:val="00727AC4"/>
    <w:rsid w:val="00742E83"/>
    <w:rsid w:val="00745F6B"/>
    <w:rsid w:val="00753C4F"/>
    <w:rsid w:val="0075585E"/>
    <w:rsid w:val="00770571"/>
    <w:rsid w:val="007768FF"/>
    <w:rsid w:val="00781317"/>
    <w:rsid w:val="007824D3"/>
    <w:rsid w:val="007954C1"/>
    <w:rsid w:val="00796EE3"/>
    <w:rsid w:val="007A7D29"/>
    <w:rsid w:val="007B4AB8"/>
    <w:rsid w:val="007D4361"/>
    <w:rsid w:val="007F1F8B"/>
    <w:rsid w:val="007F51D3"/>
    <w:rsid w:val="007F67A1"/>
    <w:rsid w:val="00806501"/>
    <w:rsid w:val="008206C8"/>
    <w:rsid w:val="008413D1"/>
    <w:rsid w:val="00861A65"/>
    <w:rsid w:val="00874A6C"/>
    <w:rsid w:val="008759E8"/>
    <w:rsid w:val="00876C65"/>
    <w:rsid w:val="008A4B4C"/>
    <w:rsid w:val="008A76F0"/>
    <w:rsid w:val="008B5F80"/>
    <w:rsid w:val="008C239F"/>
    <w:rsid w:val="008C4CD8"/>
    <w:rsid w:val="008E480C"/>
    <w:rsid w:val="00907757"/>
    <w:rsid w:val="009212B0"/>
    <w:rsid w:val="009234A5"/>
    <w:rsid w:val="009336F7"/>
    <w:rsid w:val="009374A7"/>
    <w:rsid w:val="00965D50"/>
    <w:rsid w:val="0098551D"/>
    <w:rsid w:val="0099518F"/>
    <w:rsid w:val="009A523D"/>
    <w:rsid w:val="009D5755"/>
    <w:rsid w:val="009F496B"/>
    <w:rsid w:val="009F7338"/>
    <w:rsid w:val="00A01439"/>
    <w:rsid w:val="00A02E61"/>
    <w:rsid w:val="00A05CFF"/>
    <w:rsid w:val="00A17C7A"/>
    <w:rsid w:val="00A2758E"/>
    <w:rsid w:val="00A3286C"/>
    <w:rsid w:val="00A56B97"/>
    <w:rsid w:val="00A6093D"/>
    <w:rsid w:val="00A76A6D"/>
    <w:rsid w:val="00A83253"/>
    <w:rsid w:val="00A85659"/>
    <w:rsid w:val="00A9451B"/>
    <w:rsid w:val="00AA6E84"/>
    <w:rsid w:val="00AB2494"/>
    <w:rsid w:val="00AB366E"/>
    <w:rsid w:val="00AE341B"/>
    <w:rsid w:val="00B07CA7"/>
    <w:rsid w:val="00B1279A"/>
    <w:rsid w:val="00B5222E"/>
    <w:rsid w:val="00B537A2"/>
    <w:rsid w:val="00B61C96"/>
    <w:rsid w:val="00B628C1"/>
    <w:rsid w:val="00B73A2A"/>
    <w:rsid w:val="00B74ABA"/>
    <w:rsid w:val="00B94B06"/>
    <w:rsid w:val="00B94C28"/>
    <w:rsid w:val="00BB159E"/>
    <w:rsid w:val="00BC10BA"/>
    <w:rsid w:val="00BC5AFD"/>
    <w:rsid w:val="00BD2C01"/>
    <w:rsid w:val="00C04F43"/>
    <w:rsid w:val="00C0609D"/>
    <w:rsid w:val="00C115AB"/>
    <w:rsid w:val="00C23EF5"/>
    <w:rsid w:val="00C272FD"/>
    <w:rsid w:val="00C30249"/>
    <w:rsid w:val="00C3723B"/>
    <w:rsid w:val="00C443C9"/>
    <w:rsid w:val="00C550C7"/>
    <w:rsid w:val="00C606C9"/>
    <w:rsid w:val="00C657D3"/>
    <w:rsid w:val="00C67B52"/>
    <w:rsid w:val="00C73B19"/>
    <w:rsid w:val="00C80288"/>
    <w:rsid w:val="00C84003"/>
    <w:rsid w:val="00C90650"/>
    <w:rsid w:val="00C950F3"/>
    <w:rsid w:val="00C97D78"/>
    <w:rsid w:val="00CB5731"/>
    <w:rsid w:val="00CB6752"/>
    <w:rsid w:val="00CC2AAE"/>
    <w:rsid w:val="00CC5A42"/>
    <w:rsid w:val="00CD0EAB"/>
    <w:rsid w:val="00CE0A4C"/>
    <w:rsid w:val="00CF34DB"/>
    <w:rsid w:val="00CF558F"/>
    <w:rsid w:val="00D073E2"/>
    <w:rsid w:val="00D07AD8"/>
    <w:rsid w:val="00D446EC"/>
    <w:rsid w:val="00D51BF0"/>
    <w:rsid w:val="00D55942"/>
    <w:rsid w:val="00D71B09"/>
    <w:rsid w:val="00D807BF"/>
    <w:rsid w:val="00D919C5"/>
    <w:rsid w:val="00DA5620"/>
    <w:rsid w:val="00DA7887"/>
    <w:rsid w:val="00DB0E33"/>
    <w:rsid w:val="00DB24F1"/>
    <w:rsid w:val="00DB2AFA"/>
    <w:rsid w:val="00DB2C26"/>
    <w:rsid w:val="00DC559D"/>
    <w:rsid w:val="00DE6B43"/>
    <w:rsid w:val="00DF2882"/>
    <w:rsid w:val="00E11923"/>
    <w:rsid w:val="00E15328"/>
    <w:rsid w:val="00E21F20"/>
    <w:rsid w:val="00E246D5"/>
    <w:rsid w:val="00E262D4"/>
    <w:rsid w:val="00E314D9"/>
    <w:rsid w:val="00E36250"/>
    <w:rsid w:val="00E463CF"/>
    <w:rsid w:val="00E54511"/>
    <w:rsid w:val="00E579E2"/>
    <w:rsid w:val="00E61DAC"/>
    <w:rsid w:val="00E72B80"/>
    <w:rsid w:val="00E75FE3"/>
    <w:rsid w:val="00E86C4C"/>
    <w:rsid w:val="00EA6089"/>
    <w:rsid w:val="00EB0EB8"/>
    <w:rsid w:val="00EB7AB1"/>
    <w:rsid w:val="00ED4112"/>
    <w:rsid w:val="00ED5EDC"/>
    <w:rsid w:val="00ED72E6"/>
    <w:rsid w:val="00EF193B"/>
    <w:rsid w:val="00EF48CC"/>
    <w:rsid w:val="00F51DF8"/>
    <w:rsid w:val="00F5784E"/>
    <w:rsid w:val="00F73032"/>
    <w:rsid w:val="00F803F2"/>
    <w:rsid w:val="00F848FC"/>
    <w:rsid w:val="00F9282A"/>
    <w:rsid w:val="00F96BAD"/>
    <w:rsid w:val="00FA3A53"/>
    <w:rsid w:val="00FB0E84"/>
    <w:rsid w:val="00FC08E6"/>
    <w:rsid w:val="00FC1E47"/>
    <w:rsid w:val="00FC31A0"/>
    <w:rsid w:val="00FC389D"/>
    <w:rsid w:val="00FD01C2"/>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43085">
      <w:bodyDiv w:val="1"/>
      <w:marLeft w:val="0"/>
      <w:marRight w:val="0"/>
      <w:marTop w:val="0"/>
      <w:marBottom w:val="0"/>
      <w:divBdr>
        <w:top w:val="none" w:sz="0" w:space="0" w:color="auto"/>
        <w:left w:val="none" w:sz="0" w:space="0" w:color="auto"/>
        <w:bottom w:val="none" w:sz="0" w:space="0" w:color="auto"/>
        <w:right w:val="none" w:sz="0" w:space="0" w:color="auto"/>
      </w:divBdr>
    </w:div>
    <w:div w:id="746537930">
      <w:bodyDiv w:val="1"/>
      <w:marLeft w:val="0"/>
      <w:marRight w:val="0"/>
      <w:marTop w:val="0"/>
      <w:marBottom w:val="0"/>
      <w:divBdr>
        <w:top w:val="none" w:sz="0" w:space="0" w:color="auto"/>
        <w:left w:val="none" w:sz="0" w:space="0" w:color="auto"/>
        <w:bottom w:val="none" w:sz="0" w:space="0" w:color="auto"/>
        <w:right w:val="none" w:sz="0" w:space="0" w:color="auto"/>
      </w:divBdr>
      <w:divsChild>
        <w:div w:id="1747652397">
          <w:marLeft w:val="446"/>
          <w:marRight w:val="0"/>
          <w:marTop w:val="0"/>
          <w:marBottom w:val="0"/>
          <w:divBdr>
            <w:top w:val="none" w:sz="0" w:space="0" w:color="auto"/>
            <w:left w:val="none" w:sz="0" w:space="0" w:color="auto"/>
            <w:bottom w:val="none" w:sz="0" w:space="0" w:color="auto"/>
            <w:right w:val="none" w:sz="0" w:space="0" w:color="auto"/>
          </w:divBdr>
        </w:div>
        <w:div w:id="1099327601">
          <w:marLeft w:val="446"/>
          <w:marRight w:val="0"/>
          <w:marTop w:val="0"/>
          <w:marBottom w:val="0"/>
          <w:divBdr>
            <w:top w:val="none" w:sz="0" w:space="0" w:color="auto"/>
            <w:left w:val="none" w:sz="0" w:space="0" w:color="auto"/>
            <w:bottom w:val="none" w:sz="0" w:space="0" w:color="auto"/>
            <w:right w:val="none" w:sz="0" w:space="0" w:color="auto"/>
          </w:divBdr>
        </w:div>
        <w:div w:id="1583762195">
          <w:marLeft w:val="446"/>
          <w:marRight w:val="0"/>
          <w:marTop w:val="0"/>
          <w:marBottom w:val="0"/>
          <w:divBdr>
            <w:top w:val="none" w:sz="0" w:space="0" w:color="auto"/>
            <w:left w:val="none" w:sz="0" w:space="0" w:color="auto"/>
            <w:bottom w:val="none" w:sz="0" w:space="0" w:color="auto"/>
            <w:right w:val="none" w:sz="0" w:space="0" w:color="auto"/>
          </w:divBdr>
        </w:div>
        <w:div w:id="1042023604">
          <w:marLeft w:val="446"/>
          <w:marRight w:val="0"/>
          <w:marTop w:val="0"/>
          <w:marBottom w:val="0"/>
          <w:divBdr>
            <w:top w:val="none" w:sz="0" w:space="0" w:color="auto"/>
            <w:left w:val="none" w:sz="0" w:space="0" w:color="auto"/>
            <w:bottom w:val="none" w:sz="0" w:space="0" w:color="auto"/>
            <w:right w:val="none" w:sz="0" w:space="0" w:color="auto"/>
          </w:divBdr>
        </w:div>
        <w:div w:id="23597308">
          <w:marLeft w:val="446"/>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2333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cek.konieczny@huawei.com"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1821</Words>
  <Characters>11476</Characters>
  <Application>Microsoft Macintosh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13271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68</cp:revision>
  <cp:lastPrinted>1900-12-31T23:00:00Z</cp:lastPrinted>
  <dcterms:created xsi:type="dcterms:W3CDTF">2014-06-16T07:09:00Z</dcterms:created>
  <dcterms:modified xsi:type="dcterms:W3CDTF">2014-07-04T09:10:00Z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