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B27280" w:rsidTr="00E21F20">
        <w:tc>
          <w:tcPr>
            <w:tcW w:w="6858" w:type="dxa"/>
          </w:tcPr>
          <w:p w:rsidR="006C5D39" w:rsidRPr="00B27280" w:rsidRDefault="00954B96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54B96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855804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55804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B27280">
              <w:rPr>
                <w:b/>
                <w:szCs w:val="22"/>
                <w:lang w:val="en-CA"/>
              </w:rPr>
              <w:t xml:space="preserve">Joint </w:t>
            </w:r>
            <w:r w:rsidR="006C5D39" w:rsidRPr="00B27280">
              <w:rPr>
                <w:b/>
                <w:szCs w:val="22"/>
                <w:lang w:val="en-CA"/>
              </w:rPr>
              <w:t>Collaborative</w:t>
            </w:r>
            <w:r w:rsidR="00E61DAC" w:rsidRPr="00B27280">
              <w:rPr>
                <w:b/>
                <w:szCs w:val="22"/>
                <w:lang w:val="en-CA"/>
              </w:rPr>
              <w:t xml:space="preserve"> Team </w:t>
            </w:r>
            <w:r w:rsidR="006C5D39" w:rsidRPr="00B27280">
              <w:rPr>
                <w:b/>
                <w:szCs w:val="22"/>
                <w:lang w:val="en-CA"/>
              </w:rPr>
              <w:t xml:space="preserve">on </w:t>
            </w:r>
            <w:r w:rsidR="00E21F20" w:rsidRPr="00B2728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B27280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27280">
              <w:rPr>
                <w:b/>
                <w:szCs w:val="22"/>
                <w:lang w:val="en-CA"/>
              </w:rPr>
              <w:t xml:space="preserve">of </w:t>
            </w:r>
            <w:r w:rsidR="007F1F8B" w:rsidRPr="00B27280">
              <w:rPr>
                <w:b/>
                <w:szCs w:val="22"/>
                <w:lang w:val="en-CA"/>
              </w:rPr>
              <w:t>ITU-T SG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16 WP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3 and ISO/IEC JTC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1/SC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29/WG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11</w:t>
            </w:r>
          </w:p>
          <w:p w:rsidR="00E61DAC" w:rsidRPr="00B27280" w:rsidRDefault="000129A5" w:rsidP="006F6D05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4th Meeting: Incheon, KR, 20–26 Apr. 2013</w:t>
            </w:r>
          </w:p>
        </w:tc>
        <w:tc>
          <w:tcPr>
            <w:tcW w:w="2718" w:type="dxa"/>
          </w:tcPr>
          <w:p w:rsidR="008A4B4C" w:rsidRPr="00B27280" w:rsidRDefault="00E61DAC" w:rsidP="00972784">
            <w:pPr>
              <w:tabs>
                <w:tab w:val="left" w:pos="7200"/>
              </w:tabs>
              <w:rPr>
                <w:u w:val="single"/>
                <w:lang w:val="en-CA" w:eastAsia="zh-TW"/>
              </w:rPr>
            </w:pPr>
            <w:bookmarkStart w:id="0" w:name="OLE_LINK17"/>
            <w:bookmarkStart w:id="1" w:name="OLE_LINK18"/>
            <w:r w:rsidRPr="00B27280">
              <w:rPr>
                <w:lang w:val="en-CA"/>
              </w:rPr>
              <w:t>Document</w:t>
            </w:r>
            <w:r w:rsidR="006C5D39" w:rsidRPr="00B27280">
              <w:rPr>
                <w:lang w:val="en-CA"/>
              </w:rPr>
              <w:t xml:space="preserve">: </w:t>
            </w:r>
            <w:r w:rsidR="00AA13C8" w:rsidRPr="00B27280">
              <w:rPr>
                <w:lang w:val="en-CA"/>
              </w:rPr>
              <w:t>JCT</w:t>
            </w:r>
            <w:r w:rsidR="00AA13C8">
              <w:rPr>
                <w:lang w:val="en-CA"/>
              </w:rPr>
              <w:t>3V</w:t>
            </w:r>
            <w:r w:rsidRPr="00B27280">
              <w:rPr>
                <w:lang w:val="en-CA"/>
              </w:rPr>
              <w:t>-</w:t>
            </w:r>
            <w:bookmarkEnd w:id="0"/>
            <w:bookmarkEnd w:id="1"/>
            <w:r w:rsidR="000129A5" w:rsidRPr="00972784">
              <w:rPr>
                <w:rFonts w:hint="eastAsia"/>
                <w:lang w:val="en-CA" w:eastAsia="zh-TW"/>
              </w:rPr>
              <w:t>D</w:t>
            </w:r>
            <w:r w:rsidR="00972784">
              <w:rPr>
                <w:rFonts w:hint="eastAsia"/>
                <w:lang w:val="en-CA" w:eastAsia="zh-TW"/>
              </w:rPr>
              <w:t>0105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4E7D69" w:rsidRDefault="00856487" w:rsidP="00201FDF">
            <w:pPr>
              <w:rPr>
                <w:b/>
                <w:bCs/>
                <w:lang w:eastAsia="zh-TW"/>
              </w:rPr>
            </w:pPr>
            <w:bookmarkStart w:id="2" w:name="OLE_LINK10"/>
            <w:bookmarkStart w:id="3" w:name="OLE_LINK9"/>
            <w:r>
              <w:rPr>
                <w:rFonts w:hint="eastAsia"/>
                <w:b/>
                <w:bCs/>
                <w:lang w:eastAsia="zh-TW"/>
              </w:rPr>
              <w:t>3D-CE</w:t>
            </w:r>
            <w:r w:rsidR="0019108B">
              <w:rPr>
                <w:rFonts w:hint="eastAsia"/>
                <w:b/>
                <w:bCs/>
                <w:lang w:eastAsia="zh-TW"/>
              </w:rPr>
              <w:t>1</w:t>
            </w:r>
            <w:r>
              <w:rPr>
                <w:rFonts w:hint="eastAsia"/>
                <w:b/>
                <w:bCs/>
                <w:lang w:eastAsia="zh-TW"/>
              </w:rPr>
              <w:t xml:space="preserve">.h </w:t>
            </w:r>
            <w:r w:rsidR="00201FDF">
              <w:rPr>
                <w:rFonts w:hint="eastAsia"/>
                <w:b/>
                <w:bCs/>
                <w:lang w:eastAsia="zh-TW"/>
              </w:rPr>
              <w:t>related :</w:t>
            </w:r>
            <w:bookmarkEnd w:id="2"/>
            <w:bookmarkEnd w:id="3"/>
            <w:r w:rsidR="0019108B">
              <w:rPr>
                <w:rFonts w:hint="eastAsia"/>
                <w:b/>
                <w:bCs/>
                <w:lang w:eastAsia="zh-TW"/>
              </w:rPr>
              <w:t>simplif</w:t>
            </w:r>
            <w:r w:rsidR="00201FDF">
              <w:rPr>
                <w:rFonts w:hint="eastAsia"/>
                <w:b/>
                <w:bCs/>
                <w:lang w:eastAsia="zh-TW"/>
              </w:rPr>
              <w:t>ications on</w:t>
            </w:r>
            <w:r w:rsidR="0019108B">
              <w:rPr>
                <w:rFonts w:hint="eastAsia"/>
                <w:b/>
                <w:bCs/>
                <w:lang w:eastAsia="zh-TW"/>
              </w:rPr>
              <w:t xml:space="preserve"> view synthesis prediction</w:t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B27280" w:rsidRDefault="00E61DAC" w:rsidP="00405050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t>Input Document</w:t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B27280" w:rsidRDefault="00E61DAC" w:rsidP="00405050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t>Proposal</w:t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Author(s) or</w:t>
            </w:r>
            <w:r w:rsidRPr="00B27280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2B4841" w:rsidRPr="00F2344A" w:rsidRDefault="002B4841" w:rsidP="002B4841">
            <w:pPr>
              <w:spacing w:before="60" w:after="60"/>
              <w:rPr>
                <w:szCs w:val="22"/>
                <w:vertAlign w:val="superscript"/>
                <w:lang w:eastAsia="zh-TW"/>
              </w:rPr>
            </w:pPr>
            <w:r>
              <w:rPr>
                <w:lang w:eastAsia="ja-JP"/>
              </w:rPr>
              <w:t>Yi-Wen Chen</w:t>
            </w:r>
            <w:r w:rsidR="00F2344A">
              <w:rPr>
                <w:rFonts w:hint="eastAsia"/>
                <w:vertAlign w:val="superscript"/>
                <w:lang w:eastAsia="zh-TW"/>
              </w:rPr>
              <w:t>1</w:t>
            </w:r>
            <w:r>
              <w:rPr>
                <w:szCs w:val="22"/>
                <w:lang w:eastAsia="zh-TW"/>
              </w:rPr>
              <w:t xml:space="preserve">, </w:t>
            </w:r>
            <w:r w:rsidR="00F2344A">
              <w:rPr>
                <w:szCs w:val="22"/>
                <w:lang w:eastAsia="zh-TW"/>
              </w:rPr>
              <w:t>Jicheng An</w:t>
            </w:r>
            <w:r w:rsidR="00F2344A">
              <w:rPr>
                <w:rFonts w:hint="eastAsia"/>
                <w:szCs w:val="22"/>
                <w:vertAlign w:val="superscript"/>
                <w:lang w:eastAsia="zh-TW"/>
              </w:rPr>
              <w:t>2</w:t>
            </w:r>
            <w:r w:rsidR="00F2344A">
              <w:rPr>
                <w:rFonts w:hint="eastAsia"/>
                <w:szCs w:val="22"/>
                <w:lang w:eastAsia="zh-TW"/>
              </w:rPr>
              <w:t>,</w:t>
            </w:r>
            <w:r w:rsidR="00F2344A" w:rsidRPr="00F2344A">
              <w:rPr>
                <w:rFonts w:hint="eastAsia"/>
                <w:szCs w:val="22"/>
                <w:lang w:eastAsia="zh-TW"/>
              </w:rPr>
              <w:t xml:space="preserve"> </w:t>
            </w:r>
            <w:r>
              <w:rPr>
                <w:szCs w:val="22"/>
                <w:lang w:eastAsia="zh-TW"/>
              </w:rPr>
              <w:t>Jian-Liang Lin</w:t>
            </w:r>
            <w:r w:rsidR="00F2344A">
              <w:rPr>
                <w:rFonts w:hint="eastAsia"/>
                <w:szCs w:val="22"/>
                <w:vertAlign w:val="superscript"/>
                <w:lang w:eastAsia="zh-TW"/>
              </w:rPr>
              <w:t>1</w:t>
            </w:r>
            <w:r>
              <w:rPr>
                <w:szCs w:val="22"/>
                <w:lang w:eastAsia="zh-TW"/>
              </w:rPr>
              <w:t xml:space="preserve">, </w:t>
            </w:r>
            <w:bookmarkStart w:id="4" w:name="OLE_LINK203"/>
            <w:bookmarkStart w:id="5" w:name="OLE_LINK204"/>
            <w:r>
              <w:rPr>
                <w:szCs w:val="22"/>
                <w:lang w:eastAsia="zh-TW"/>
              </w:rPr>
              <w:t>Yu-Wen Huang</w:t>
            </w:r>
            <w:r w:rsidR="00F2344A">
              <w:rPr>
                <w:rFonts w:hint="eastAsia"/>
                <w:szCs w:val="22"/>
                <w:vertAlign w:val="superscript"/>
                <w:lang w:eastAsia="zh-TW"/>
              </w:rPr>
              <w:t>1</w:t>
            </w:r>
            <w:r>
              <w:rPr>
                <w:szCs w:val="22"/>
                <w:lang w:eastAsia="zh-TW"/>
              </w:rPr>
              <w:t>, Shawmin Lei</w:t>
            </w:r>
            <w:bookmarkEnd w:id="4"/>
            <w:bookmarkEnd w:id="5"/>
            <w:r w:rsidR="00F2344A">
              <w:rPr>
                <w:rFonts w:hint="eastAsia"/>
                <w:szCs w:val="22"/>
                <w:vertAlign w:val="superscript"/>
                <w:lang w:eastAsia="zh-TW"/>
              </w:rPr>
              <w:t>1</w:t>
            </w:r>
          </w:p>
          <w:p w:rsidR="00F2344A" w:rsidRDefault="00F2344A" w:rsidP="00C12021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rFonts w:hint="eastAsia"/>
                <w:szCs w:val="22"/>
                <w:vertAlign w:val="superscript"/>
                <w:lang w:eastAsia="zh-TW"/>
              </w:rPr>
              <w:t>1</w:t>
            </w:r>
            <w:r>
              <w:rPr>
                <w:szCs w:val="22"/>
                <w:lang w:eastAsia="zh-TW"/>
              </w:rPr>
              <w:t xml:space="preserve"> MediaTek Hsinchu</w:t>
            </w:r>
          </w:p>
          <w:p w:rsidR="00E61DAC" w:rsidRDefault="002B4841" w:rsidP="00C12021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>No. 1, Dusing Rd. 1, Hsinchu Science Park, Hsinchu, Taiwan 30078</w:t>
            </w:r>
          </w:p>
          <w:p w:rsidR="00F2344A" w:rsidRPr="00F2344A" w:rsidRDefault="00F2344A" w:rsidP="00162260">
            <w:pPr>
              <w:spacing w:before="60" w:after="60"/>
              <w:rPr>
                <w:szCs w:val="22"/>
                <w:lang w:eastAsia="zh-TW"/>
              </w:rPr>
            </w:pPr>
            <w:bookmarkStart w:id="6" w:name="OLE_LINK231"/>
            <w:bookmarkStart w:id="7" w:name="OLE_LINK232"/>
            <w:r>
              <w:rPr>
                <w:rFonts w:hint="eastAsia"/>
                <w:szCs w:val="22"/>
                <w:vertAlign w:val="superscript"/>
                <w:lang w:eastAsia="zh-TW"/>
              </w:rPr>
              <w:t>2</w:t>
            </w:r>
            <w:r>
              <w:rPr>
                <w:szCs w:val="22"/>
                <w:lang w:eastAsia="zh-TW"/>
              </w:rPr>
              <w:t xml:space="preserve"> </w:t>
            </w:r>
            <w:bookmarkEnd w:id="6"/>
            <w:bookmarkEnd w:id="7"/>
            <w:r>
              <w:rPr>
                <w:szCs w:val="22"/>
                <w:lang w:eastAsia="zh-TW"/>
              </w:rPr>
              <w:t>MediaTek Beijing</w:t>
            </w:r>
            <w:r>
              <w:rPr>
                <w:szCs w:val="22"/>
                <w:lang w:eastAsia="zh-TW"/>
              </w:rPr>
              <w:br/>
            </w:r>
            <w:r>
              <w:rPr>
                <w:szCs w:val="22"/>
              </w:rPr>
              <w:t>Building 1-B, No.6 Park, Jiuxianqiao Road, Chaoyang District, Beijing, China, 100015</w:t>
            </w:r>
          </w:p>
        </w:tc>
        <w:tc>
          <w:tcPr>
            <w:tcW w:w="900" w:type="dxa"/>
          </w:tcPr>
          <w:p w:rsidR="00E61DAC" w:rsidRPr="00B27280" w:rsidRDefault="00E61DAC" w:rsidP="002B4841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br/>
              <w:t>Tel:</w:t>
            </w:r>
            <w:r w:rsidRPr="00B27280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B27280" w:rsidRDefault="002B4841" w:rsidP="00F2344A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eastAsia="zh-TW"/>
              </w:rPr>
              <w:t>Shawmin Lei</w:t>
            </w:r>
            <w:r w:rsidR="00E61DAC" w:rsidRPr="00B27280">
              <w:rPr>
                <w:szCs w:val="22"/>
                <w:lang w:val="en-CA"/>
              </w:rPr>
              <w:br/>
            </w:r>
            <w:bookmarkStart w:id="8" w:name="OLE_LINK235"/>
            <w:bookmarkStart w:id="9" w:name="OLE_LINK236"/>
            <w:r>
              <w:rPr>
                <w:szCs w:val="22"/>
                <w:lang w:eastAsia="zh-TW"/>
              </w:rPr>
              <w:t>+886-3-5670766 ext. 25555</w:t>
            </w:r>
            <w:r w:rsidR="005602CD">
              <w:rPr>
                <w:rFonts w:hint="eastAsia"/>
                <w:szCs w:val="22"/>
                <w:lang w:eastAsia="zh-TW"/>
              </w:rPr>
              <w:br/>
            </w:r>
            <w:r>
              <w:rPr>
                <w:szCs w:val="22"/>
                <w:lang w:eastAsia="zh-TW"/>
              </w:rPr>
              <w:t>{</w:t>
            </w:r>
            <w:r w:rsidR="00BA70AA">
              <w:rPr>
                <w:rFonts w:hint="eastAsia"/>
                <w:szCs w:val="22"/>
                <w:lang w:eastAsia="zh-TW"/>
              </w:rPr>
              <w:t>yiwen.chen</w:t>
            </w:r>
            <w:r>
              <w:rPr>
                <w:szCs w:val="22"/>
                <w:lang w:eastAsia="zh-TW"/>
              </w:rPr>
              <w:t>,</w:t>
            </w:r>
            <w:r w:rsidR="00BA70AA">
              <w:rPr>
                <w:rFonts w:hint="eastAsia"/>
                <w:szCs w:val="22"/>
                <w:lang w:eastAsia="zh-TW"/>
              </w:rPr>
              <w:t xml:space="preserve"> </w:t>
            </w:r>
            <w:r w:rsidR="00F2344A">
              <w:rPr>
                <w:szCs w:val="22"/>
                <w:lang w:eastAsia="zh-TW"/>
              </w:rPr>
              <w:t>jicheng.an</w:t>
            </w:r>
            <w:r w:rsidR="00F2344A">
              <w:rPr>
                <w:rFonts w:hint="eastAsia"/>
                <w:szCs w:val="22"/>
                <w:lang w:eastAsia="zh-TW"/>
              </w:rPr>
              <w:t xml:space="preserve">, </w:t>
            </w:r>
            <w:r w:rsidR="00BA70AA">
              <w:rPr>
                <w:rFonts w:hint="eastAsia"/>
                <w:szCs w:val="22"/>
                <w:lang w:eastAsia="zh-TW"/>
              </w:rPr>
              <w:t xml:space="preserve">jl.lin, </w:t>
            </w:r>
            <w:bookmarkStart w:id="10" w:name="OLE_LINK207"/>
            <w:bookmarkStart w:id="11" w:name="OLE_LINK208"/>
            <w:r w:rsidR="00BA70AA">
              <w:rPr>
                <w:rFonts w:hint="eastAsia"/>
                <w:szCs w:val="22"/>
                <w:lang w:eastAsia="zh-TW"/>
              </w:rPr>
              <w:t>yuwen.huang</w:t>
            </w:r>
            <w:bookmarkEnd w:id="10"/>
            <w:bookmarkEnd w:id="11"/>
            <w:r w:rsidR="005602CD">
              <w:rPr>
                <w:rFonts w:hint="eastAsia"/>
                <w:szCs w:val="22"/>
                <w:lang w:eastAsia="zh-TW"/>
              </w:rPr>
              <w:t xml:space="preserve">, </w:t>
            </w:r>
            <w:r>
              <w:rPr>
                <w:szCs w:val="22"/>
                <w:lang w:eastAsia="zh-TW"/>
              </w:rPr>
              <w:t>shawmin.lei}</w:t>
            </w:r>
            <w:r w:rsidR="005602CD">
              <w:rPr>
                <w:rFonts w:hint="eastAsia"/>
                <w:szCs w:val="22"/>
                <w:lang w:eastAsia="zh-TW"/>
              </w:rPr>
              <w:t xml:space="preserve"> </w:t>
            </w:r>
            <w:r>
              <w:rPr>
                <w:szCs w:val="22"/>
                <w:lang w:eastAsia="zh-TW"/>
              </w:rPr>
              <w:t>@mediatek.com</w:t>
            </w:r>
            <w:bookmarkEnd w:id="8"/>
            <w:bookmarkEnd w:id="9"/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B27280" w:rsidRDefault="00405050">
            <w:pPr>
              <w:spacing w:before="60" w:after="60"/>
              <w:rPr>
                <w:szCs w:val="22"/>
                <w:lang w:val="en-CA"/>
              </w:rPr>
            </w:pPr>
            <w:bookmarkStart w:id="12" w:name="OLE_LINK8"/>
            <w:bookmarkStart w:id="13" w:name="OLE_LINK7"/>
            <w:r w:rsidRPr="00405050">
              <w:rPr>
                <w:rFonts w:eastAsia="Batang"/>
                <w:lang w:eastAsia="ko-KR"/>
              </w:rPr>
              <w:t>MediaTek Inc.</w:t>
            </w:r>
            <w:bookmarkEnd w:id="12"/>
            <w:bookmarkEnd w:id="13"/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 w:eastAsia="zh-CN"/>
        </w:rPr>
      </w:pPr>
      <w:r w:rsidRPr="005B217D">
        <w:rPr>
          <w:lang w:val="en-CA"/>
        </w:rPr>
        <w:t>Abstract</w:t>
      </w:r>
    </w:p>
    <w:p w:rsidR="00B41191" w:rsidRPr="006C4940" w:rsidRDefault="00BE7553" w:rsidP="00A6280B">
      <w:pPr>
        <w:jc w:val="both"/>
        <w:textAlignment w:val="baseline"/>
        <w:rPr>
          <w:lang w:eastAsia="zh-TW"/>
        </w:rPr>
      </w:pPr>
      <w:bookmarkStart w:id="14" w:name="OLE_LINK11"/>
      <w:bookmarkStart w:id="15" w:name="OLE_LINK241"/>
      <w:bookmarkStart w:id="16" w:name="OLE_LINK380"/>
      <w:bookmarkStart w:id="17" w:name="OLE_LINK381"/>
      <w:bookmarkStart w:id="18" w:name="OLE_LINK399"/>
      <w:bookmarkStart w:id="19" w:name="OLE_LINK400"/>
      <w:bookmarkStart w:id="20" w:name="OLE_LINK401"/>
      <w:bookmarkStart w:id="21" w:name="OLE_LINK63"/>
      <w:bookmarkStart w:id="22" w:name="OLE_LINK64"/>
      <w:bookmarkStart w:id="23" w:name="OLE_LINK422"/>
      <w:bookmarkStart w:id="24" w:name="OLE_LINK423"/>
      <w:r w:rsidRPr="00A6280B">
        <w:rPr>
          <w:rFonts w:eastAsia="Times New Roman"/>
          <w:lang w:val="en-CA"/>
        </w:rPr>
        <w:t xml:space="preserve">In </w:t>
      </w:r>
      <w:bookmarkStart w:id="25" w:name="OLE_LINK14"/>
      <w:bookmarkEnd w:id="14"/>
      <w:r w:rsidRPr="00A6280B">
        <w:rPr>
          <w:rFonts w:eastAsia="Times New Roman"/>
          <w:lang w:val="en-CA"/>
        </w:rPr>
        <w:t xml:space="preserve">HTM </w:t>
      </w:r>
      <w:r w:rsidR="00DF2F67" w:rsidRPr="00A6280B">
        <w:rPr>
          <w:rFonts w:eastAsia="Times New Roman" w:hint="eastAsia"/>
          <w:lang w:val="en-CA"/>
        </w:rPr>
        <w:t>6</w:t>
      </w:r>
      <w:r w:rsidRPr="00A6280B">
        <w:rPr>
          <w:rFonts w:eastAsia="Times New Roman"/>
          <w:lang w:val="en-CA"/>
        </w:rPr>
        <w:t>.</w:t>
      </w:r>
      <w:bookmarkEnd w:id="25"/>
      <w:r w:rsidRPr="00A6280B">
        <w:rPr>
          <w:rFonts w:eastAsia="Times New Roman"/>
          <w:lang w:val="en-CA"/>
        </w:rPr>
        <w:t>0,</w:t>
      </w:r>
      <w:bookmarkEnd w:id="15"/>
      <w:r w:rsidRPr="00A6280B">
        <w:rPr>
          <w:rFonts w:eastAsia="Times New Roman"/>
          <w:lang w:val="en-CA"/>
        </w:rPr>
        <w:t xml:space="preserve"> </w:t>
      </w:r>
      <w:bookmarkStart w:id="26" w:name="OLE_LINK402"/>
      <w:bookmarkStart w:id="27" w:name="OLE_LINK403"/>
      <w:bookmarkStart w:id="28" w:name="OLE_LINK404"/>
      <w:bookmarkStart w:id="29" w:name="OLE_LINK405"/>
      <w:bookmarkEnd w:id="16"/>
      <w:bookmarkEnd w:id="17"/>
      <w:r w:rsidR="00DF2F67" w:rsidRPr="00A6280B">
        <w:rPr>
          <w:rFonts w:eastAsia="Times New Roman" w:hint="eastAsia"/>
          <w:lang w:val="en-CA"/>
        </w:rPr>
        <w:t xml:space="preserve">view synthesis prediction (VSP) </w:t>
      </w:r>
      <w:r w:rsidR="00DF2F67" w:rsidRPr="00A6280B">
        <w:rPr>
          <w:rFonts w:eastAsia="Times New Roman"/>
          <w:lang w:val="en-CA"/>
        </w:rPr>
        <w:t xml:space="preserve">uses the </w:t>
      </w:r>
      <w:r w:rsidR="001D61F5" w:rsidRPr="00A6280B">
        <w:rPr>
          <w:rFonts w:eastAsia="Times New Roman" w:hint="eastAsia"/>
          <w:lang w:val="en-CA"/>
        </w:rPr>
        <w:t xml:space="preserve">scheme of depth oriented neighboring block disparity vector (DoNBDV) </w:t>
      </w:r>
      <w:r w:rsidR="00DF2F67" w:rsidRPr="00A6280B">
        <w:rPr>
          <w:rFonts w:eastAsia="Times New Roman"/>
          <w:lang w:val="en-CA"/>
        </w:rPr>
        <w:t>to derive a depth block to perform the backward warping operation</w:t>
      </w:r>
      <w:r w:rsidR="00DF2F67" w:rsidRPr="00A6280B">
        <w:rPr>
          <w:rFonts w:eastAsia="Times New Roman" w:hint="eastAsia"/>
          <w:lang w:val="en-CA"/>
        </w:rPr>
        <w:t xml:space="preserve"> for both texture and depth coding.</w:t>
      </w:r>
      <w:r w:rsidR="00236F67" w:rsidRPr="00A6280B">
        <w:rPr>
          <w:rFonts w:eastAsia="Times New Roman" w:hint="eastAsia"/>
          <w:lang w:val="en-CA"/>
        </w:rPr>
        <w:t xml:space="preserve"> </w:t>
      </w:r>
      <w:r w:rsidR="002B6D1D" w:rsidRPr="00A6280B">
        <w:rPr>
          <w:rFonts w:eastAsia="Times New Roman" w:hint="eastAsia"/>
          <w:lang w:val="en-CA"/>
        </w:rPr>
        <w:t>However, i</w:t>
      </w:r>
      <w:r w:rsidR="002B6D1D" w:rsidRPr="00A6280B">
        <w:rPr>
          <w:rFonts w:eastAsia="Times New Roman"/>
          <w:lang w:val="en-CA"/>
        </w:rPr>
        <w:t>t is observed that VSP does not introduce sufficient coding gain for depth coding</w:t>
      </w:r>
      <w:r w:rsidR="002B6D1D" w:rsidRPr="00A6280B">
        <w:rPr>
          <w:rFonts w:eastAsia="Times New Roman" w:hint="eastAsia"/>
          <w:lang w:val="en-CA"/>
        </w:rPr>
        <w:t xml:space="preserve"> in current design. In this contribution, </w:t>
      </w:r>
      <w:r w:rsidR="0026063A">
        <w:rPr>
          <w:rFonts w:hint="eastAsia"/>
          <w:lang w:val="en-CA" w:eastAsia="zh-TW"/>
        </w:rPr>
        <w:t>it is</w:t>
      </w:r>
      <w:r w:rsidR="0026063A" w:rsidRPr="00A6280B">
        <w:rPr>
          <w:rFonts w:eastAsia="Times New Roman"/>
          <w:lang w:val="en-CA"/>
        </w:rPr>
        <w:t xml:space="preserve"> </w:t>
      </w:r>
      <w:r w:rsidR="002B6D1D" w:rsidRPr="00A6280B">
        <w:rPr>
          <w:rFonts w:eastAsia="Times New Roman"/>
          <w:lang w:val="en-CA"/>
        </w:rPr>
        <w:t>propose</w:t>
      </w:r>
      <w:r w:rsidR="0026063A">
        <w:rPr>
          <w:rFonts w:hint="eastAsia"/>
          <w:lang w:val="en-CA" w:eastAsia="zh-TW"/>
        </w:rPr>
        <w:t>d</w:t>
      </w:r>
      <w:r w:rsidR="002B6D1D" w:rsidRPr="00A6280B">
        <w:rPr>
          <w:rFonts w:eastAsia="Times New Roman"/>
          <w:lang w:val="en-CA"/>
        </w:rPr>
        <w:t xml:space="preserve"> to disable VSP for depth coding.</w:t>
      </w:r>
      <w:r w:rsidR="002B6D1D" w:rsidRPr="00A6280B">
        <w:rPr>
          <w:rFonts w:eastAsia="Times New Roman" w:hint="eastAsia"/>
          <w:lang w:val="en-CA"/>
        </w:rPr>
        <w:t xml:space="preserve"> Moreover, f</w:t>
      </w:r>
      <w:r w:rsidR="001D61F5" w:rsidRPr="00A6280B">
        <w:rPr>
          <w:rFonts w:eastAsia="Times New Roman" w:hint="eastAsia"/>
          <w:lang w:val="en-CA"/>
        </w:rPr>
        <w:t xml:space="preserve">or each VSP coded CU, </w:t>
      </w:r>
      <w:r w:rsidR="0026063A">
        <w:rPr>
          <w:rFonts w:hint="eastAsia"/>
          <w:lang w:val="en-CA" w:eastAsia="zh-TW"/>
        </w:rPr>
        <w:t>the current VSP</w:t>
      </w:r>
      <w:r w:rsidR="001D61F5" w:rsidRPr="00A6280B">
        <w:rPr>
          <w:rFonts w:eastAsia="Times New Roman" w:hint="eastAsia"/>
          <w:lang w:val="en-CA"/>
        </w:rPr>
        <w:t xml:space="preserve"> needs to access depth blocks of the reference view twice and the</w:t>
      </w:r>
      <w:r w:rsidR="00B156E5">
        <w:rPr>
          <w:rFonts w:eastAsia="Times New Roman"/>
          <w:lang w:val="en-CA"/>
        </w:rPr>
        <w:t>se</w:t>
      </w:r>
      <w:r w:rsidR="001D61F5" w:rsidRPr="00A6280B">
        <w:rPr>
          <w:rFonts w:eastAsia="Times New Roman" w:hint="eastAsia"/>
          <w:lang w:val="en-CA"/>
        </w:rPr>
        <w:t xml:space="preserve"> two accessed</w:t>
      </w:r>
      <w:r w:rsidR="00B47884" w:rsidRPr="00A6280B">
        <w:rPr>
          <w:rFonts w:eastAsia="Times New Roman" w:hint="eastAsia"/>
          <w:lang w:val="en-CA"/>
        </w:rPr>
        <w:t xml:space="preserve"> depth blocks may be totally un-</w:t>
      </w:r>
      <w:r w:rsidR="001D61F5" w:rsidRPr="00A6280B">
        <w:rPr>
          <w:rFonts w:eastAsia="Times New Roman" w:hint="eastAsia"/>
          <w:lang w:val="en-CA"/>
        </w:rPr>
        <w:t xml:space="preserve">overlapped. To reduce </w:t>
      </w:r>
      <w:bookmarkStart w:id="30" w:name="OLE_LINK1"/>
      <w:bookmarkStart w:id="31" w:name="OLE_LINK2"/>
      <w:r w:rsidR="001D61F5" w:rsidRPr="00A6280B">
        <w:rPr>
          <w:rFonts w:eastAsia="Times New Roman" w:hint="eastAsia"/>
          <w:lang w:val="en-CA"/>
        </w:rPr>
        <w:t xml:space="preserve">the memory bandwidth </w:t>
      </w:r>
      <w:bookmarkEnd w:id="30"/>
      <w:bookmarkEnd w:id="31"/>
      <w:r w:rsidR="00B156E5">
        <w:rPr>
          <w:rFonts w:eastAsia="Times New Roman"/>
          <w:lang w:val="en-CA"/>
        </w:rPr>
        <w:t>of</w:t>
      </w:r>
      <w:r w:rsidR="001D61F5" w:rsidRPr="00A6280B">
        <w:rPr>
          <w:rFonts w:eastAsia="Times New Roman" w:hint="eastAsia"/>
          <w:lang w:val="en-CA"/>
        </w:rPr>
        <w:t xml:space="preserve"> the reference depth data</w:t>
      </w:r>
      <w:r w:rsidR="00B156E5">
        <w:rPr>
          <w:rFonts w:eastAsia="Times New Roman"/>
          <w:lang w:val="en-CA"/>
        </w:rPr>
        <w:t xml:space="preserve"> access</w:t>
      </w:r>
      <w:r w:rsidR="001D61F5" w:rsidRPr="00A6280B">
        <w:rPr>
          <w:rFonts w:eastAsia="Times New Roman" w:hint="eastAsia"/>
          <w:lang w:val="en-CA"/>
        </w:rPr>
        <w:t xml:space="preserve">, </w:t>
      </w:r>
      <w:r w:rsidR="00180D9C">
        <w:rPr>
          <w:rFonts w:hint="eastAsia"/>
          <w:lang w:val="en-CA" w:eastAsia="zh-TW"/>
        </w:rPr>
        <w:t>it is further</w:t>
      </w:r>
      <w:r w:rsidR="00180D9C" w:rsidRPr="00A6280B">
        <w:rPr>
          <w:rFonts w:eastAsia="Times New Roman" w:hint="eastAsia"/>
          <w:lang w:val="en-CA"/>
        </w:rPr>
        <w:t xml:space="preserve"> </w:t>
      </w:r>
      <w:r w:rsidR="001D61F5" w:rsidRPr="00A6280B">
        <w:rPr>
          <w:rFonts w:eastAsia="Times New Roman" w:hint="eastAsia"/>
          <w:lang w:val="en-CA"/>
        </w:rPr>
        <w:t>propose</w:t>
      </w:r>
      <w:r w:rsidR="00180D9C">
        <w:rPr>
          <w:rFonts w:hint="eastAsia"/>
          <w:lang w:val="en-CA" w:eastAsia="zh-TW"/>
        </w:rPr>
        <w:t>d</w:t>
      </w:r>
      <w:r w:rsidR="001D61F5" w:rsidRPr="00A6280B">
        <w:rPr>
          <w:rFonts w:eastAsia="Times New Roman" w:hint="eastAsia"/>
          <w:lang w:val="en-CA"/>
        </w:rPr>
        <w:t xml:space="preserve"> to </w:t>
      </w:r>
      <w:r w:rsidR="00B156E5">
        <w:rPr>
          <w:rFonts w:eastAsia="Times New Roman"/>
          <w:lang w:val="en-CA"/>
        </w:rPr>
        <w:t xml:space="preserve">simply </w:t>
      </w:r>
      <w:r w:rsidR="001D61F5" w:rsidRPr="00A6280B">
        <w:rPr>
          <w:rFonts w:eastAsia="Times New Roman" w:hint="eastAsia"/>
          <w:lang w:val="en-CA"/>
        </w:rPr>
        <w:t xml:space="preserve">use </w:t>
      </w:r>
      <w:r w:rsidR="00980D9A" w:rsidRPr="00A6280B">
        <w:rPr>
          <w:rFonts w:eastAsia="Times New Roman" w:hint="eastAsia"/>
          <w:lang w:val="en-CA"/>
        </w:rPr>
        <w:t xml:space="preserve">the </w:t>
      </w:r>
      <w:r w:rsidR="001D61F5" w:rsidRPr="00A6280B">
        <w:rPr>
          <w:rFonts w:eastAsia="Times New Roman" w:hint="eastAsia"/>
          <w:lang w:val="en-CA"/>
        </w:rPr>
        <w:t>neighboring block disparity vector (NBDV) instead of DoNBDV for VSP so that the access time of depth block for each VSP coded CU could be reduced from two to one.</w:t>
      </w:r>
      <w:r w:rsidR="008B6BF8" w:rsidRPr="00A6280B">
        <w:rPr>
          <w:rFonts w:eastAsia="Times New Roman" w:hint="eastAsia"/>
          <w:lang w:val="en-CA"/>
        </w:rPr>
        <w:t xml:space="preserve"> </w:t>
      </w:r>
      <w:bookmarkStart w:id="32" w:name="OLE_LINK245"/>
      <w:bookmarkStart w:id="33" w:name="OLE_LINK246"/>
      <w:bookmarkEnd w:id="18"/>
      <w:bookmarkEnd w:id="19"/>
      <w:bookmarkEnd w:id="20"/>
      <w:bookmarkEnd w:id="26"/>
      <w:bookmarkEnd w:id="27"/>
      <w:bookmarkEnd w:id="28"/>
      <w:bookmarkEnd w:id="29"/>
      <w:r w:rsidR="00E06125" w:rsidRPr="00A6280B">
        <w:rPr>
          <w:rFonts w:eastAsia="Times New Roman"/>
          <w:lang w:val="en-CA"/>
        </w:rPr>
        <w:t>The experimental</w:t>
      </w:r>
      <w:r w:rsidR="007557C3" w:rsidRPr="00A6280B">
        <w:rPr>
          <w:rFonts w:eastAsia="Times New Roman"/>
          <w:lang w:val="en-CA"/>
        </w:rPr>
        <w:t xml:space="preserve"> resul</w:t>
      </w:r>
      <w:r w:rsidR="00F23504" w:rsidRPr="00A6280B">
        <w:rPr>
          <w:rFonts w:eastAsia="Times New Roman" w:hint="eastAsia"/>
          <w:lang w:val="en-CA"/>
        </w:rPr>
        <w:t>ts</w:t>
      </w:r>
      <w:r w:rsidR="00F23504" w:rsidRPr="00A6280B">
        <w:rPr>
          <w:rFonts w:eastAsia="Times New Roman"/>
          <w:lang w:val="en-CA"/>
        </w:rPr>
        <w:t xml:space="preserve"> </w:t>
      </w:r>
      <w:r w:rsidR="00E06125" w:rsidRPr="00A6280B">
        <w:rPr>
          <w:rFonts w:eastAsia="Times New Roman"/>
          <w:lang w:val="en-CA"/>
        </w:rPr>
        <w:t xml:space="preserve">reportedly </w:t>
      </w:r>
      <w:r w:rsidR="00F23504" w:rsidRPr="00A6280B">
        <w:rPr>
          <w:rFonts w:eastAsia="Times New Roman"/>
          <w:lang w:val="en-CA"/>
        </w:rPr>
        <w:t>show</w:t>
      </w:r>
      <w:bookmarkEnd w:id="32"/>
      <w:bookmarkEnd w:id="33"/>
      <w:r w:rsidR="007557C3" w:rsidRPr="00A6280B">
        <w:rPr>
          <w:rFonts w:eastAsia="Times New Roman"/>
          <w:lang w:val="en-CA"/>
        </w:rPr>
        <w:t xml:space="preserve"> that</w:t>
      </w:r>
      <w:r w:rsidR="00884C5A" w:rsidRPr="00A6280B">
        <w:rPr>
          <w:rFonts w:eastAsia="Times New Roman" w:hint="eastAsia"/>
          <w:lang w:val="en-CA"/>
        </w:rPr>
        <w:t xml:space="preserve"> </w:t>
      </w:r>
      <w:bookmarkStart w:id="34" w:name="OLE_LINK249"/>
      <w:bookmarkStart w:id="35" w:name="OLE_LINK250"/>
      <w:r w:rsidR="00B47884" w:rsidRPr="00A6280B">
        <w:rPr>
          <w:rFonts w:eastAsia="Times New Roman" w:hint="eastAsia"/>
          <w:lang w:val="en-CA"/>
        </w:rPr>
        <w:t xml:space="preserve">disabling VSP for depth coding causes no BD-rate </w:t>
      </w:r>
      <w:r w:rsidR="00180D9C">
        <w:rPr>
          <w:rFonts w:hint="eastAsia"/>
          <w:lang w:val="en-CA" w:eastAsia="zh-TW"/>
        </w:rPr>
        <w:t>change</w:t>
      </w:r>
      <w:r w:rsidR="00180D9C" w:rsidRPr="00A6280B">
        <w:rPr>
          <w:rFonts w:eastAsia="Times New Roman" w:hint="eastAsia"/>
          <w:lang w:val="en-CA"/>
        </w:rPr>
        <w:t xml:space="preserve"> </w:t>
      </w:r>
      <w:r w:rsidR="00B47884" w:rsidRPr="00A6280B">
        <w:rPr>
          <w:rFonts w:eastAsia="Times New Roman" w:hint="eastAsia"/>
          <w:lang w:val="en-CA"/>
        </w:rPr>
        <w:t xml:space="preserve">and </w:t>
      </w:r>
      <w:r w:rsidR="007557C3" w:rsidRPr="00A6280B">
        <w:rPr>
          <w:rFonts w:eastAsia="Times New Roman"/>
          <w:lang w:val="en-CA"/>
        </w:rPr>
        <w:t xml:space="preserve">the proposed </w:t>
      </w:r>
      <w:r w:rsidR="00B47884" w:rsidRPr="00A6280B">
        <w:rPr>
          <w:rFonts w:eastAsia="Times New Roman" w:hint="eastAsia"/>
          <w:lang w:val="en-CA"/>
        </w:rPr>
        <w:t xml:space="preserve">VSP </w:t>
      </w:r>
      <w:r w:rsidR="00B156E5">
        <w:rPr>
          <w:rFonts w:eastAsia="Times New Roman"/>
          <w:lang w:val="en-CA"/>
        </w:rPr>
        <w:t xml:space="preserve">using NBDV </w:t>
      </w:r>
      <w:r w:rsidR="00B47884" w:rsidRPr="00A6280B">
        <w:rPr>
          <w:rFonts w:eastAsia="Times New Roman" w:hint="eastAsia"/>
          <w:lang w:val="en-CA"/>
        </w:rPr>
        <w:t>can even</w:t>
      </w:r>
      <w:r w:rsidR="005503FD" w:rsidRPr="00A6280B">
        <w:rPr>
          <w:rFonts w:eastAsia="Times New Roman"/>
          <w:lang w:val="en-CA"/>
        </w:rPr>
        <w:t xml:space="preserve"> </w:t>
      </w:r>
      <w:r w:rsidR="00E06125" w:rsidRPr="00A6280B">
        <w:rPr>
          <w:rFonts w:eastAsia="Times New Roman"/>
          <w:lang w:val="en-CA"/>
        </w:rPr>
        <w:t>achieve</w:t>
      </w:r>
      <w:r w:rsidR="005503FD" w:rsidRPr="00A6280B">
        <w:rPr>
          <w:rFonts w:eastAsia="Times New Roman"/>
          <w:lang w:val="en-CA"/>
        </w:rPr>
        <w:t xml:space="preserve"> </w:t>
      </w:r>
      <w:bookmarkStart w:id="36" w:name="OLE_LINK247"/>
      <w:bookmarkStart w:id="37" w:name="OLE_LINK248"/>
      <w:r w:rsidR="005503FD" w:rsidRPr="00A6280B">
        <w:rPr>
          <w:rFonts w:eastAsia="Times New Roman"/>
          <w:lang w:val="en-CA"/>
        </w:rPr>
        <w:t>0.</w:t>
      </w:r>
      <w:r w:rsidR="00B47884" w:rsidRPr="00A6280B">
        <w:rPr>
          <w:rFonts w:eastAsia="Times New Roman" w:hint="eastAsia"/>
          <w:lang w:val="en-CA"/>
        </w:rPr>
        <w:t>1</w:t>
      </w:r>
      <w:r w:rsidR="007557C3" w:rsidRPr="00A6280B">
        <w:rPr>
          <w:rFonts w:eastAsia="Times New Roman"/>
          <w:lang w:val="en-CA"/>
        </w:rPr>
        <w:t>%</w:t>
      </w:r>
      <w:r w:rsidR="00E3283D" w:rsidRPr="00A6280B">
        <w:rPr>
          <w:rFonts w:eastAsia="Times New Roman"/>
          <w:lang w:val="en-CA"/>
        </w:rPr>
        <w:t xml:space="preserve"> BD</w:t>
      </w:r>
      <w:r w:rsidR="00E3283D" w:rsidRPr="00A6280B">
        <w:rPr>
          <w:rFonts w:eastAsia="Times New Roman" w:hint="eastAsia"/>
          <w:lang w:val="en-CA"/>
        </w:rPr>
        <w:t>-</w:t>
      </w:r>
      <w:r w:rsidR="006F6D05" w:rsidRPr="00A6280B">
        <w:rPr>
          <w:rFonts w:eastAsia="Times New Roman" w:hint="eastAsia"/>
          <w:lang w:val="en-CA"/>
        </w:rPr>
        <w:t>r</w:t>
      </w:r>
      <w:r w:rsidR="007557C3" w:rsidRPr="00A6280B">
        <w:rPr>
          <w:rFonts w:eastAsia="Times New Roman"/>
          <w:lang w:val="en-CA"/>
        </w:rPr>
        <w:t>ate</w:t>
      </w:r>
      <w:r w:rsidR="005503FD" w:rsidRPr="00A6280B">
        <w:rPr>
          <w:rFonts w:eastAsia="Times New Roman" w:hint="eastAsia"/>
          <w:lang w:val="en-CA"/>
        </w:rPr>
        <w:t xml:space="preserve"> </w:t>
      </w:r>
      <w:r w:rsidR="001A1CF3" w:rsidRPr="00A6280B">
        <w:rPr>
          <w:rFonts w:eastAsia="Times New Roman" w:hint="eastAsia"/>
          <w:lang w:val="en-CA"/>
        </w:rPr>
        <w:t xml:space="preserve">saving </w:t>
      </w:r>
      <w:r w:rsidR="007557C3" w:rsidRPr="00A6280B">
        <w:rPr>
          <w:rFonts w:eastAsia="Times New Roman"/>
          <w:lang w:val="en-CA"/>
        </w:rPr>
        <w:t>for</w:t>
      </w:r>
      <w:r w:rsidR="001A1CF3" w:rsidRPr="00A6280B">
        <w:rPr>
          <w:rFonts w:eastAsia="Times New Roman" w:hint="eastAsia"/>
          <w:lang w:val="en-CA"/>
        </w:rPr>
        <w:t xml:space="preserve"> overall</w:t>
      </w:r>
      <w:r w:rsidR="007557C3" w:rsidRPr="00A6280B">
        <w:rPr>
          <w:rFonts w:eastAsia="Times New Roman"/>
          <w:lang w:val="en-CA"/>
        </w:rPr>
        <w:t xml:space="preserve"> </w:t>
      </w:r>
      <w:r w:rsidR="00AB058B" w:rsidRPr="00A6280B">
        <w:rPr>
          <w:rFonts w:eastAsia="Times New Roman" w:hint="eastAsia"/>
          <w:lang w:val="en-CA"/>
        </w:rPr>
        <w:t>coded and synthesized views</w:t>
      </w:r>
      <w:bookmarkEnd w:id="36"/>
      <w:bookmarkEnd w:id="37"/>
      <w:r w:rsidR="00884C5A" w:rsidRPr="00A6280B">
        <w:rPr>
          <w:rFonts w:eastAsia="Times New Roman" w:hint="eastAsia"/>
          <w:lang w:val="en-CA"/>
        </w:rPr>
        <w:t xml:space="preserve"> compared to HTM-</w:t>
      </w:r>
      <w:r w:rsidR="00B47884" w:rsidRPr="00A6280B">
        <w:rPr>
          <w:rFonts w:eastAsia="Times New Roman" w:hint="eastAsia"/>
          <w:lang w:val="en-CA"/>
        </w:rPr>
        <w:t>6</w:t>
      </w:r>
      <w:r w:rsidR="00884C5A" w:rsidRPr="00A6280B">
        <w:rPr>
          <w:rFonts w:eastAsia="Times New Roman" w:hint="eastAsia"/>
          <w:lang w:val="en-CA"/>
        </w:rPr>
        <w:t>.0</w:t>
      </w:r>
      <w:r w:rsidR="0021615D" w:rsidRPr="00A6280B">
        <w:rPr>
          <w:rFonts w:eastAsia="Times New Roman"/>
          <w:lang w:val="en-CA"/>
        </w:rPr>
        <w:t xml:space="preserve"> while the </w:t>
      </w:r>
      <w:r w:rsidR="00B47884" w:rsidRPr="00A6280B">
        <w:rPr>
          <w:rFonts w:eastAsia="Times New Roman" w:hint="eastAsia"/>
          <w:lang w:val="en-CA"/>
        </w:rPr>
        <w:t>memory bandwidth to acc</w:t>
      </w:r>
      <w:r w:rsidR="00992F77">
        <w:rPr>
          <w:rFonts w:eastAsia="Times New Roman" w:hint="eastAsia"/>
          <w:lang w:val="en-CA"/>
        </w:rPr>
        <w:t xml:space="preserve">ess the reference depth data </w:t>
      </w:r>
      <w:r w:rsidR="00992F77">
        <w:rPr>
          <w:rFonts w:hint="eastAsia"/>
          <w:lang w:val="en-CA" w:eastAsia="zh-TW"/>
        </w:rPr>
        <w:t>is</w:t>
      </w:r>
      <w:r w:rsidR="00B47884" w:rsidRPr="00A6280B">
        <w:rPr>
          <w:rFonts w:eastAsia="Times New Roman" w:hint="eastAsia"/>
          <w:lang w:val="en-CA"/>
        </w:rPr>
        <w:t xml:space="preserve"> reduced. </w:t>
      </w:r>
      <w:bookmarkEnd w:id="21"/>
      <w:bookmarkEnd w:id="22"/>
      <w:bookmarkEnd w:id="23"/>
      <w:bookmarkEnd w:id="24"/>
      <w:r w:rsidR="00B47884" w:rsidRPr="00A6280B">
        <w:rPr>
          <w:rFonts w:eastAsia="Times New Roman"/>
          <w:lang w:val="en-CA"/>
        </w:rPr>
        <w:t xml:space="preserve">The experimental results </w:t>
      </w:r>
      <w:r w:rsidR="00B47884" w:rsidRPr="00A6280B">
        <w:rPr>
          <w:rFonts w:eastAsia="Times New Roman" w:hint="eastAsia"/>
          <w:lang w:val="en-CA"/>
        </w:rPr>
        <w:t>also</w:t>
      </w:r>
      <w:r w:rsidR="00B47884" w:rsidRPr="00A6280B">
        <w:rPr>
          <w:rFonts w:eastAsia="Times New Roman"/>
          <w:lang w:val="en-CA"/>
        </w:rPr>
        <w:t xml:space="preserve"> show</w:t>
      </w:r>
      <w:r w:rsidR="007E7761" w:rsidRPr="00A6280B">
        <w:rPr>
          <w:rFonts w:eastAsia="Times New Roman" w:hint="eastAsia"/>
          <w:lang w:val="en-CA"/>
        </w:rPr>
        <w:t xml:space="preserve"> that the combination</w:t>
      </w:r>
      <w:r w:rsidR="00B47884" w:rsidRPr="00A6280B">
        <w:rPr>
          <w:rFonts w:eastAsia="Times New Roman" w:hint="eastAsia"/>
          <w:lang w:val="en-CA"/>
        </w:rPr>
        <w:t xml:space="preserve"> of the proposed two simplifications brings </w:t>
      </w:r>
      <w:r w:rsidR="00B47884" w:rsidRPr="00A6280B">
        <w:rPr>
          <w:rFonts w:eastAsia="Times New Roman"/>
          <w:lang w:val="en-CA"/>
        </w:rPr>
        <w:t>0.1% BD-rate saving for overall coded and synthesized views</w:t>
      </w:r>
      <w:bookmarkEnd w:id="34"/>
      <w:bookmarkEnd w:id="35"/>
      <w:r w:rsidR="00B47884" w:rsidRPr="00A6280B">
        <w:rPr>
          <w:rFonts w:eastAsia="Times New Roman" w:hint="eastAsia"/>
          <w:lang w:val="en-CA"/>
        </w:rPr>
        <w:t>.</w:t>
      </w:r>
    </w:p>
    <w:p w:rsidR="003C2FA0" w:rsidRDefault="00745F6B" w:rsidP="00E11923">
      <w:pPr>
        <w:pStyle w:val="Heading1"/>
        <w:rPr>
          <w:lang w:val="en-CA" w:eastAsia="zh-CN"/>
        </w:rPr>
      </w:pPr>
      <w:r w:rsidRPr="005B217D">
        <w:rPr>
          <w:lang w:val="en-CA"/>
        </w:rPr>
        <w:t>Introduction</w:t>
      </w:r>
    </w:p>
    <w:p w:rsidR="009A2F18" w:rsidRPr="00A6280B" w:rsidRDefault="001E43F3" w:rsidP="00A6280B">
      <w:pPr>
        <w:jc w:val="both"/>
        <w:textAlignment w:val="baseline"/>
        <w:rPr>
          <w:rFonts w:eastAsia="Times New Roman"/>
          <w:szCs w:val="22"/>
          <w:lang w:val="en-CA"/>
        </w:rPr>
      </w:pPr>
      <w:r w:rsidRPr="00A6280B">
        <w:rPr>
          <w:rFonts w:eastAsia="Times New Roman"/>
          <w:szCs w:val="22"/>
          <w:lang w:val="en-CA"/>
        </w:rPr>
        <w:t>In HTM-6.0 [1]</w:t>
      </w:r>
      <w:r w:rsidRPr="00A6280B">
        <w:rPr>
          <w:rFonts w:eastAsia="Times New Roman" w:hint="eastAsia"/>
          <w:szCs w:val="22"/>
          <w:lang w:val="en-CA"/>
        </w:rPr>
        <w:t xml:space="preserve">, </w:t>
      </w:r>
      <w:r w:rsidRPr="00A6280B">
        <w:rPr>
          <w:rFonts w:eastAsia="Times New Roman"/>
          <w:szCs w:val="22"/>
          <w:lang w:val="en-CA"/>
        </w:rPr>
        <w:t>view synthesis prediction (VSP) uses the neighboring blocks to derive a depth block to perform the backward warping operation</w:t>
      </w:r>
      <w:r w:rsidR="00EC1A1A">
        <w:rPr>
          <w:rFonts w:hint="eastAsia"/>
          <w:szCs w:val="22"/>
          <w:lang w:val="en-CA" w:eastAsia="zh-TW"/>
        </w:rPr>
        <w:t>,</w:t>
      </w:r>
      <w:r w:rsidR="00FE3672" w:rsidRPr="00A6280B">
        <w:rPr>
          <w:rFonts w:eastAsia="Times New Roman" w:hint="eastAsia"/>
          <w:szCs w:val="22"/>
          <w:lang w:val="en-CA"/>
        </w:rPr>
        <w:t xml:space="preserve"> and </w:t>
      </w:r>
      <w:r w:rsidR="0087672A" w:rsidRPr="00A6280B">
        <w:rPr>
          <w:rFonts w:eastAsia="Times New Roman" w:hint="eastAsia"/>
          <w:szCs w:val="22"/>
          <w:lang w:val="en-CA"/>
        </w:rPr>
        <w:t xml:space="preserve">it </w:t>
      </w:r>
      <w:r w:rsidR="00FE3672" w:rsidRPr="00A6280B">
        <w:rPr>
          <w:rFonts w:eastAsia="Times New Roman" w:hint="eastAsia"/>
          <w:szCs w:val="22"/>
          <w:lang w:val="en-CA"/>
        </w:rPr>
        <w:t>is applied for both texture and depth coding</w:t>
      </w:r>
      <w:r w:rsidR="009A2F18" w:rsidRPr="00A6280B">
        <w:rPr>
          <w:rFonts w:eastAsia="Times New Roman" w:hint="eastAsia"/>
          <w:szCs w:val="22"/>
          <w:lang w:val="en-CA"/>
        </w:rPr>
        <w:t xml:space="preserve">. However, two issues have been observed. First, </w:t>
      </w:r>
      <w:r w:rsidR="00B156E5">
        <w:rPr>
          <w:rFonts w:eastAsia="Times New Roman"/>
          <w:szCs w:val="22"/>
          <w:lang w:val="en-CA"/>
        </w:rPr>
        <w:t>appl</w:t>
      </w:r>
      <w:r w:rsidR="00EC1A1A">
        <w:rPr>
          <w:rFonts w:hint="eastAsia"/>
          <w:szCs w:val="22"/>
          <w:lang w:val="en-CA" w:eastAsia="zh-TW"/>
        </w:rPr>
        <w:t>y</w:t>
      </w:r>
      <w:r w:rsidR="00B156E5">
        <w:rPr>
          <w:rFonts w:eastAsia="Times New Roman"/>
          <w:szCs w:val="22"/>
          <w:lang w:val="en-CA"/>
        </w:rPr>
        <w:t>ing</w:t>
      </w:r>
      <w:r w:rsidR="00B156E5" w:rsidRPr="00A6280B">
        <w:rPr>
          <w:rFonts w:eastAsia="Times New Roman" w:hint="eastAsia"/>
          <w:szCs w:val="22"/>
          <w:lang w:val="en-CA"/>
        </w:rPr>
        <w:t xml:space="preserve"> </w:t>
      </w:r>
      <w:r w:rsidR="009A2F18" w:rsidRPr="00A6280B">
        <w:rPr>
          <w:rFonts w:eastAsia="Times New Roman"/>
          <w:szCs w:val="22"/>
          <w:lang w:val="en-CA"/>
        </w:rPr>
        <w:t xml:space="preserve">VSP </w:t>
      </w:r>
      <w:r w:rsidR="00B156E5">
        <w:rPr>
          <w:rFonts w:eastAsia="Times New Roman"/>
          <w:szCs w:val="22"/>
          <w:lang w:val="en-CA"/>
        </w:rPr>
        <w:t>in</w:t>
      </w:r>
      <w:r w:rsidR="009A2F18" w:rsidRPr="00A6280B">
        <w:rPr>
          <w:rFonts w:eastAsia="Times New Roman"/>
          <w:szCs w:val="22"/>
          <w:lang w:val="en-CA"/>
        </w:rPr>
        <w:t xml:space="preserve"> depth map coding</w:t>
      </w:r>
      <w:r w:rsidR="00FE3672" w:rsidRPr="00A6280B">
        <w:rPr>
          <w:rFonts w:eastAsia="Times New Roman" w:hint="eastAsia"/>
          <w:szCs w:val="22"/>
          <w:lang w:val="en-CA"/>
        </w:rPr>
        <w:t xml:space="preserve"> does not </w:t>
      </w:r>
      <w:r w:rsidR="00086FB7">
        <w:rPr>
          <w:rFonts w:eastAsia="Times New Roman"/>
          <w:szCs w:val="22"/>
          <w:lang w:val="en-CA"/>
        </w:rPr>
        <w:t>improve</w:t>
      </w:r>
      <w:r w:rsidR="00086FB7" w:rsidRPr="00A6280B">
        <w:rPr>
          <w:rFonts w:eastAsia="Times New Roman" w:hint="eastAsia"/>
          <w:szCs w:val="22"/>
          <w:lang w:val="en-CA"/>
        </w:rPr>
        <w:t xml:space="preserve"> </w:t>
      </w:r>
      <w:r w:rsidR="00FE3672" w:rsidRPr="00A6280B">
        <w:rPr>
          <w:rFonts w:eastAsia="Times New Roman" w:hint="eastAsia"/>
          <w:szCs w:val="22"/>
          <w:lang w:val="en-CA"/>
        </w:rPr>
        <w:t xml:space="preserve">the coding </w:t>
      </w:r>
      <w:r w:rsidR="00FE3672" w:rsidRPr="00A6280B">
        <w:rPr>
          <w:rFonts w:eastAsia="Times New Roman" w:hint="eastAsia"/>
          <w:szCs w:val="22"/>
          <w:lang w:val="en-CA"/>
        </w:rPr>
        <w:lastRenderedPageBreak/>
        <w:t>efficiency</w:t>
      </w:r>
      <w:r w:rsidR="00B156E5">
        <w:rPr>
          <w:rFonts w:eastAsia="Times New Roman"/>
          <w:szCs w:val="22"/>
          <w:lang w:val="en-CA"/>
        </w:rPr>
        <w:t xml:space="preserve"> at all</w:t>
      </w:r>
      <w:r w:rsidR="009A2F18" w:rsidRPr="00A6280B">
        <w:rPr>
          <w:rFonts w:eastAsia="Times New Roman" w:hint="eastAsia"/>
          <w:szCs w:val="22"/>
          <w:lang w:val="en-CA"/>
        </w:rPr>
        <w:t xml:space="preserve">. Second, the </w:t>
      </w:r>
      <w:r w:rsidR="009A2F18" w:rsidRPr="00A6280B">
        <w:rPr>
          <w:rFonts w:eastAsia="Times New Roman"/>
          <w:szCs w:val="22"/>
          <w:lang w:val="en-CA"/>
        </w:rPr>
        <w:t>memory</w:t>
      </w:r>
      <w:r w:rsidR="009A2F18" w:rsidRPr="00A6280B">
        <w:rPr>
          <w:rFonts w:eastAsia="Times New Roman" w:hint="eastAsia"/>
          <w:szCs w:val="22"/>
          <w:lang w:val="en-CA"/>
        </w:rPr>
        <w:t xml:space="preserve"> access bandwidth for disparity vector (DV) </w:t>
      </w:r>
      <w:r w:rsidR="009A2F18" w:rsidRPr="00A6280B">
        <w:rPr>
          <w:rFonts w:eastAsia="Times New Roman"/>
          <w:szCs w:val="22"/>
          <w:lang w:val="en-CA"/>
        </w:rPr>
        <w:t>derivation</w:t>
      </w:r>
      <w:r w:rsidR="009A2F18" w:rsidRPr="00A6280B">
        <w:rPr>
          <w:rFonts w:eastAsia="Times New Roman" w:hint="eastAsia"/>
          <w:szCs w:val="22"/>
          <w:lang w:val="en-CA"/>
        </w:rPr>
        <w:t xml:space="preserve"> of VSP </w:t>
      </w:r>
      <w:r w:rsidR="00B156E5">
        <w:rPr>
          <w:rFonts w:eastAsia="Times New Roman"/>
          <w:szCs w:val="22"/>
          <w:lang w:val="en-CA"/>
        </w:rPr>
        <w:t xml:space="preserve">needs to access the </w:t>
      </w:r>
      <w:r w:rsidR="00D80DF7">
        <w:rPr>
          <w:rFonts w:eastAsia="Times New Roman"/>
          <w:szCs w:val="22"/>
          <w:lang w:val="en-CA"/>
        </w:rPr>
        <w:t xml:space="preserve">reference </w:t>
      </w:r>
      <w:r w:rsidR="00B156E5">
        <w:rPr>
          <w:rFonts w:eastAsia="Times New Roman"/>
          <w:szCs w:val="22"/>
          <w:lang w:val="en-CA"/>
        </w:rPr>
        <w:t xml:space="preserve">depth </w:t>
      </w:r>
      <w:r w:rsidR="00D80DF7">
        <w:rPr>
          <w:rFonts w:eastAsia="Times New Roman"/>
          <w:szCs w:val="22"/>
          <w:lang w:val="en-CA"/>
        </w:rPr>
        <w:t xml:space="preserve">map twice and </w:t>
      </w:r>
      <w:r w:rsidR="00FE3E3F" w:rsidRPr="00A6280B">
        <w:rPr>
          <w:rFonts w:eastAsia="Times New Roman" w:hint="eastAsia"/>
          <w:szCs w:val="22"/>
          <w:lang w:val="en-CA"/>
        </w:rPr>
        <w:t>could</w:t>
      </w:r>
      <w:r w:rsidR="009A2F18" w:rsidRPr="00A6280B">
        <w:rPr>
          <w:rFonts w:eastAsia="Times New Roman" w:hint="eastAsia"/>
          <w:szCs w:val="22"/>
          <w:lang w:val="en-CA"/>
        </w:rPr>
        <w:t xml:space="preserve"> be further reduced. </w:t>
      </w:r>
      <w:r w:rsidR="00411020" w:rsidRPr="00A6280B">
        <w:rPr>
          <w:rFonts w:eastAsia="Times New Roman" w:hint="eastAsia"/>
          <w:szCs w:val="22"/>
          <w:lang w:val="en-CA"/>
        </w:rPr>
        <w:t>D</w:t>
      </w:r>
      <w:r w:rsidR="009A2F18" w:rsidRPr="00A6280B">
        <w:rPr>
          <w:rFonts w:eastAsia="Times New Roman" w:hint="eastAsia"/>
          <w:szCs w:val="22"/>
          <w:lang w:val="en-CA"/>
        </w:rPr>
        <w:t>etail</w:t>
      </w:r>
      <w:r w:rsidR="00411020" w:rsidRPr="00A6280B">
        <w:rPr>
          <w:rFonts w:eastAsia="Times New Roman" w:hint="eastAsia"/>
          <w:szCs w:val="22"/>
          <w:lang w:val="en-CA"/>
        </w:rPr>
        <w:t>s</w:t>
      </w:r>
      <w:r w:rsidR="009A2F18" w:rsidRPr="00A6280B">
        <w:rPr>
          <w:rFonts w:eastAsia="Times New Roman" w:hint="eastAsia"/>
          <w:szCs w:val="22"/>
          <w:lang w:val="en-CA"/>
        </w:rPr>
        <w:t xml:space="preserve"> for the second issue are explained in the next paragraph.</w:t>
      </w:r>
    </w:p>
    <w:p w:rsidR="004F7CB6" w:rsidRPr="00EC1A1A" w:rsidRDefault="009A2F18" w:rsidP="00A6280B">
      <w:pPr>
        <w:jc w:val="both"/>
        <w:textAlignment w:val="baseline"/>
        <w:rPr>
          <w:szCs w:val="22"/>
          <w:lang w:val="en-CA" w:eastAsia="zh-TW"/>
        </w:rPr>
      </w:pPr>
      <w:r w:rsidRPr="00A6280B">
        <w:rPr>
          <w:rFonts w:eastAsia="Times New Roman" w:hint="eastAsia"/>
          <w:szCs w:val="22"/>
          <w:lang w:val="en-CA"/>
        </w:rPr>
        <w:t>A</w:t>
      </w:r>
      <w:r w:rsidR="0065434F" w:rsidRPr="00A6280B">
        <w:rPr>
          <w:rFonts w:eastAsia="Times New Roman"/>
          <w:szCs w:val="22"/>
          <w:lang w:val="en-CA"/>
        </w:rPr>
        <w:t xml:space="preserve">s shown in Figure </w:t>
      </w:r>
      <w:r w:rsidR="00D07DF0" w:rsidRPr="00A6280B">
        <w:rPr>
          <w:rFonts w:eastAsia="Times New Roman" w:hint="eastAsia"/>
          <w:szCs w:val="22"/>
          <w:lang w:val="en-CA"/>
        </w:rPr>
        <w:t>1</w:t>
      </w:r>
      <w:r w:rsidR="00FE3E3F" w:rsidRPr="00A6280B">
        <w:rPr>
          <w:rFonts w:eastAsia="Times New Roman" w:hint="eastAsia"/>
          <w:szCs w:val="22"/>
          <w:lang w:val="en-CA"/>
        </w:rPr>
        <w:t xml:space="preserve"> (a)</w:t>
      </w:r>
      <w:r w:rsidR="0065434F" w:rsidRPr="00A6280B">
        <w:rPr>
          <w:rFonts w:eastAsia="Times New Roman"/>
          <w:szCs w:val="22"/>
          <w:lang w:val="en-CA"/>
        </w:rPr>
        <w:t xml:space="preserve">, </w:t>
      </w:r>
      <w:r w:rsidR="00D80DF7">
        <w:rPr>
          <w:rFonts w:eastAsia="Times New Roman"/>
          <w:szCs w:val="22"/>
          <w:lang w:val="en-CA"/>
        </w:rPr>
        <w:t xml:space="preserve">the </w:t>
      </w:r>
      <w:r w:rsidR="00C141A8" w:rsidRPr="00A6280B">
        <w:rPr>
          <w:rFonts w:eastAsia="Times New Roman" w:hint="eastAsia"/>
          <w:szCs w:val="22"/>
          <w:lang w:val="en-CA"/>
        </w:rPr>
        <w:t>depth oriented neighboring block disparity vector (</w:t>
      </w:r>
      <w:r w:rsidR="0065434F" w:rsidRPr="00A6280B">
        <w:rPr>
          <w:rFonts w:eastAsia="Times New Roman"/>
          <w:szCs w:val="22"/>
          <w:lang w:val="en-CA"/>
        </w:rPr>
        <w:t>DoNBDV</w:t>
      </w:r>
      <w:r w:rsidR="00C141A8" w:rsidRPr="00A6280B">
        <w:rPr>
          <w:rFonts w:eastAsia="Times New Roman" w:hint="eastAsia"/>
          <w:szCs w:val="22"/>
          <w:lang w:val="en-CA"/>
        </w:rPr>
        <w:t>)</w:t>
      </w:r>
      <w:r w:rsidR="00C141A8" w:rsidRPr="00A6280B">
        <w:rPr>
          <w:rFonts w:eastAsia="Times New Roman"/>
          <w:szCs w:val="22"/>
          <w:lang w:val="en-CA"/>
        </w:rPr>
        <w:t xml:space="preserve"> is utilized to derive </w:t>
      </w:r>
      <w:r w:rsidR="00C141A8" w:rsidRPr="00A6280B">
        <w:rPr>
          <w:rFonts w:eastAsia="Times New Roman" w:hint="eastAsia"/>
          <w:szCs w:val="22"/>
          <w:lang w:val="en-CA"/>
        </w:rPr>
        <w:t>a</w:t>
      </w:r>
      <w:r w:rsidR="0065434F" w:rsidRPr="00A6280B">
        <w:rPr>
          <w:rFonts w:eastAsia="Times New Roman"/>
          <w:szCs w:val="22"/>
          <w:lang w:val="en-CA"/>
        </w:rPr>
        <w:t xml:space="preserve"> DV for VSP. </w:t>
      </w:r>
      <w:r w:rsidR="002E4BF4" w:rsidRPr="00A6280B">
        <w:rPr>
          <w:rFonts w:eastAsia="Times New Roman"/>
          <w:szCs w:val="22"/>
          <w:lang w:val="en-CA"/>
        </w:rPr>
        <w:t xml:space="preserve">In the scheme of DoNBDV, the derived DV </w:t>
      </w:r>
      <w:r w:rsidR="00E67718" w:rsidRPr="00A6280B">
        <w:rPr>
          <w:rFonts w:eastAsia="Times New Roman" w:hint="eastAsia"/>
          <w:szCs w:val="22"/>
          <w:lang w:val="en-CA"/>
        </w:rPr>
        <w:t>from neighboring block disparity vector (</w:t>
      </w:r>
      <w:r w:rsidR="002E4BF4" w:rsidRPr="00A6280B">
        <w:rPr>
          <w:rFonts w:eastAsia="Times New Roman"/>
          <w:szCs w:val="22"/>
          <w:lang w:val="en-CA"/>
        </w:rPr>
        <w:t>NBDV</w:t>
      </w:r>
      <w:r w:rsidR="00E67718" w:rsidRPr="00A6280B">
        <w:rPr>
          <w:rFonts w:eastAsia="Times New Roman" w:hint="eastAsia"/>
          <w:szCs w:val="22"/>
          <w:lang w:val="en-CA"/>
        </w:rPr>
        <w:t>)</w:t>
      </w:r>
      <w:r w:rsidR="002E4BF4" w:rsidRPr="00A6280B">
        <w:rPr>
          <w:rFonts w:eastAsia="Times New Roman"/>
          <w:szCs w:val="22"/>
          <w:lang w:val="en-CA"/>
        </w:rPr>
        <w:t xml:space="preserve"> is used to retrieve </w:t>
      </w:r>
      <w:r w:rsidR="00E67718" w:rsidRPr="00A6280B">
        <w:rPr>
          <w:rFonts w:eastAsia="Times New Roman" w:hint="eastAsia"/>
          <w:szCs w:val="22"/>
          <w:lang w:val="en-CA"/>
        </w:rPr>
        <w:t xml:space="preserve">a </w:t>
      </w:r>
      <w:r w:rsidR="002E4BF4" w:rsidRPr="00A6280B">
        <w:rPr>
          <w:rFonts w:eastAsia="Times New Roman"/>
          <w:szCs w:val="22"/>
          <w:lang w:val="en-CA"/>
        </w:rPr>
        <w:t xml:space="preserve">depth </w:t>
      </w:r>
      <w:r w:rsidR="00E67718" w:rsidRPr="00A6280B">
        <w:rPr>
          <w:rFonts w:eastAsia="Times New Roman" w:hint="eastAsia"/>
          <w:szCs w:val="22"/>
          <w:lang w:val="en-CA"/>
        </w:rPr>
        <w:t xml:space="preserve">block </w:t>
      </w:r>
      <w:r w:rsidR="002E4BF4" w:rsidRPr="00A6280B">
        <w:rPr>
          <w:rFonts w:eastAsia="Times New Roman"/>
          <w:szCs w:val="22"/>
          <w:lang w:val="en-CA"/>
        </w:rPr>
        <w:t xml:space="preserve">in the reference view to derive a refined DV. </w:t>
      </w:r>
      <w:r w:rsidR="0065434F" w:rsidRPr="00A6280B">
        <w:rPr>
          <w:rFonts w:eastAsia="Times New Roman"/>
          <w:szCs w:val="22"/>
          <w:lang w:val="en-CA"/>
        </w:rPr>
        <w:t xml:space="preserve">Secondly, </w:t>
      </w:r>
      <w:r w:rsidR="00407405" w:rsidRPr="00A6280B">
        <w:rPr>
          <w:rFonts w:eastAsia="Times New Roman" w:hint="eastAsia"/>
          <w:szCs w:val="22"/>
          <w:lang w:val="en-CA"/>
        </w:rPr>
        <w:t>the refined DV is used to</w:t>
      </w:r>
      <w:r w:rsidR="0065434F" w:rsidRPr="00A6280B">
        <w:rPr>
          <w:rFonts w:eastAsia="Times New Roman"/>
          <w:szCs w:val="22"/>
          <w:lang w:val="en-CA"/>
        </w:rPr>
        <w:t xml:space="preserve"> fetch another depth block </w:t>
      </w:r>
      <w:r w:rsidR="00407405" w:rsidRPr="00A6280B">
        <w:rPr>
          <w:rFonts w:eastAsia="Times New Roman" w:hint="eastAsia"/>
          <w:szCs w:val="22"/>
          <w:lang w:val="en-CA"/>
        </w:rPr>
        <w:t>for</w:t>
      </w:r>
      <w:r w:rsidR="0065434F" w:rsidRPr="00A6280B">
        <w:rPr>
          <w:rFonts w:eastAsia="Times New Roman"/>
          <w:szCs w:val="22"/>
          <w:lang w:val="en-CA"/>
        </w:rPr>
        <w:t xml:space="preserve"> VSP.</w:t>
      </w:r>
      <w:bookmarkStart w:id="38" w:name="OLE_LINK53"/>
      <w:bookmarkStart w:id="39" w:name="OLE_LINK54"/>
    </w:p>
    <w:p w:rsidR="00970DBB" w:rsidRDefault="00954B96" w:rsidP="00F41E3A">
      <w:pPr>
        <w:jc w:val="both"/>
        <w:rPr>
          <w:szCs w:val="22"/>
          <w:lang w:val="en-GB" w:eastAsia="zh-TW"/>
        </w:rPr>
      </w:pPr>
      <w:r w:rsidRPr="00954B9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width:467.1pt;height:224.3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 filled="f" stroked="f">
            <v:textbox style="mso-next-textbox:#_x0000_s1053">
              <w:txbxContent>
                <w:p w:rsidR="00970DBB" w:rsidRDefault="00970DBB" w:rsidP="00970DBB">
                  <w:pPr>
                    <w:jc w:val="center"/>
                    <w:rPr>
                      <w:szCs w:val="24"/>
                    </w:rPr>
                  </w:pPr>
                  <w:r>
                    <w:rPr>
                      <w:noProof/>
                      <w:sz w:val="20"/>
                      <w:lang w:eastAsia="zh-TW"/>
                    </w:rPr>
                    <w:drawing>
                      <wp:inline distT="0" distB="0" distL="0" distR="0">
                        <wp:extent cx="2743200" cy="1924050"/>
                        <wp:effectExtent l="19050" t="0" r="0" b="0"/>
                        <wp:docPr id="9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43200" cy="1924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</w:t>
                  </w:r>
                  <w:r>
                    <w:rPr>
                      <w:noProof/>
                      <w:sz w:val="20"/>
                      <w:lang w:eastAsia="zh-TW"/>
                    </w:rPr>
                    <w:drawing>
                      <wp:inline distT="0" distB="0" distL="0" distR="0">
                        <wp:extent cx="1888490" cy="1258570"/>
                        <wp:effectExtent l="19050" t="0" r="0" b="0"/>
                        <wp:docPr id="10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88490" cy="12585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E3E3F" w:rsidRPr="007E7761" w:rsidRDefault="00FE3E3F" w:rsidP="00FE3E3F">
                  <w:pPr>
                    <w:pStyle w:val="ListParagraph"/>
                    <w:numPr>
                      <w:ilvl w:val="0"/>
                      <w:numId w:val="45"/>
                    </w:numPr>
                    <w:ind w:leftChars="0"/>
                  </w:pPr>
                  <w:r w:rsidRPr="007E7761">
                    <w:rPr>
                      <w:rFonts w:eastAsiaTheme="minorEastAsia" w:hint="eastAsia"/>
                    </w:rPr>
                    <w:t xml:space="preserve">                                   (b)</w:t>
                  </w:r>
                </w:p>
                <w:p w:rsidR="00970DBB" w:rsidRDefault="00970DBB" w:rsidP="00970DBB">
                  <w:pPr>
                    <w:jc w:val="center"/>
                    <w:rPr>
                      <w:szCs w:val="22"/>
                      <w:lang w:eastAsia="zh-TW"/>
                    </w:rPr>
                  </w:pPr>
                  <w:r>
                    <w:rPr>
                      <w:b/>
                      <w:szCs w:val="24"/>
                    </w:rPr>
                    <w:t xml:space="preserve">Figure 1.  </w:t>
                  </w:r>
                  <w:r>
                    <w:rPr>
                      <w:b/>
                      <w:lang w:val="en-CA"/>
                    </w:rPr>
                    <w:t xml:space="preserve">The derivation of </w:t>
                  </w:r>
                  <w:r w:rsidR="00810FCB">
                    <w:rPr>
                      <w:rFonts w:hint="eastAsia"/>
                      <w:b/>
                      <w:lang w:val="en-CA" w:eastAsia="zh-TW"/>
                    </w:rPr>
                    <w:t>depth block for VSP</w:t>
                  </w:r>
                </w:p>
              </w:txbxContent>
            </v:textbox>
            <w10:wrap type="none"/>
            <w10:anchorlock/>
          </v:shape>
        </w:pict>
      </w:r>
    </w:p>
    <w:bookmarkEnd w:id="38"/>
    <w:bookmarkEnd w:id="39"/>
    <w:p w:rsidR="009B01B9" w:rsidRDefault="0088568C" w:rsidP="003C1946">
      <w:pPr>
        <w:pStyle w:val="Heading1"/>
        <w:rPr>
          <w:lang w:val="en-CA" w:eastAsia="zh-TW"/>
        </w:rPr>
      </w:pPr>
      <w:r>
        <w:rPr>
          <w:lang w:val="en-CA" w:eastAsia="zh-TW"/>
        </w:rPr>
        <w:t>Proposed</w:t>
      </w:r>
      <w:r>
        <w:rPr>
          <w:lang w:val="en-CA"/>
        </w:rPr>
        <w:t xml:space="preserve"> </w:t>
      </w:r>
      <w:r w:rsidR="0040771F">
        <w:rPr>
          <w:rFonts w:hint="eastAsia"/>
          <w:lang w:val="en-CA" w:eastAsia="zh-TW"/>
        </w:rPr>
        <w:t>m</w:t>
      </w:r>
      <w:r w:rsidR="005332A5">
        <w:rPr>
          <w:rFonts w:hint="eastAsia"/>
          <w:lang w:val="en-CA" w:eastAsia="zh-TW"/>
        </w:rPr>
        <w:t>ethod</w:t>
      </w:r>
    </w:p>
    <w:p w:rsidR="00934ED5" w:rsidRDefault="00970DBB" w:rsidP="009F0DBC">
      <w:pPr>
        <w:jc w:val="both"/>
        <w:rPr>
          <w:lang w:val="en-CA" w:eastAsia="zh-TW"/>
        </w:rPr>
      </w:pPr>
      <w:r>
        <w:rPr>
          <w:lang w:val="en-CA" w:eastAsia="zh-CN"/>
        </w:rPr>
        <w:t xml:space="preserve">In this contribution, </w:t>
      </w:r>
      <w:r>
        <w:rPr>
          <w:rFonts w:eastAsia="SimSun"/>
          <w:lang w:eastAsia="zh-CN"/>
        </w:rPr>
        <w:t>we</w:t>
      </w:r>
      <w:r>
        <w:rPr>
          <w:lang w:eastAsia="zh-CN"/>
        </w:rPr>
        <w:t xml:space="preserve"> </w:t>
      </w:r>
      <w:r>
        <w:rPr>
          <w:lang w:val="en-CA" w:eastAsia="zh-TW"/>
        </w:rPr>
        <w:t xml:space="preserve">propose </w:t>
      </w:r>
      <w:r>
        <w:rPr>
          <w:rFonts w:hint="eastAsia"/>
          <w:lang w:val="en-CA" w:eastAsia="zh-TW"/>
        </w:rPr>
        <w:t>two</w:t>
      </w:r>
      <w:r>
        <w:rPr>
          <w:rFonts w:eastAsia="SimSun"/>
          <w:lang w:val="en-CA" w:eastAsia="zh-CN"/>
        </w:rPr>
        <w:t xml:space="preserve"> </w:t>
      </w:r>
      <w:r>
        <w:rPr>
          <w:lang w:val="en-CA" w:eastAsia="zh-TW"/>
        </w:rPr>
        <w:t xml:space="preserve">simplifications to </w:t>
      </w:r>
      <w:r>
        <w:rPr>
          <w:rFonts w:hint="eastAsia"/>
          <w:lang w:val="en-CA" w:eastAsia="zh-TW"/>
        </w:rPr>
        <w:t>VSP</w:t>
      </w:r>
      <w:r>
        <w:rPr>
          <w:rFonts w:eastAsia="SimSun"/>
          <w:lang w:val="en-CA" w:eastAsia="zh-CN"/>
        </w:rPr>
        <w:t>:</w:t>
      </w:r>
    </w:p>
    <w:p w:rsidR="00970DBB" w:rsidRDefault="00970DBB" w:rsidP="00970DBB">
      <w:pPr>
        <w:pStyle w:val="ListParagraph"/>
        <w:numPr>
          <w:ilvl w:val="0"/>
          <w:numId w:val="42"/>
        </w:numPr>
        <w:ind w:leftChars="0"/>
        <w:jc w:val="both"/>
        <w:rPr>
          <w:rFonts w:eastAsiaTheme="minorEastAsia"/>
          <w:lang w:val="en-CA"/>
        </w:rPr>
      </w:pPr>
      <w:r>
        <w:rPr>
          <w:rFonts w:eastAsiaTheme="minorEastAsia" w:hint="eastAsia"/>
          <w:lang w:val="en-CA"/>
        </w:rPr>
        <w:t>Disable VSP for depth coding.</w:t>
      </w:r>
    </w:p>
    <w:p w:rsidR="00C250E0" w:rsidRDefault="00C1401B" w:rsidP="00C250E0">
      <w:pPr>
        <w:pStyle w:val="ListParagraph"/>
        <w:numPr>
          <w:ilvl w:val="1"/>
          <w:numId w:val="42"/>
        </w:numPr>
        <w:ind w:leftChars="0"/>
        <w:jc w:val="both"/>
        <w:rPr>
          <w:rFonts w:eastAsiaTheme="minorEastAsia"/>
          <w:lang w:val="en-CA"/>
        </w:rPr>
      </w:pPr>
      <w:r>
        <w:rPr>
          <w:rFonts w:eastAsiaTheme="minorEastAsia"/>
          <w:lang w:val="en-CA"/>
        </w:rPr>
        <w:t>Remove the VSP candidate from merge candidate list for depth coding.</w:t>
      </w:r>
    </w:p>
    <w:p w:rsidR="00C250E0" w:rsidRDefault="00C1401B" w:rsidP="00C250E0">
      <w:pPr>
        <w:pStyle w:val="ListParagraph"/>
        <w:numPr>
          <w:ilvl w:val="1"/>
          <w:numId w:val="42"/>
        </w:numPr>
        <w:ind w:leftChars="0"/>
        <w:jc w:val="both"/>
        <w:rPr>
          <w:rFonts w:eastAsiaTheme="minorEastAsia"/>
          <w:lang w:val="en-CA"/>
        </w:rPr>
      </w:pPr>
      <w:r>
        <w:rPr>
          <w:rFonts w:eastAsiaTheme="minorEastAsia"/>
          <w:lang w:val="en-CA"/>
        </w:rPr>
        <w:t xml:space="preserve">For MPI mode, if the collocated texture block uses VSP mode, current PU in depth map will simply inherit the </w:t>
      </w:r>
      <w:r w:rsidR="008E4CA4">
        <w:rPr>
          <w:rFonts w:eastAsiaTheme="minorEastAsia" w:hint="eastAsia"/>
          <w:lang w:val="en-CA"/>
        </w:rPr>
        <w:t>disparity</w:t>
      </w:r>
      <w:r>
        <w:rPr>
          <w:rFonts w:eastAsiaTheme="minorEastAsia"/>
          <w:lang w:val="en-CA"/>
        </w:rPr>
        <w:t xml:space="preserve"> vectors of the collocated texture block</w:t>
      </w:r>
      <w:r w:rsidR="000C5B8A">
        <w:rPr>
          <w:rFonts w:eastAsiaTheme="minorEastAsia"/>
          <w:lang w:val="en-CA"/>
        </w:rPr>
        <w:t xml:space="preserve"> to do the inter-view </w:t>
      </w:r>
      <w:r w:rsidR="008E4CA4">
        <w:rPr>
          <w:rFonts w:eastAsiaTheme="minorEastAsia" w:hint="eastAsia"/>
          <w:lang w:val="en-CA"/>
        </w:rPr>
        <w:t>disparity</w:t>
      </w:r>
      <w:r w:rsidR="000C5B8A">
        <w:rPr>
          <w:rFonts w:eastAsiaTheme="minorEastAsia"/>
          <w:lang w:val="en-CA"/>
        </w:rPr>
        <w:t xml:space="preserve"> compensation instead of inheriting the VSP mode</w:t>
      </w:r>
      <w:r>
        <w:rPr>
          <w:rFonts w:eastAsiaTheme="minorEastAsia"/>
          <w:lang w:val="en-CA"/>
        </w:rPr>
        <w:t>.</w:t>
      </w:r>
    </w:p>
    <w:p w:rsidR="00970DBB" w:rsidRPr="00970DBB" w:rsidRDefault="00D80DF7" w:rsidP="00970DBB">
      <w:pPr>
        <w:pStyle w:val="ListParagraph"/>
        <w:numPr>
          <w:ilvl w:val="0"/>
          <w:numId w:val="42"/>
        </w:numPr>
        <w:ind w:leftChars="0"/>
        <w:jc w:val="both"/>
        <w:rPr>
          <w:rFonts w:eastAsiaTheme="minorEastAsia"/>
          <w:lang w:val="en-CA"/>
        </w:rPr>
      </w:pPr>
      <w:r>
        <w:rPr>
          <w:rFonts w:eastAsiaTheme="minorEastAsia"/>
          <w:lang w:val="en-CA"/>
        </w:rPr>
        <w:t>Remove the refined DV procedure in V</w:t>
      </w:r>
      <w:r w:rsidR="00970DBB">
        <w:rPr>
          <w:rFonts w:eastAsiaTheme="minorEastAsia" w:hint="eastAsia"/>
          <w:lang w:val="en-CA"/>
        </w:rPr>
        <w:t>SP</w:t>
      </w:r>
      <w:r w:rsidR="008249E0">
        <w:rPr>
          <w:rFonts w:eastAsiaTheme="minorEastAsia" w:hint="eastAsia"/>
          <w:lang w:val="en-CA"/>
        </w:rPr>
        <w:t>,</w:t>
      </w:r>
      <w:r w:rsidR="00810FCB">
        <w:rPr>
          <w:rFonts w:eastAsiaTheme="minorEastAsia" w:hint="eastAsia"/>
          <w:lang w:val="en-CA"/>
        </w:rPr>
        <w:t xml:space="preserve"> and the derivation of depth block for VSP can be simplified as shown in Figure 1 (b)</w:t>
      </w:r>
      <w:r w:rsidR="00970DBB">
        <w:rPr>
          <w:rFonts w:eastAsiaTheme="minorEastAsia" w:hint="eastAsia"/>
          <w:lang w:val="en-CA"/>
        </w:rPr>
        <w:t>.</w:t>
      </w:r>
    </w:p>
    <w:p w:rsidR="0088568C" w:rsidRPr="003C1946" w:rsidRDefault="003C1946" w:rsidP="003C1946">
      <w:pPr>
        <w:pStyle w:val="Heading1"/>
        <w:rPr>
          <w:lang w:val="en-CA" w:eastAsia="zh-TW"/>
        </w:rPr>
      </w:pPr>
      <w:r>
        <w:rPr>
          <w:lang w:val="en-CA" w:eastAsia="zh-TW"/>
        </w:rPr>
        <w:t xml:space="preserve">Experimental </w:t>
      </w:r>
      <w:r w:rsidR="0040771F">
        <w:rPr>
          <w:rFonts w:hint="eastAsia"/>
          <w:lang w:val="en-CA" w:eastAsia="zh-TW"/>
        </w:rPr>
        <w:t>r</w:t>
      </w:r>
      <w:r>
        <w:rPr>
          <w:lang w:val="en-CA" w:eastAsia="zh-TW"/>
        </w:rPr>
        <w:t>esult</w:t>
      </w:r>
      <w:r>
        <w:rPr>
          <w:lang w:val="en-CA" w:eastAsia="zh-CN"/>
        </w:rPr>
        <w:t>s</w:t>
      </w:r>
    </w:p>
    <w:p w:rsidR="005332A5" w:rsidRPr="00992F77" w:rsidRDefault="00A3762B" w:rsidP="00A6280B">
      <w:pPr>
        <w:jc w:val="both"/>
        <w:textAlignment w:val="baseline"/>
        <w:rPr>
          <w:szCs w:val="22"/>
          <w:lang w:val="en-CA" w:eastAsia="zh-TW"/>
        </w:rPr>
      </w:pPr>
      <w:bookmarkStart w:id="40" w:name="OLE_LINK308"/>
      <w:bookmarkStart w:id="41" w:name="OLE_LINK309"/>
      <w:bookmarkStart w:id="42" w:name="OLE_LINK86"/>
      <w:bookmarkStart w:id="43" w:name="OLE_LINK87"/>
      <w:r w:rsidRPr="00A6280B">
        <w:rPr>
          <w:rFonts w:eastAsia="Times New Roman"/>
          <w:szCs w:val="22"/>
          <w:lang w:val="en-CA"/>
        </w:rPr>
        <w:t xml:space="preserve">The proposed </w:t>
      </w:r>
      <w:r w:rsidR="005629B6" w:rsidRPr="00A6280B">
        <w:rPr>
          <w:rFonts w:eastAsia="Times New Roman" w:hint="eastAsia"/>
          <w:szCs w:val="22"/>
          <w:lang w:val="en-CA"/>
        </w:rPr>
        <w:t>simplifications</w:t>
      </w:r>
      <w:r w:rsidRPr="00A6280B">
        <w:rPr>
          <w:rFonts w:eastAsia="Times New Roman"/>
          <w:szCs w:val="22"/>
          <w:lang w:val="en-CA"/>
        </w:rPr>
        <w:t xml:space="preserve"> </w:t>
      </w:r>
      <w:r w:rsidR="005629B6" w:rsidRPr="00A6280B">
        <w:rPr>
          <w:rFonts w:eastAsia="Times New Roman" w:hint="eastAsia"/>
          <w:szCs w:val="22"/>
          <w:lang w:val="en-CA"/>
        </w:rPr>
        <w:t>are</w:t>
      </w:r>
      <w:r w:rsidRPr="00A6280B">
        <w:rPr>
          <w:rFonts w:eastAsia="Times New Roman"/>
          <w:szCs w:val="22"/>
          <w:lang w:val="en-CA"/>
        </w:rPr>
        <w:t xml:space="preserve"> integrated into HTM-</w:t>
      </w:r>
      <w:r w:rsidR="005629B6" w:rsidRPr="00A6280B">
        <w:rPr>
          <w:rFonts w:eastAsia="Times New Roman" w:hint="eastAsia"/>
          <w:szCs w:val="22"/>
          <w:lang w:val="en-CA"/>
        </w:rPr>
        <w:t>6.0</w:t>
      </w:r>
      <w:r w:rsidR="00067270" w:rsidRPr="00A6280B">
        <w:rPr>
          <w:rFonts w:eastAsia="Times New Roman" w:hint="eastAsia"/>
          <w:szCs w:val="22"/>
          <w:lang w:val="en-CA"/>
        </w:rPr>
        <w:t>[1]</w:t>
      </w:r>
      <w:r w:rsidR="001060DB" w:rsidRPr="00A6280B">
        <w:rPr>
          <w:rFonts w:eastAsia="Times New Roman" w:hint="eastAsia"/>
          <w:szCs w:val="22"/>
          <w:lang w:val="en-CA"/>
        </w:rPr>
        <w:t>,</w:t>
      </w:r>
      <w:r w:rsidRPr="00A6280B">
        <w:rPr>
          <w:rFonts w:eastAsia="Times New Roman"/>
          <w:szCs w:val="22"/>
          <w:lang w:val="en-CA"/>
        </w:rPr>
        <w:t xml:space="preserve"> and all tests are conducted under </w:t>
      </w:r>
      <w:r w:rsidR="00F77996" w:rsidRPr="00A6280B">
        <w:rPr>
          <w:rFonts w:eastAsia="Times New Roman"/>
          <w:szCs w:val="22"/>
          <w:lang w:val="en-CA"/>
        </w:rPr>
        <w:t xml:space="preserve">the </w:t>
      </w:r>
      <w:r w:rsidRPr="00A6280B">
        <w:rPr>
          <w:rFonts w:eastAsia="Times New Roman"/>
          <w:szCs w:val="22"/>
          <w:lang w:val="en-CA"/>
        </w:rPr>
        <w:t>common test conditions [</w:t>
      </w:r>
      <w:r w:rsidR="005629B6" w:rsidRPr="00A6280B">
        <w:rPr>
          <w:rFonts w:eastAsia="Times New Roman" w:hint="eastAsia"/>
          <w:szCs w:val="22"/>
          <w:lang w:val="en-CA"/>
        </w:rPr>
        <w:t>2</w:t>
      </w:r>
      <w:r w:rsidRPr="00A6280B">
        <w:rPr>
          <w:rFonts w:eastAsia="Times New Roman"/>
          <w:szCs w:val="22"/>
          <w:lang w:val="en-CA"/>
        </w:rPr>
        <w:t>].</w:t>
      </w:r>
      <w:bookmarkEnd w:id="40"/>
      <w:bookmarkEnd w:id="41"/>
      <w:r w:rsidRPr="00A6280B">
        <w:rPr>
          <w:rFonts w:eastAsia="Times New Roman"/>
          <w:szCs w:val="22"/>
          <w:lang w:val="en-CA"/>
        </w:rPr>
        <w:t xml:space="preserve"> </w:t>
      </w:r>
      <w:r w:rsidR="003C1946" w:rsidRPr="00A6280B">
        <w:rPr>
          <w:rFonts w:eastAsia="Times New Roman" w:hint="eastAsia"/>
          <w:szCs w:val="22"/>
          <w:lang w:val="en-CA"/>
        </w:rPr>
        <w:t>The experim</w:t>
      </w:r>
      <w:r w:rsidR="007D690B" w:rsidRPr="00A6280B">
        <w:rPr>
          <w:rFonts w:eastAsia="Times New Roman" w:hint="eastAsia"/>
          <w:szCs w:val="22"/>
          <w:lang w:val="en-CA"/>
        </w:rPr>
        <w:t>ental result</w:t>
      </w:r>
      <w:r w:rsidR="00F77996" w:rsidRPr="00A6280B">
        <w:rPr>
          <w:rFonts w:eastAsia="Times New Roman"/>
          <w:szCs w:val="22"/>
          <w:lang w:val="en-CA"/>
        </w:rPr>
        <w:t>s</w:t>
      </w:r>
      <w:r w:rsidR="007D690B" w:rsidRPr="00A6280B">
        <w:rPr>
          <w:rFonts w:eastAsia="Times New Roman" w:hint="eastAsia"/>
          <w:szCs w:val="22"/>
          <w:lang w:val="en-CA"/>
        </w:rPr>
        <w:t xml:space="preserve"> </w:t>
      </w:r>
      <w:r w:rsidR="005629B6" w:rsidRPr="00A6280B">
        <w:rPr>
          <w:rFonts w:eastAsia="Times New Roman" w:hint="eastAsia"/>
          <w:szCs w:val="22"/>
          <w:lang w:val="en-CA"/>
        </w:rPr>
        <w:t xml:space="preserve">of simplification 1, simplification 2 and the combination of simplification 1 and simplification 1 </w:t>
      </w:r>
      <w:r w:rsidR="00F77996" w:rsidRPr="00A6280B">
        <w:rPr>
          <w:rFonts w:eastAsia="Times New Roman"/>
          <w:szCs w:val="22"/>
          <w:lang w:val="en-CA"/>
        </w:rPr>
        <w:t>are</w:t>
      </w:r>
      <w:r w:rsidR="007D690B" w:rsidRPr="00A6280B">
        <w:rPr>
          <w:rFonts w:eastAsia="Times New Roman" w:hint="eastAsia"/>
          <w:szCs w:val="22"/>
          <w:lang w:val="en-CA"/>
        </w:rPr>
        <w:t xml:space="preserve"> shown in Table </w:t>
      </w:r>
      <w:r w:rsidR="005629B6" w:rsidRPr="00A6280B">
        <w:rPr>
          <w:rFonts w:eastAsia="Times New Roman" w:hint="eastAsia"/>
          <w:szCs w:val="22"/>
          <w:lang w:val="en-CA"/>
        </w:rPr>
        <w:t xml:space="preserve">1, </w:t>
      </w:r>
      <w:r w:rsidR="00992F77">
        <w:rPr>
          <w:rFonts w:hint="eastAsia"/>
          <w:szCs w:val="22"/>
          <w:lang w:val="en-CA" w:eastAsia="zh-TW"/>
        </w:rPr>
        <w:t xml:space="preserve">Table </w:t>
      </w:r>
      <w:r w:rsidR="0069775A" w:rsidRPr="00A6280B">
        <w:rPr>
          <w:rFonts w:eastAsia="Times New Roman" w:hint="eastAsia"/>
          <w:szCs w:val="22"/>
          <w:lang w:val="en-CA"/>
        </w:rPr>
        <w:t>2</w:t>
      </w:r>
      <w:r w:rsidR="00992F77">
        <w:rPr>
          <w:rFonts w:hint="eastAsia"/>
          <w:szCs w:val="22"/>
          <w:lang w:val="en-CA" w:eastAsia="zh-TW"/>
        </w:rPr>
        <w:t>,</w:t>
      </w:r>
      <w:r w:rsidR="005629B6" w:rsidRPr="00A6280B">
        <w:rPr>
          <w:rFonts w:eastAsia="Times New Roman" w:hint="eastAsia"/>
          <w:szCs w:val="22"/>
          <w:lang w:val="en-CA"/>
        </w:rPr>
        <w:t xml:space="preserve"> and </w:t>
      </w:r>
      <w:r w:rsidR="00992F77">
        <w:rPr>
          <w:rFonts w:hint="eastAsia"/>
          <w:szCs w:val="22"/>
          <w:lang w:val="en-CA" w:eastAsia="zh-TW"/>
        </w:rPr>
        <w:t xml:space="preserve">Table </w:t>
      </w:r>
      <w:r w:rsidR="005629B6" w:rsidRPr="00A6280B">
        <w:rPr>
          <w:rFonts w:eastAsia="Times New Roman" w:hint="eastAsia"/>
          <w:szCs w:val="22"/>
          <w:lang w:val="en-CA"/>
        </w:rPr>
        <w:t>3, respectively.</w:t>
      </w:r>
      <w:r w:rsidR="00F77996" w:rsidRPr="00A6280B">
        <w:rPr>
          <w:rFonts w:eastAsia="Times New Roman"/>
          <w:szCs w:val="22"/>
          <w:lang w:val="en-CA"/>
        </w:rPr>
        <w:t xml:space="preserve"> It shows</w:t>
      </w:r>
      <w:r w:rsidR="008129B5" w:rsidRPr="00A6280B">
        <w:rPr>
          <w:rFonts w:eastAsia="Times New Roman" w:hint="eastAsia"/>
          <w:szCs w:val="22"/>
          <w:lang w:val="en-CA"/>
        </w:rPr>
        <w:t xml:space="preserve"> that </w:t>
      </w:r>
      <w:bookmarkEnd w:id="42"/>
      <w:bookmarkEnd w:id="43"/>
      <w:r w:rsidR="00110190" w:rsidRPr="00A6280B">
        <w:rPr>
          <w:rFonts w:eastAsia="Times New Roman"/>
          <w:szCs w:val="22"/>
          <w:lang w:val="en-CA"/>
        </w:rPr>
        <w:t xml:space="preserve">disabling the VSP for depth coding causes no BD-rate </w:t>
      </w:r>
      <w:r w:rsidR="00992F77">
        <w:rPr>
          <w:rFonts w:hint="eastAsia"/>
          <w:szCs w:val="22"/>
          <w:lang w:val="en-CA" w:eastAsia="zh-TW"/>
        </w:rPr>
        <w:t>change,</w:t>
      </w:r>
      <w:r w:rsidR="00992F77" w:rsidRPr="00A6280B">
        <w:rPr>
          <w:rFonts w:eastAsia="Times New Roman"/>
          <w:szCs w:val="22"/>
          <w:lang w:val="en-CA"/>
        </w:rPr>
        <w:t xml:space="preserve"> </w:t>
      </w:r>
      <w:r w:rsidR="00110190" w:rsidRPr="00A6280B">
        <w:rPr>
          <w:rFonts w:eastAsia="Times New Roman"/>
          <w:szCs w:val="22"/>
          <w:lang w:val="en-CA"/>
        </w:rPr>
        <w:t xml:space="preserve">and the </w:t>
      </w:r>
      <w:r w:rsidR="00110190" w:rsidRPr="00A6280B">
        <w:rPr>
          <w:rFonts w:eastAsia="Times New Roman"/>
          <w:szCs w:val="22"/>
          <w:lang w:val="en-CA"/>
        </w:rPr>
        <w:lastRenderedPageBreak/>
        <w:t>proposed VSP</w:t>
      </w:r>
      <w:r w:rsidR="00D80DF7">
        <w:rPr>
          <w:rFonts w:eastAsia="Times New Roman"/>
          <w:szCs w:val="22"/>
          <w:lang w:val="en-CA"/>
        </w:rPr>
        <w:t xml:space="preserve"> without the refined DV procedure</w:t>
      </w:r>
      <w:r w:rsidR="00110190" w:rsidRPr="00A6280B">
        <w:rPr>
          <w:rFonts w:eastAsia="Times New Roman"/>
          <w:szCs w:val="22"/>
          <w:lang w:val="en-CA"/>
        </w:rPr>
        <w:t xml:space="preserve"> can even achieve 0.1% BD-rate saving for overall coded and synthesized views compared to HTM-6.0 while the memory bandwidth to access the reference depth data </w:t>
      </w:r>
      <w:r w:rsidR="00992F77">
        <w:rPr>
          <w:rFonts w:hint="eastAsia"/>
          <w:szCs w:val="22"/>
          <w:lang w:val="en-CA" w:eastAsia="zh-TW"/>
        </w:rPr>
        <w:t>is</w:t>
      </w:r>
      <w:r w:rsidR="00110190" w:rsidRPr="00A6280B">
        <w:rPr>
          <w:rFonts w:eastAsia="Times New Roman"/>
          <w:szCs w:val="22"/>
          <w:lang w:val="en-CA"/>
        </w:rPr>
        <w:t xml:space="preserve"> reduced. The experimental results also shows that the combination of the proposed two simplificat</w:t>
      </w:r>
      <w:r w:rsidR="00992F77">
        <w:rPr>
          <w:rFonts w:eastAsia="Times New Roman"/>
          <w:szCs w:val="22"/>
          <w:lang w:val="en-CA"/>
        </w:rPr>
        <w:t>ions brings 0.1% BD-rate saving</w:t>
      </w:r>
      <w:r w:rsidR="00110190" w:rsidRPr="00A6280B">
        <w:rPr>
          <w:rFonts w:eastAsia="Times New Roman"/>
          <w:szCs w:val="22"/>
          <w:lang w:val="en-CA"/>
        </w:rPr>
        <w:t xml:space="preserve"> for overall coded and synthesized views</w:t>
      </w:r>
      <w:r w:rsidR="00992F77">
        <w:rPr>
          <w:rFonts w:hint="eastAsia"/>
          <w:szCs w:val="22"/>
          <w:lang w:val="en-CA" w:eastAsia="zh-TW"/>
        </w:rPr>
        <w:t>.</w:t>
      </w:r>
    </w:p>
    <w:bookmarkStart w:id="44" w:name="OLE_LINK69"/>
    <w:bookmarkStart w:id="45" w:name="OLE_LINK70"/>
    <w:bookmarkStart w:id="46" w:name="OLE_LINK178"/>
    <w:p w:rsidR="000A4707" w:rsidRDefault="00954B96" w:rsidP="000A4707">
      <w:pPr>
        <w:jc w:val="center"/>
        <w:rPr>
          <w:lang w:eastAsia="zh-TW"/>
        </w:rPr>
      </w:pPr>
      <w:r>
        <w:rPr>
          <w:lang w:eastAsia="zh-TW"/>
        </w:rPr>
      </w:r>
      <w:r>
        <w:rPr>
          <w:lang w:eastAsia="zh-TW"/>
        </w:rPr>
        <w:pict>
          <v:shape id="_x0000_s1052" type="#_x0000_t202" style="width:467.1pt;height:223.75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 filled="f" stroked="f">
            <v:textbox style="mso-next-textbox:#_x0000_s1052">
              <w:txbxContent>
                <w:p w:rsidR="000A4707" w:rsidRDefault="00AD724F" w:rsidP="000A4707">
                  <w:pPr>
                    <w:jc w:val="center"/>
                    <w:rPr>
                      <w:b/>
                      <w:lang w:val="en-CA" w:eastAsia="zh-TW"/>
                    </w:rPr>
                  </w:pPr>
                  <w:r>
                    <w:rPr>
                      <w:rFonts w:hint="eastAsia"/>
                      <w:b/>
                      <w:szCs w:val="24"/>
                      <w:lang w:eastAsia="zh-TW"/>
                    </w:rPr>
                    <w:t>Table</w:t>
                  </w:r>
                  <w:r w:rsidRPr="00487E5F">
                    <w:rPr>
                      <w:rFonts w:hint="eastAsia"/>
                      <w:b/>
                      <w:szCs w:val="24"/>
                      <w:lang w:eastAsia="zh-TW"/>
                    </w:rPr>
                    <w:t xml:space="preserve"> </w:t>
                  </w:r>
                  <w:r w:rsidR="00970DBB">
                    <w:rPr>
                      <w:rFonts w:hint="eastAsia"/>
                      <w:b/>
                      <w:szCs w:val="24"/>
                      <w:lang w:eastAsia="zh-TW"/>
                    </w:rPr>
                    <w:t>1</w:t>
                  </w:r>
                  <w:r>
                    <w:rPr>
                      <w:b/>
                      <w:szCs w:val="24"/>
                    </w:rPr>
                    <w:t xml:space="preserve">.  </w:t>
                  </w:r>
                  <w:r>
                    <w:rPr>
                      <w:b/>
                      <w:lang w:val="en-CA" w:eastAsia="zh-TW"/>
                    </w:rPr>
                    <w:t>The result</w:t>
                  </w:r>
                  <w:r>
                    <w:rPr>
                      <w:rFonts w:hint="eastAsia"/>
                      <w:b/>
                      <w:lang w:val="en-CA" w:eastAsia="zh-TW"/>
                    </w:rPr>
                    <w:t>s</w:t>
                  </w:r>
                  <w:r>
                    <w:rPr>
                      <w:b/>
                      <w:lang w:val="en-CA" w:eastAsia="zh-TW"/>
                    </w:rPr>
                    <w:t xml:space="preserve"> of </w:t>
                  </w:r>
                  <w:r w:rsidR="00D31F50">
                    <w:rPr>
                      <w:rFonts w:hint="eastAsia"/>
                      <w:b/>
                      <w:lang w:val="en-CA" w:eastAsia="zh-TW"/>
                    </w:rPr>
                    <w:t>simplification 1 (disabling VSP for depth coding)</w:t>
                  </w:r>
                </w:p>
                <w:tbl>
                  <w:tblPr>
                    <w:tblW w:w="9287" w:type="dxa"/>
                    <w:jc w:val="center"/>
                    <w:tblInd w:w="93" w:type="dxa"/>
                    <w:tblLayout w:type="fixed"/>
                    <w:tblLook w:val="04A0"/>
                  </w:tblPr>
                  <w:tblGrid>
                    <w:gridCol w:w="1277"/>
                    <w:gridCol w:w="832"/>
                    <w:gridCol w:w="975"/>
                    <w:gridCol w:w="998"/>
                    <w:gridCol w:w="1245"/>
                    <w:gridCol w:w="1215"/>
                    <w:gridCol w:w="748"/>
                    <w:gridCol w:w="1058"/>
                    <w:gridCol w:w="939"/>
                  </w:tblGrid>
                  <w:tr w:rsidR="00AD724F" w:rsidTr="00D31F50">
                    <w:trPr>
                      <w:trHeight w:val="308"/>
                      <w:jc w:val="center"/>
                    </w:trPr>
                    <w:tc>
                      <w:tcPr>
                        <w:tcW w:w="1277" w:type="dxa"/>
                        <w:tcBorders>
                          <w:top w:val="single" w:sz="8" w:space="0" w:color="auto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AD724F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</w:p>
                    </w:tc>
                    <w:tc>
                      <w:tcPr>
                        <w:tcW w:w="832" w:type="dxa"/>
                        <w:tcBorders>
                          <w:top w:val="single" w:sz="8" w:space="0" w:color="auto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AD724F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Video 1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single" w:sz="8" w:space="0" w:color="auto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AD724F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Video 2</w:t>
                        </w:r>
                      </w:p>
                    </w:tc>
                    <w:tc>
                      <w:tcPr>
                        <w:tcW w:w="998" w:type="dxa"/>
                        <w:tcBorders>
                          <w:top w:val="single" w:sz="8" w:space="0" w:color="auto"/>
                          <w:left w:val="nil"/>
                          <w:bottom w:val="double" w:sz="4" w:space="0" w:color="auto"/>
                          <w:right w:val="nil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AD724F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Video only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single" w:sz="8" w:space="0" w:color="auto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AD724F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  <w:t xml:space="preserve">video/total </w:t>
                        </w:r>
                        <w:r>
                          <w:rPr>
                            <w:rFonts w:ascii="Calibri" w:hAnsi="Calibri" w:hint="eastAsia"/>
                            <w:color w:val="000000"/>
                            <w:sz w:val="18"/>
                            <w:szCs w:val="18"/>
                            <w:lang w:eastAsia="zh-TW"/>
                          </w:rPr>
                          <w:t>bit</w:t>
                        </w:r>
                        <w:r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  <w:t>rate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single" w:sz="8" w:space="0" w:color="auto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AD724F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  <w:t xml:space="preserve">synth / total bitrate 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single" w:sz="8" w:space="0" w:color="auto"/>
                          <w:left w:val="nil"/>
                          <w:bottom w:val="double" w:sz="4" w:space="0" w:color="auto"/>
                          <w:right w:val="nil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AD724F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Enc time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single" w:sz="8" w:space="0" w:color="auto"/>
                          <w:left w:val="nil"/>
                          <w:bottom w:val="double" w:sz="4" w:space="0" w:color="auto"/>
                          <w:right w:val="single" w:sz="4" w:space="0" w:color="auto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AD724F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Dec time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single" w:sz="8" w:space="0" w:color="auto"/>
                          <w:left w:val="single" w:sz="4" w:space="0" w:color="auto"/>
                          <w:bottom w:val="double" w:sz="4" w:space="0" w:color="auto"/>
                          <w:right w:val="single" w:sz="8" w:space="0" w:color="auto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AD724F" w:rsidRDefault="00AD724F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Ren time</w:t>
                        </w:r>
                      </w:p>
                    </w:tc>
                  </w:tr>
                  <w:tr w:rsidR="00383009" w:rsidTr="00D31F50">
                    <w:trPr>
                      <w:trHeight w:val="294"/>
                      <w:jc w:val="center"/>
                    </w:trPr>
                    <w:tc>
                      <w:tcPr>
                        <w:tcW w:w="1277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Default="00383009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Balloons</w:t>
                        </w:r>
                      </w:p>
                    </w:tc>
                    <w:tc>
                      <w:tcPr>
                        <w:tcW w:w="832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98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99.9%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98.6%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102.1%</w:t>
                        </w:r>
                      </w:p>
                    </w:tc>
                  </w:tr>
                  <w:tr w:rsidR="00383009" w:rsidTr="00D31F50">
                    <w:trPr>
                      <w:trHeight w:val="294"/>
                      <w:jc w:val="center"/>
                    </w:trPr>
                    <w:tc>
                      <w:tcPr>
                        <w:tcW w:w="1277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Default="00383009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Kendo</w:t>
                        </w:r>
                      </w:p>
                    </w:tc>
                    <w:tc>
                      <w:tcPr>
                        <w:tcW w:w="83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98" w:type="dxa"/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100.2%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97.0%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102.3%</w:t>
                        </w:r>
                      </w:p>
                    </w:tc>
                  </w:tr>
                  <w:tr w:rsidR="00383009" w:rsidTr="00D31F50">
                    <w:trPr>
                      <w:trHeight w:val="294"/>
                      <w:jc w:val="center"/>
                    </w:trPr>
                    <w:tc>
                      <w:tcPr>
                        <w:tcW w:w="1277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Default="00383009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Newspapercc</w:t>
                        </w:r>
                      </w:p>
                    </w:tc>
                    <w:tc>
                      <w:tcPr>
                        <w:tcW w:w="83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98" w:type="dxa"/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100.7%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94.5%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100.5%</w:t>
                        </w:r>
                      </w:p>
                    </w:tc>
                  </w:tr>
                  <w:tr w:rsidR="00383009" w:rsidTr="00D31F50">
                    <w:trPr>
                      <w:trHeight w:val="294"/>
                      <w:jc w:val="center"/>
                    </w:trPr>
                    <w:tc>
                      <w:tcPr>
                        <w:tcW w:w="1277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Default="00383009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GhostTownFly</w:t>
                        </w:r>
                      </w:p>
                    </w:tc>
                    <w:tc>
                      <w:tcPr>
                        <w:tcW w:w="83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98" w:type="dxa"/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-0.1%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-0.1%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99.7%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101.8%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101.5%</w:t>
                        </w:r>
                      </w:p>
                    </w:tc>
                  </w:tr>
                  <w:tr w:rsidR="00383009" w:rsidTr="00D31F50">
                    <w:trPr>
                      <w:trHeight w:val="294"/>
                      <w:jc w:val="center"/>
                    </w:trPr>
                    <w:tc>
                      <w:tcPr>
                        <w:tcW w:w="1277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Default="00383009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PoznanHall2</w:t>
                        </w:r>
                      </w:p>
                    </w:tc>
                    <w:tc>
                      <w:tcPr>
                        <w:tcW w:w="83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98" w:type="dxa"/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0.1%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100.4%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98.4%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98.6%</w:t>
                        </w:r>
                      </w:p>
                    </w:tc>
                  </w:tr>
                  <w:tr w:rsidR="00383009" w:rsidTr="00D31F50">
                    <w:trPr>
                      <w:trHeight w:val="294"/>
                      <w:jc w:val="center"/>
                    </w:trPr>
                    <w:tc>
                      <w:tcPr>
                        <w:tcW w:w="1277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Default="00383009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PoznanStreet</w:t>
                        </w:r>
                      </w:p>
                    </w:tc>
                    <w:tc>
                      <w:tcPr>
                        <w:tcW w:w="83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98" w:type="dxa"/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99.8%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103.8%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99.8%</w:t>
                        </w:r>
                      </w:p>
                    </w:tc>
                  </w:tr>
                  <w:tr w:rsidR="00383009" w:rsidTr="00D31F50">
                    <w:trPr>
                      <w:trHeight w:val="308"/>
                      <w:jc w:val="center"/>
                    </w:trPr>
                    <w:tc>
                      <w:tcPr>
                        <w:tcW w:w="1277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Default="00383009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UndoDancer</w:t>
                        </w:r>
                      </w:p>
                    </w:tc>
                    <w:tc>
                      <w:tcPr>
                        <w:tcW w:w="832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98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-0.1%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-0.2%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99.9%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95.5%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102.2%</w:t>
                        </w:r>
                      </w:p>
                    </w:tc>
                  </w:tr>
                  <w:tr w:rsidR="00383009" w:rsidTr="00D31F50">
                    <w:trPr>
                      <w:trHeight w:val="294"/>
                      <w:jc w:val="center"/>
                    </w:trPr>
                    <w:tc>
                      <w:tcPr>
                        <w:tcW w:w="1277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Default="00383009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1024x768</w:t>
                        </w:r>
                      </w:p>
                    </w:tc>
                    <w:tc>
                      <w:tcPr>
                        <w:tcW w:w="832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98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100.2%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96.7%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101.6%</w:t>
                        </w:r>
                      </w:p>
                    </w:tc>
                  </w:tr>
                  <w:tr w:rsidR="00383009" w:rsidTr="00D31F50">
                    <w:trPr>
                      <w:trHeight w:val="308"/>
                      <w:jc w:val="center"/>
                    </w:trPr>
                    <w:tc>
                      <w:tcPr>
                        <w:tcW w:w="1277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Default="00383009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1920x1088</w:t>
                        </w:r>
                      </w:p>
                    </w:tc>
                    <w:tc>
                      <w:tcPr>
                        <w:tcW w:w="832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98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-0.1%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99.9%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99.9%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100.5%</w:t>
                        </w:r>
                      </w:p>
                    </w:tc>
                  </w:tr>
                  <w:tr w:rsidR="00383009" w:rsidTr="00D31F50">
                    <w:trPr>
                      <w:trHeight w:val="308"/>
                      <w:jc w:val="center"/>
                    </w:trPr>
                    <w:tc>
                      <w:tcPr>
                        <w:tcW w:w="1277" w:type="dxa"/>
                        <w:tcBorders>
                          <w:top w:val="double" w:sz="4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Default="00383009" w:rsidP="00136BDC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b/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b/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average</w:t>
                        </w:r>
                      </w:p>
                    </w:tc>
                    <w:tc>
                      <w:tcPr>
                        <w:tcW w:w="832" w:type="dxa"/>
                        <w:tcBorders>
                          <w:top w:val="double" w:sz="4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doub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98" w:type="dxa"/>
                        <w:tcBorders>
                          <w:top w:val="double" w:sz="4" w:space="0" w:color="auto"/>
                          <w:left w:val="nil"/>
                          <w:bottom w:val="single" w:sz="8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doub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doub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double" w:sz="4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  <w:t>100.1%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doub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D31F50" w:rsidRDefault="00383009" w:rsidP="00F10B66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D31F50"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  <w:t>98.5%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double" w:sz="4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  <w:t>101.0%</w:t>
                        </w:r>
                      </w:p>
                    </w:tc>
                  </w:tr>
                </w:tbl>
                <w:p w:rsidR="00AD724F" w:rsidRPr="00072954" w:rsidRDefault="00AD724F" w:rsidP="00AD724F">
                  <w:pPr>
                    <w:jc w:val="center"/>
                    <w:rPr>
                      <w:lang w:eastAsia="zh-TW"/>
                    </w:rPr>
                  </w:pPr>
                </w:p>
              </w:txbxContent>
            </v:textbox>
            <w10:wrap type="none"/>
            <w10:anchorlock/>
          </v:shape>
        </w:pict>
      </w:r>
      <w:bookmarkEnd w:id="44"/>
      <w:bookmarkEnd w:id="45"/>
      <w:bookmarkEnd w:id="46"/>
    </w:p>
    <w:bookmarkStart w:id="47" w:name="OLE_LINK179"/>
    <w:bookmarkStart w:id="48" w:name="OLE_LINK180"/>
    <w:p w:rsidR="00970DBB" w:rsidRDefault="00954B96" w:rsidP="000A4707">
      <w:pPr>
        <w:jc w:val="center"/>
        <w:rPr>
          <w:lang w:eastAsia="zh-TW"/>
        </w:rPr>
      </w:pPr>
      <w:r>
        <w:rPr>
          <w:lang w:eastAsia="zh-TW"/>
        </w:rPr>
      </w:r>
      <w:r>
        <w:rPr>
          <w:lang w:eastAsia="zh-TW"/>
        </w:rPr>
        <w:pict>
          <v:shape id="_x0000_s1051" type="#_x0000_t202" style="width:467.1pt;height:223.75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 filled="f" stroked="f">
            <v:textbox style="mso-next-textbox:#_x0000_s1051">
              <w:txbxContent>
                <w:p w:rsidR="00970DBB" w:rsidRDefault="00970DBB" w:rsidP="00970DBB">
                  <w:pPr>
                    <w:jc w:val="center"/>
                    <w:rPr>
                      <w:b/>
                      <w:lang w:val="en-CA" w:eastAsia="zh-TW"/>
                    </w:rPr>
                  </w:pPr>
                  <w:r>
                    <w:rPr>
                      <w:b/>
                      <w:szCs w:val="24"/>
                      <w:lang w:eastAsia="zh-TW"/>
                    </w:rPr>
                    <w:t xml:space="preserve">Table </w:t>
                  </w:r>
                  <w:r>
                    <w:rPr>
                      <w:rFonts w:hint="eastAsia"/>
                      <w:b/>
                      <w:szCs w:val="24"/>
                      <w:lang w:eastAsia="zh-TW"/>
                    </w:rPr>
                    <w:t>2</w:t>
                  </w:r>
                  <w:r>
                    <w:rPr>
                      <w:b/>
                      <w:szCs w:val="24"/>
                    </w:rPr>
                    <w:t xml:space="preserve">.  </w:t>
                  </w:r>
                  <w:r>
                    <w:rPr>
                      <w:b/>
                      <w:lang w:val="en-CA" w:eastAsia="zh-TW"/>
                    </w:rPr>
                    <w:t xml:space="preserve">The results of </w:t>
                  </w:r>
                  <w:r w:rsidR="00D31F50">
                    <w:rPr>
                      <w:rFonts w:hint="eastAsia"/>
                      <w:b/>
                      <w:lang w:val="en-CA" w:eastAsia="zh-TW"/>
                    </w:rPr>
                    <w:t>simplification 2</w:t>
                  </w:r>
                  <w:r>
                    <w:rPr>
                      <w:b/>
                      <w:lang w:val="en-CA" w:eastAsia="zh-TW"/>
                    </w:rPr>
                    <w:t xml:space="preserve"> </w:t>
                  </w:r>
                  <w:r w:rsidR="00D31F50">
                    <w:rPr>
                      <w:rFonts w:hint="eastAsia"/>
                      <w:b/>
                      <w:lang w:val="en-CA" w:eastAsia="zh-TW"/>
                    </w:rPr>
                    <w:t>(using NBDV for VSP)</w:t>
                  </w:r>
                </w:p>
                <w:tbl>
                  <w:tblPr>
                    <w:tblW w:w="9287" w:type="dxa"/>
                    <w:jc w:val="center"/>
                    <w:tblInd w:w="93" w:type="dxa"/>
                    <w:tblLayout w:type="fixed"/>
                    <w:tblLook w:val="04A0"/>
                  </w:tblPr>
                  <w:tblGrid>
                    <w:gridCol w:w="1277"/>
                    <w:gridCol w:w="832"/>
                    <w:gridCol w:w="975"/>
                    <w:gridCol w:w="998"/>
                    <w:gridCol w:w="1245"/>
                    <w:gridCol w:w="1215"/>
                    <w:gridCol w:w="748"/>
                    <w:gridCol w:w="1058"/>
                    <w:gridCol w:w="939"/>
                  </w:tblGrid>
                  <w:tr w:rsidR="00970DBB" w:rsidTr="009A18FA">
                    <w:trPr>
                      <w:trHeight w:val="308"/>
                      <w:jc w:val="center"/>
                    </w:trPr>
                    <w:tc>
                      <w:tcPr>
                        <w:tcW w:w="1277" w:type="dxa"/>
                        <w:tcBorders>
                          <w:top w:val="single" w:sz="8" w:space="0" w:color="auto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970DBB" w:rsidRDefault="00970DBB">
                        <w:pPr>
                          <w:tabs>
                            <w:tab w:val="clear" w:pos="360"/>
                            <w:tab w:val="clear" w:pos="720"/>
                            <w:tab w:val="clear" w:pos="1080"/>
                            <w:tab w:val="clear" w:pos="1440"/>
                          </w:tabs>
                          <w:overflowPunct/>
                          <w:autoSpaceDE/>
                          <w:autoSpaceDN/>
                          <w:adjustRightInd/>
                          <w:spacing w:before="0"/>
                          <w:rPr>
                            <w:rFonts w:ascii="Calibri" w:hAnsi="Calibri"/>
                            <w:sz w:val="20"/>
                            <w:lang w:eastAsia="zh-TW"/>
                          </w:rPr>
                        </w:pPr>
                      </w:p>
                    </w:tc>
                    <w:tc>
                      <w:tcPr>
                        <w:tcW w:w="832" w:type="dxa"/>
                        <w:tcBorders>
                          <w:top w:val="single" w:sz="8" w:space="0" w:color="auto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970DBB" w:rsidRDefault="00970DBB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Video 1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single" w:sz="8" w:space="0" w:color="auto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970DBB" w:rsidRDefault="00970DBB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Video 2</w:t>
                        </w:r>
                      </w:p>
                    </w:tc>
                    <w:tc>
                      <w:tcPr>
                        <w:tcW w:w="998" w:type="dxa"/>
                        <w:tcBorders>
                          <w:top w:val="single" w:sz="8" w:space="0" w:color="auto"/>
                          <w:left w:val="nil"/>
                          <w:bottom w:val="double" w:sz="4" w:space="0" w:color="auto"/>
                          <w:right w:val="nil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970DBB" w:rsidRDefault="00970DBB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Video only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single" w:sz="8" w:space="0" w:color="auto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970DBB" w:rsidRDefault="00970DBB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  <w:t xml:space="preserve">video/total </w:t>
                        </w:r>
                        <w:r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  <w:lang w:eastAsia="zh-TW"/>
                          </w:rPr>
                          <w:t>bit</w:t>
                        </w:r>
                        <w:r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  <w:t>rate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single" w:sz="8" w:space="0" w:color="auto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970DBB" w:rsidRDefault="00970DBB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  <w:t xml:space="preserve">synth / total bitrate 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single" w:sz="8" w:space="0" w:color="auto"/>
                          <w:left w:val="nil"/>
                          <w:bottom w:val="double" w:sz="4" w:space="0" w:color="auto"/>
                          <w:right w:val="nil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970DBB" w:rsidRDefault="00970DBB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Enc time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single" w:sz="8" w:space="0" w:color="auto"/>
                          <w:left w:val="nil"/>
                          <w:bottom w:val="double" w:sz="4" w:space="0" w:color="auto"/>
                          <w:right w:val="single" w:sz="4" w:space="0" w:color="auto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970DBB" w:rsidRDefault="00970DBB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Dec time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single" w:sz="8" w:space="0" w:color="auto"/>
                          <w:left w:val="single" w:sz="4" w:space="0" w:color="auto"/>
                          <w:bottom w:val="double" w:sz="4" w:space="0" w:color="auto"/>
                          <w:right w:val="single" w:sz="8" w:space="0" w:color="auto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970DBB" w:rsidRDefault="00970DBB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Ren time</w:t>
                        </w:r>
                      </w:p>
                    </w:tc>
                  </w:tr>
                  <w:tr w:rsidR="00383009" w:rsidRPr="00383009" w:rsidTr="009A18FA">
                    <w:trPr>
                      <w:trHeight w:val="294"/>
                      <w:jc w:val="center"/>
                    </w:trPr>
                    <w:tc>
                      <w:tcPr>
                        <w:tcW w:w="1277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Default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Balloons</w:t>
                        </w:r>
                      </w:p>
                    </w:tc>
                    <w:tc>
                      <w:tcPr>
                        <w:tcW w:w="832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-0.1%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98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-0.1%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100.4%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96.9%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101.1%</w:t>
                        </w:r>
                      </w:p>
                    </w:tc>
                  </w:tr>
                  <w:tr w:rsidR="00383009" w:rsidRPr="00383009" w:rsidTr="009A18FA">
                    <w:trPr>
                      <w:trHeight w:val="294"/>
                      <w:jc w:val="center"/>
                    </w:trPr>
                    <w:tc>
                      <w:tcPr>
                        <w:tcW w:w="1277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Default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Kendo</w:t>
                        </w:r>
                      </w:p>
                    </w:tc>
                    <w:tc>
                      <w:tcPr>
                        <w:tcW w:w="83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0.1%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98" w:type="dxa"/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100.3%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98.0%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101.6%</w:t>
                        </w:r>
                      </w:p>
                    </w:tc>
                  </w:tr>
                  <w:tr w:rsidR="00383009" w:rsidRPr="00383009" w:rsidTr="009A18FA">
                    <w:trPr>
                      <w:trHeight w:val="294"/>
                      <w:jc w:val="center"/>
                    </w:trPr>
                    <w:tc>
                      <w:tcPr>
                        <w:tcW w:w="1277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Default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Newspapercc</w:t>
                        </w:r>
                      </w:p>
                    </w:tc>
                    <w:tc>
                      <w:tcPr>
                        <w:tcW w:w="83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0.1%</w:t>
                        </w:r>
                      </w:p>
                    </w:tc>
                    <w:tc>
                      <w:tcPr>
                        <w:tcW w:w="998" w:type="dxa"/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100.1%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95.5%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100.5%</w:t>
                        </w:r>
                      </w:p>
                    </w:tc>
                  </w:tr>
                  <w:tr w:rsidR="00383009" w:rsidRPr="00383009" w:rsidTr="009A18FA">
                    <w:trPr>
                      <w:trHeight w:val="294"/>
                      <w:jc w:val="center"/>
                    </w:trPr>
                    <w:tc>
                      <w:tcPr>
                        <w:tcW w:w="1277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Default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GhostTownFly</w:t>
                        </w:r>
                      </w:p>
                    </w:tc>
                    <w:tc>
                      <w:tcPr>
                        <w:tcW w:w="83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0.1%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0.2%</w:t>
                        </w:r>
                      </w:p>
                    </w:tc>
                    <w:tc>
                      <w:tcPr>
                        <w:tcW w:w="998" w:type="dxa"/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100.3%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95.8%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99.7%</w:t>
                        </w:r>
                      </w:p>
                    </w:tc>
                  </w:tr>
                  <w:tr w:rsidR="00383009" w:rsidRPr="00383009" w:rsidTr="009A18FA">
                    <w:trPr>
                      <w:trHeight w:val="294"/>
                      <w:jc w:val="center"/>
                    </w:trPr>
                    <w:tc>
                      <w:tcPr>
                        <w:tcW w:w="1277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Default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PoznanHall2</w:t>
                        </w:r>
                      </w:p>
                    </w:tc>
                    <w:tc>
                      <w:tcPr>
                        <w:tcW w:w="83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-0.3%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-0.3%</w:t>
                        </w:r>
                      </w:p>
                    </w:tc>
                    <w:tc>
                      <w:tcPr>
                        <w:tcW w:w="998" w:type="dxa"/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-0.1%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-0.1%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-0.1%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100.2%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93.5%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104.5%</w:t>
                        </w:r>
                      </w:p>
                    </w:tc>
                  </w:tr>
                  <w:tr w:rsidR="00383009" w:rsidRPr="00383009" w:rsidTr="009A18FA">
                    <w:trPr>
                      <w:trHeight w:val="294"/>
                      <w:jc w:val="center"/>
                    </w:trPr>
                    <w:tc>
                      <w:tcPr>
                        <w:tcW w:w="1277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Default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PoznanStreet</w:t>
                        </w:r>
                      </w:p>
                    </w:tc>
                    <w:tc>
                      <w:tcPr>
                        <w:tcW w:w="83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0.4%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0.2%</w:t>
                        </w:r>
                      </w:p>
                    </w:tc>
                    <w:tc>
                      <w:tcPr>
                        <w:tcW w:w="998" w:type="dxa"/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0.1%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0.1%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0.1%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100.3%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105.4%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100.1%</w:t>
                        </w:r>
                      </w:p>
                    </w:tc>
                  </w:tr>
                  <w:tr w:rsidR="00383009" w:rsidTr="009A18FA">
                    <w:trPr>
                      <w:trHeight w:val="308"/>
                      <w:jc w:val="center"/>
                    </w:trPr>
                    <w:tc>
                      <w:tcPr>
                        <w:tcW w:w="1277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Default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UndoDancer</w:t>
                        </w:r>
                      </w:p>
                    </w:tc>
                    <w:tc>
                      <w:tcPr>
                        <w:tcW w:w="832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0.1%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0.2%</w:t>
                        </w:r>
                      </w:p>
                    </w:tc>
                    <w:tc>
                      <w:tcPr>
                        <w:tcW w:w="998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-0.4%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100.7%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99.6%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95.5%</w:t>
                        </w:r>
                      </w:p>
                    </w:tc>
                  </w:tr>
                  <w:tr w:rsidR="00383009" w:rsidTr="009A18FA">
                    <w:trPr>
                      <w:trHeight w:val="294"/>
                      <w:jc w:val="center"/>
                    </w:trPr>
                    <w:tc>
                      <w:tcPr>
                        <w:tcW w:w="1277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Default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1024x768</w:t>
                        </w:r>
                      </w:p>
                    </w:tc>
                    <w:tc>
                      <w:tcPr>
                        <w:tcW w:w="832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0.1%</w:t>
                        </w:r>
                      </w:p>
                    </w:tc>
                    <w:tc>
                      <w:tcPr>
                        <w:tcW w:w="998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100.3%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96.8%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101.1%</w:t>
                        </w:r>
                      </w:p>
                    </w:tc>
                  </w:tr>
                  <w:tr w:rsidR="00383009" w:rsidTr="009A18FA">
                    <w:trPr>
                      <w:trHeight w:val="308"/>
                      <w:jc w:val="center"/>
                    </w:trPr>
                    <w:tc>
                      <w:tcPr>
                        <w:tcW w:w="1277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Default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1920x1088</w:t>
                        </w:r>
                      </w:p>
                    </w:tc>
                    <w:tc>
                      <w:tcPr>
                        <w:tcW w:w="832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0.1%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0.1%</w:t>
                        </w:r>
                      </w:p>
                    </w:tc>
                    <w:tc>
                      <w:tcPr>
                        <w:tcW w:w="998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-0.1%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100.4%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98.6%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100.0%</w:t>
                        </w:r>
                      </w:p>
                    </w:tc>
                  </w:tr>
                  <w:tr w:rsidR="00383009" w:rsidRPr="00383009" w:rsidTr="009A18FA">
                    <w:trPr>
                      <w:trHeight w:val="308"/>
                      <w:jc w:val="center"/>
                    </w:trPr>
                    <w:tc>
                      <w:tcPr>
                        <w:tcW w:w="1277" w:type="dxa"/>
                        <w:tcBorders>
                          <w:top w:val="double" w:sz="4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Default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b/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b/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average</w:t>
                        </w:r>
                      </w:p>
                    </w:tc>
                    <w:tc>
                      <w:tcPr>
                        <w:tcW w:w="832" w:type="dxa"/>
                        <w:tcBorders>
                          <w:top w:val="double" w:sz="4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doub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  <w:t>0.1%</w:t>
                        </w:r>
                      </w:p>
                    </w:tc>
                    <w:tc>
                      <w:tcPr>
                        <w:tcW w:w="998" w:type="dxa"/>
                        <w:tcBorders>
                          <w:top w:val="double" w:sz="4" w:space="0" w:color="auto"/>
                          <w:left w:val="nil"/>
                          <w:bottom w:val="single" w:sz="8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doub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doub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  <w:t>-0.1%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double" w:sz="4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  <w:t>100.3%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doub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  <w:t>97.8%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double" w:sz="4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  <w:t>100.4%</w:t>
                        </w:r>
                      </w:p>
                    </w:tc>
                  </w:tr>
                </w:tbl>
                <w:p w:rsidR="00970DBB" w:rsidRDefault="00970DBB" w:rsidP="00970DBB">
                  <w:pPr>
                    <w:jc w:val="center"/>
                    <w:rPr>
                      <w:lang w:eastAsia="zh-TW"/>
                    </w:rPr>
                  </w:pPr>
                </w:p>
              </w:txbxContent>
            </v:textbox>
            <w10:wrap type="none"/>
            <w10:anchorlock/>
          </v:shape>
        </w:pict>
      </w:r>
      <w:bookmarkEnd w:id="47"/>
      <w:bookmarkEnd w:id="48"/>
    </w:p>
    <w:p w:rsidR="00970DBB" w:rsidRDefault="00954B96" w:rsidP="000A4707">
      <w:pPr>
        <w:jc w:val="center"/>
        <w:rPr>
          <w:color w:val="000000"/>
          <w:lang w:val="en-GB" w:eastAsia="zh-TW"/>
        </w:rPr>
      </w:pPr>
      <w:r w:rsidRPr="00954B96">
        <w:rPr>
          <w:lang w:eastAsia="zh-TW"/>
        </w:rPr>
      </w:r>
      <w:r w:rsidRPr="00954B96">
        <w:rPr>
          <w:lang w:eastAsia="zh-TW"/>
        </w:rPr>
        <w:pict>
          <v:shape id="_x0000_s1050" type="#_x0000_t202" style="width:467.1pt;height:223.75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 filled="f" stroked="f">
            <v:textbox style="mso-next-textbox:#_x0000_s1050">
              <w:txbxContent>
                <w:p w:rsidR="00970DBB" w:rsidRDefault="00970DBB" w:rsidP="00970DBB">
                  <w:pPr>
                    <w:jc w:val="center"/>
                    <w:rPr>
                      <w:b/>
                      <w:lang w:val="en-CA" w:eastAsia="zh-TW"/>
                    </w:rPr>
                  </w:pPr>
                  <w:r>
                    <w:rPr>
                      <w:b/>
                      <w:szCs w:val="24"/>
                      <w:lang w:eastAsia="zh-TW"/>
                    </w:rPr>
                    <w:t xml:space="preserve">Table </w:t>
                  </w:r>
                  <w:r>
                    <w:rPr>
                      <w:rFonts w:hint="eastAsia"/>
                      <w:b/>
                      <w:szCs w:val="24"/>
                      <w:lang w:eastAsia="zh-TW"/>
                    </w:rPr>
                    <w:t>3</w:t>
                  </w:r>
                  <w:r>
                    <w:rPr>
                      <w:b/>
                      <w:szCs w:val="24"/>
                    </w:rPr>
                    <w:t xml:space="preserve">.  </w:t>
                  </w:r>
                  <w:r>
                    <w:rPr>
                      <w:b/>
                      <w:lang w:val="en-CA" w:eastAsia="zh-TW"/>
                    </w:rPr>
                    <w:t xml:space="preserve">The results of </w:t>
                  </w:r>
                  <w:r w:rsidR="009A18FA">
                    <w:rPr>
                      <w:rFonts w:hint="eastAsia"/>
                      <w:b/>
                      <w:lang w:val="en-CA" w:eastAsia="zh-TW"/>
                    </w:rPr>
                    <w:t>combination of simplification 1 and simplification 2</w:t>
                  </w:r>
                </w:p>
                <w:tbl>
                  <w:tblPr>
                    <w:tblW w:w="9287" w:type="dxa"/>
                    <w:jc w:val="center"/>
                    <w:tblInd w:w="93" w:type="dxa"/>
                    <w:tblLayout w:type="fixed"/>
                    <w:tblLook w:val="04A0"/>
                  </w:tblPr>
                  <w:tblGrid>
                    <w:gridCol w:w="1277"/>
                    <w:gridCol w:w="832"/>
                    <w:gridCol w:w="975"/>
                    <w:gridCol w:w="998"/>
                    <w:gridCol w:w="1245"/>
                    <w:gridCol w:w="1215"/>
                    <w:gridCol w:w="748"/>
                    <w:gridCol w:w="1058"/>
                    <w:gridCol w:w="939"/>
                  </w:tblGrid>
                  <w:tr w:rsidR="00970DBB" w:rsidTr="009A18FA">
                    <w:trPr>
                      <w:trHeight w:val="308"/>
                      <w:jc w:val="center"/>
                    </w:trPr>
                    <w:tc>
                      <w:tcPr>
                        <w:tcW w:w="1277" w:type="dxa"/>
                        <w:tcBorders>
                          <w:top w:val="single" w:sz="8" w:space="0" w:color="auto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970DBB" w:rsidRDefault="00970DBB">
                        <w:pPr>
                          <w:tabs>
                            <w:tab w:val="clear" w:pos="360"/>
                            <w:tab w:val="clear" w:pos="720"/>
                            <w:tab w:val="clear" w:pos="1080"/>
                            <w:tab w:val="clear" w:pos="1440"/>
                          </w:tabs>
                          <w:overflowPunct/>
                          <w:autoSpaceDE/>
                          <w:autoSpaceDN/>
                          <w:adjustRightInd/>
                          <w:spacing w:before="0"/>
                          <w:rPr>
                            <w:rFonts w:ascii="Calibri" w:hAnsi="Calibri"/>
                            <w:sz w:val="20"/>
                            <w:lang w:eastAsia="zh-TW"/>
                          </w:rPr>
                        </w:pPr>
                      </w:p>
                    </w:tc>
                    <w:tc>
                      <w:tcPr>
                        <w:tcW w:w="832" w:type="dxa"/>
                        <w:tcBorders>
                          <w:top w:val="single" w:sz="8" w:space="0" w:color="auto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970DBB" w:rsidRDefault="00970DBB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Video 1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single" w:sz="8" w:space="0" w:color="auto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970DBB" w:rsidRDefault="00970DBB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Video 2</w:t>
                        </w:r>
                      </w:p>
                    </w:tc>
                    <w:tc>
                      <w:tcPr>
                        <w:tcW w:w="998" w:type="dxa"/>
                        <w:tcBorders>
                          <w:top w:val="single" w:sz="8" w:space="0" w:color="auto"/>
                          <w:left w:val="nil"/>
                          <w:bottom w:val="double" w:sz="4" w:space="0" w:color="auto"/>
                          <w:right w:val="nil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970DBB" w:rsidRDefault="00970DBB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Video only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single" w:sz="8" w:space="0" w:color="auto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970DBB" w:rsidRDefault="00970DBB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  <w:t xml:space="preserve">video/total </w:t>
                        </w:r>
                        <w:r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  <w:lang w:eastAsia="zh-TW"/>
                          </w:rPr>
                          <w:t>bit</w:t>
                        </w:r>
                        <w:r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  <w:t>rate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single" w:sz="8" w:space="0" w:color="auto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970DBB" w:rsidRDefault="00970DBB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  <w:t xml:space="preserve">synth / total bitrate 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single" w:sz="8" w:space="0" w:color="auto"/>
                          <w:left w:val="nil"/>
                          <w:bottom w:val="double" w:sz="4" w:space="0" w:color="auto"/>
                          <w:right w:val="nil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970DBB" w:rsidRDefault="00970DBB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Enc time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single" w:sz="8" w:space="0" w:color="auto"/>
                          <w:left w:val="nil"/>
                          <w:bottom w:val="double" w:sz="4" w:space="0" w:color="auto"/>
                          <w:right w:val="single" w:sz="4" w:space="0" w:color="auto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970DBB" w:rsidRDefault="00970DBB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Dec time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single" w:sz="8" w:space="0" w:color="auto"/>
                          <w:left w:val="single" w:sz="4" w:space="0" w:color="auto"/>
                          <w:bottom w:val="double" w:sz="4" w:space="0" w:color="auto"/>
                          <w:right w:val="single" w:sz="8" w:space="0" w:color="auto"/>
                        </w:tcBorders>
                        <w:shd w:val="pct30" w:color="auto" w:fill="auto"/>
                        <w:noWrap/>
                        <w:vAlign w:val="bottom"/>
                        <w:hideMark/>
                      </w:tcPr>
                      <w:p w:rsidR="00970DBB" w:rsidRDefault="00970DBB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Ren time</w:t>
                        </w:r>
                      </w:p>
                    </w:tc>
                  </w:tr>
                  <w:tr w:rsidR="00383009" w:rsidRPr="00383009" w:rsidTr="009A18FA">
                    <w:trPr>
                      <w:trHeight w:val="294"/>
                      <w:jc w:val="center"/>
                    </w:trPr>
                    <w:tc>
                      <w:tcPr>
                        <w:tcW w:w="1277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Default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Balloons</w:t>
                        </w:r>
                      </w:p>
                    </w:tc>
                    <w:tc>
                      <w:tcPr>
                        <w:tcW w:w="832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-0.1%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98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100.1%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94.9%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98.6%</w:t>
                        </w:r>
                      </w:p>
                    </w:tc>
                  </w:tr>
                  <w:tr w:rsidR="00383009" w:rsidRPr="00383009" w:rsidTr="009A18FA">
                    <w:trPr>
                      <w:trHeight w:val="294"/>
                      <w:jc w:val="center"/>
                    </w:trPr>
                    <w:tc>
                      <w:tcPr>
                        <w:tcW w:w="1277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Default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Kendo</w:t>
                        </w:r>
                      </w:p>
                    </w:tc>
                    <w:tc>
                      <w:tcPr>
                        <w:tcW w:w="83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0.1%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98" w:type="dxa"/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0.1%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99.8%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97.3%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101.0%</w:t>
                        </w:r>
                      </w:p>
                    </w:tc>
                  </w:tr>
                  <w:tr w:rsidR="00383009" w:rsidRPr="00383009" w:rsidTr="009A18FA">
                    <w:trPr>
                      <w:trHeight w:val="294"/>
                      <w:jc w:val="center"/>
                    </w:trPr>
                    <w:tc>
                      <w:tcPr>
                        <w:tcW w:w="1277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Default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Newspapercc</w:t>
                        </w:r>
                      </w:p>
                    </w:tc>
                    <w:tc>
                      <w:tcPr>
                        <w:tcW w:w="83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0.1%</w:t>
                        </w:r>
                      </w:p>
                    </w:tc>
                    <w:tc>
                      <w:tcPr>
                        <w:tcW w:w="998" w:type="dxa"/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-0.1%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99.7%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93.0%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100.0%</w:t>
                        </w:r>
                      </w:p>
                    </w:tc>
                  </w:tr>
                  <w:tr w:rsidR="00383009" w:rsidRPr="00383009" w:rsidTr="009A18FA">
                    <w:trPr>
                      <w:trHeight w:val="294"/>
                      <w:jc w:val="center"/>
                    </w:trPr>
                    <w:tc>
                      <w:tcPr>
                        <w:tcW w:w="1277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Default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GhostTownFly</w:t>
                        </w:r>
                      </w:p>
                    </w:tc>
                    <w:tc>
                      <w:tcPr>
                        <w:tcW w:w="83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0.1%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0.2%</w:t>
                        </w:r>
                      </w:p>
                    </w:tc>
                    <w:tc>
                      <w:tcPr>
                        <w:tcW w:w="998" w:type="dxa"/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-0.1%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100.0%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94.9%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101.8%</w:t>
                        </w:r>
                      </w:p>
                    </w:tc>
                  </w:tr>
                  <w:tr w:rsidR="00383009" w:rsidRPr="00383009" w:rsidTr="009A18FA">
                    <w:trPr>
                      <w:trHeight w:val="294"/>
                      <w:jc w:val="center"/>
                    </w:trPr>
                    <w:tc>
                      <w:tcPr>
                        <w:tcW w:w="1277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Default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PoznanHall2</w:t>
                        </w:r>
                      </w:p>
                    </w:tc>
                    <w:tc>
                      <w:tcPr>
                        <w:tcW w:w="83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-0.3%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-0.3%</w:t>
                        </w:r>
                      </w:p>
                    </w:tc>
                    <w:tc>
                      <w:tcPr>
                        <w:tcW w:w="998" w:type="dxa"/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-0.1%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-0.2%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-0.1%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100.4%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100.0%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99.4%</w:t>
                        </w:r>
                      </w:p>
                    </w:tc>
                  </w:tr>
                  <w:tr w:rsidR="00383009" w:rsidRPr="00383009" w:rsidTr="009A18FA">
                    <w:trPr>
                      <w:trHeight w:val="294"/>
                      <w:jc w:val="center"/>
                    </w:trPr>
                    <w:tc>
                      <w:tcPr>
                        <w:tcW w:w="1277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Default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PoznanStreet</w:t>
                        </w:r>
                      </w:p>
                    </w:tc>
                    <w:tc>
                      <w:tcPr>
                        <w:tcW w:w="83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0.4%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0.2%</w:t>
                        </w:r>
                      </w:p>
                    </w:tc>
                    <w:tc>
                      <w:tcPr>
                        <w:tcW w:w="998" w:type="dxa"/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0.1%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99.8%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94.2%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98.7%</w:t>
                        </w:r>
                      </w:p>
                    </w:tc>
                  </w:tr>
                  <w:tr w:rsidR="00383009" w:rsidRPr="00383009" w:rsidTr="009A18FA">
                    <w:trPr>
                      <w:trHeight w:val="308"/>
                      <w:jc w:val="center"/>
                    </w:trPr>
                    <w:tc>
                      <w:tcPr>
                        <w:tcW w:w="1277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Default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UndoDancer</w:t>
                        </w:r>
                      </w:p>
                    </w:tc>
                    <w:tc>
                      <w:tcPr>
                        <w:tcW w:w="832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0.1%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0.2%</w:t>
                        </w:r>
                      </w:p>
                    </w:tc>
                    <w:tc>
                      <w:tcPr>
                        <w:tcW w:w="998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-0.5%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98.9%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97.7%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102.2%</w:t>
                        </w:r>
                      </w:p>
                    </w:tc>
                  </w:tr>
                  <w:tr w:rsidR="00383009" w:rsidRPr="00383009" w:rsidTr="009A18FA">
                    <w:trPr>
                      <w:trHeight w:val="294"/>
                      <w:jc w:val="center"/>
                    </w:trPr>
                    <w:tc>
                      <w:tcPr>
                        <w:tcW w:w="1277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Default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1024x768</w:t>
                        </w:r>
                      </w:p>
                    </w:tc>
                    <w:tc>
                      <w:tcPr>
                        <w:tcW w:w="832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0.1%</w:t>
                        </w:r>
                      </w:p>
                    </w:tc>
                    <w:tc>
                      <w:tcPr>
                        <w:tcW w:w="998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99.9%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double" w:sz="4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95.1%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double" w:sz="4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 w:rsidP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99.9%</w:t>
                        </w:r>
                      </w:p>
                    </w:tc>
                  </w:tr>
                  <w:tr w:rsidR="00383009" w:rsidRPr="00383009" w:rsidTr="009A18FA">
                    <w:trPr>
                      <w:trHeight w:val="308"/>
                      <w:jc w:val="center"/>
                    </w:trPr>
                    <w:tc>
                      <w:tcPr>
                        <w:tcW w:w="1277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Default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1920x1088</w:t>
                        </w:r>
                      </w:p>
                    </w:tc>
                    <w:tc>
                      <w:tcPr>
                        <w:tcW w:w="832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0.1%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0.1%</w:t>
                        </w:r>
                      </w:p>
                    </w:tc>
                    <w:tc>
                      <w:tcPr>
                        <w:tcW w:w="998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-0.1%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99.8%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nil"/>
                          <w:left w:val="nil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96.7%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nil"/>
                          <w:left w:val="single" w:sz="8" w:space="0" w:color="auto"/>
                          <w:bottom w:val="double" w:sz="4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kern w:val="2"/>
                            <w:sz w:val="16"/>
                            <w:szCs w:val="16"/>
                            <w:lang w:eastAsia="zh-TW"/>
                          </w:rPr>
                          <w:t>100.5%</w:t>
                        </w:r>
                      </w:p>
                    </w:tc>
                  </w:tr>
                  <w:tr w:rsidR="00383009" w:rsidRPr="00383009" w:rsidTr="009A18FA">
                    <w:trPr>
                      <w:trHeight w:val="308"/>
                      <w:jc w:val="center"/>
                    </w:trPr>
                    <w:tc>
                      <w:tcPr>
                        <w:tcW w:w="1277" w:type="dxa"/>
                        <w:tcBorders>
                          <w:top w:val="double" w:sz="4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Default="00383009">
                        <w:pPr>
                          <w:tabs>
                            <w:tab w:val="clear" w:pos="360"/>
                            <w:tab w:val="left" w:pos="480"/>
                          </w:tabs>
                          <w:overflowPunct/>
                          <w:autoSpaceDE/>
                          <w:adjustRightInd/>
                          <w:spacing w:before="0"/>
                          <w:rPr>
                            <w:b/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b/>
                            <w:color w:val="000000"/>
                            <w:kern w:val="2"/>
                            <w:sz w:val="16"/>
                            <w:szCs w:val="16"/>
                            <w:lang w:eastAsia="zh-CN"/>
                          </w:rPr>
                          <w:t>average</w:t>
                        </w:r>
                      </w:p>
                    </w:tc>
                    <w:tc>
                      <w:tcPr>
                        <w:tcW w:w="832" w:type="dxa"/>
                        <w:tcBorders>
                          <w:top w:val="double" w:sz="4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975" w:type="dxa"/>
                        <w:tcBorders>
                          <w:top w:val="doub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  <w:t>0.1%</w:t>
                        </w:r>
                      </w:p>
                    </w:tc>
                    <w:tc>
                      <w:tcPr>
                        <w:tcW w:w="998" w:type="dxa"/>
                        <w:tcBorders>
                          <w:top w:val="double" w:sz="4" w:space="0" w:color="auto"/>
                          <w:left w:val="nil"/>
                          <w:bottom w:val="single" w:sz="8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45" w:type="dxa"/>
                        <w:tcBorders>
                          <w:top w:val="doub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  <w:t>0.0%</w:t>
                        </w:r>
                      </w:p>
                    </w:tc>
                    <w:tc>
                      <w:tcPr>
                        <w:tcW w:w="1215" w:type="dxa"/>
                        <w:tcBorders>
                          <w:top w:val="doub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  <w:t>-0.1%</w:t>
                        </w:r>
                      </w:p>
                    </w:tc>
                    <w:tc>
                      <w:tcPr>
                        <w:tcW w:w="748" w:type="dxa"/>
                        <w:tcBorders>
                          <w:top w:val="double" w:sz="4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  <w:t>99.8%</w:t>
                        </w:r>
                      </w:p>
                    </w:tc>
                    <w:tc>
                      <w:tcPr>
                        <w:tcW w:w="1058" w:type="dxa"/>
                        <w:tcBorders>
                          <w:top w:val="double" w:sz="4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  <w:t>96.0%</w:t>
                        </w:r>
                      </w:p>
                    </w:tc>
                    <w:tc>
                      <w:tcPr>
                        <w:tcW w:w="939" w:type="dxa"/>
                        <w:tcBorders>
                          <w:top w:val="double" w:sz="4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noWrap/>
                        <w:vAlign w:val="bottom"/>
                        <w:hideMark/>
                      </w:tcPr>
                      <w:p w:rsidR="00383009" w:rsidRPr="00383009" w:rsidRDefault="00383009">
                        <w:pPr>
                          <w:jc w:val="center"/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</w:pPr>
                        <w:r w:rsidRPr="00383009">
                          <w:rPr>
                            <w:rFonts w:asciiTheme="minorHAnsi" w:eastAsia="Arial Unicode MS" w:hAnsiTheme="minorHAnsi" w:cs="Arial Unicode MS"/>
                            <w:b/>
                            <w:kern w:val="2"/>
                            <w:sz w:val="16"/>
                            <w:szCs w:val="16"/>
                            <w:lang w:eastAsia="zh-TW"/>
                          </w:rPr>
                          <w:t>100.2%</w:t>
                        </w:r>
                      </w:p>
                    </w:tc>
                  </w:tr>
                </w:tbl>
                <w:p w:rsidR="00970DBB" w:rsidRDefault="00970DBB" w:rsidP="00970DBB">
                  <w:pPr>
                    <w:jc w:val="center"/>
                    <w:rPr>
                      <w:lang w:eastAsia="zh-TW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947D8B" w:rsidRDefault="00947D8B" w:rsidP="00E11923">
      <w:pPr>
        <w:pStyle w:val="Heading1"/>
        <w:rPr>
          <w:lang w:val="en-CA" w:eastAsia="zh-CN"/>
        </w:rPr>
      </w:pPr>
      <w:r>
        <w:rPr>
          <w:rFonts w:hint="eastAsia"/>
          <w:lang w:val="en-CA" w:eastAsia="zh-TW"/>
        </w:rPr>
        <w:t>Conclusion</w:t>
      </w:r>
    </w:p>
    <w:p w:rsidR="00050957" w:rsidRPr="00A6280B" w:rsidRDefault="00F77996" w:rsidP="00A6280B">
      <w:pPr>
        <w:jc w:val="both"/>
        <w:textAlignment w:val="baseline"/>
        <w:rPr>
          <w:rFonts w:eastAsia="Times New Roman"/>
          <w:szCs w:val="22"/>
          <w:lang w:val="en-CA"/>
        </w:rPr>
      </w:pPr>
      <w:r w:rsidRPr="00A6280B">
        <w:rPr>
          <w:rFonts w:eastAsia="Times New Roman"/>
          <w:szCs w:val="22"/>
          <w:lang w:val="en-CA"/>
        </w:rPr>
        <w:t>I</w:t>
      </w:r>
      <w:r w:rsidR="003C1946" w:rsidRPr="00A6280B">
        <w:rPr>
          <w:rFonts w:eastAsia="Times New Roman"/>
          <w:szCs w:val="22"/>
          <w:lang w:val="en-CA"/>
        </w:rPr>
        <w:t xml:space="preserve">n this proposal, </w:t>
      </w:r>
      <w:r w:rsidR="00110190" w:rsidRPr="00A6280B">
        <w:rPr>
          <w:rFonts w:eastAsia="Times New Roman" w:hint="eastAsia"/>
          <w:szCs w:val="22"/>
          <w:lang w:val="en-CA"/>
        </w:rPr>
        <w:t>two simplifications have been proposed for VSP. One is disabling VSP for depth coding</w:t>
      </w:r>
      <w:r w:rsidR="00992F77">
        <w:rPr>
          <w:rFonts w:hint="eastAsia"/>
          <w:szCs w:val="22"/>
          <w:lang w:val="en-CA" w:eastAsia="zh-TW"/>
        </w:rPr>
        <w:t>,</w:t>
      </w:r>
      <w:r w:rsidR="00110190" w:rsidRPr="00A6280B">
        <w:rPr>
          <w:rFonts w:eastAsia="Times New Roman" w:hint="eastAsia"/>
          <w:szCs w:val="22"/>
          <w:lang w:val="en-CA"/>
        </w:rPr>
        <w:t xml:space="preserve"> and the other one is </w:t>
      </w:r>
      <w:r w:rsidR="00D80DF7">
        <w:rPr>
          <w:rFonts w:eastAsia="Times New Roman"/>
          <w:szCs w:val="22"/>
          <w:lang w:val="en-CA"/>
        </w:rPr>
        <w:t xml:space="preserve">simply </w:t>
      </w:r>
      <w:r w:rsidR="00110190" w:rsidRPr="00A6280B">
        <w:rPr>
          <w:rFonts w:eastAsia="Times New Roman" w:hint="eastAsia"/>
          <w:szCs w:val="22"/>
          <w:lang w:val="en-CA"/>
        </w:rPr>
        <w:t xml:space="preserve">using NBDV instead of DoNBDV to derive a depth block for VSP. </w:t>
      </w:r>
      <w:r w:rsidRPr="00A6280B">
        <w:rPr>
          <w:rFonts w:eastAsia="Times New Roman"/>
          <w:szCs w:val="22"/>
          <w:lang w:val="en-CA"/>
        </w:rPr>
        <w:t>The experimental</w:t>
      </w:r>
      <w:r w:rsidR="00924B1A" w:rsidRPr="00A6280B">
        <w:rPr>
          <w:rFonts w:eastAsia="Times New Roman"/>
          <w:szCs w:val="22"/>
          <w:lang w:val="en-CA"/>
        </w:rPr>
        <w:t xml:space="preserve"> result</w:t>
      </w:r>
      <w:r w:rsidR="00924B1A" w:rsidRPr="00A6280B">
        <w:rPr>
          <w:rFonts w:eastAsia="Times New Roman" w:hint="eastAsia"/>
          <w:szCs w:val="22"/>
          <w:lang w:val="en-CA"/>
        </w:rPr>
        <w:t>s</w:t>
      </w:r>
      <w:r w:rsidR="00924B1A" w:rsidRPr="00A6280B">
        <w:rPr>
          <w:rFonts w:eastAsia="Times New Roman"/>
          <w:szCs w:val="22"/>
          <w:lang w:val="en-CA"/>
        </w:rPr>
        <w:t xml:space="preserve"> </w:t>
      </w:r>
      <w:r w:rsidRPr="00A6280B">
        <w:rPr>
          <w:rFonts w:eastAsia="Times New Roman"/>
          <w:szCs w:val="22"/>
          <w:lang w:val="en-CA"/>
        </w:rPr>
        <w:t xml:space="preserve">reportedly </w:t>
      </w:r>
      <w:r w:rsidR="00924B1A" w:rsidRPr="00A6280B">
        <w:rPr>
          <w:rFonts w:eastAsia="Times New Roman"/>
          <w:szCs w:val="22"/>
          <w:lang w:val="en-CA"/>
        </w:rPr>
        <w:t>show</w:t>
      </w:r>
      <w:r w:rsidR="003C1946" w:rsidRPr="00A6280B">
        <w:rPr>
          <w:rFonts w:eastAsia="Times New Roman"/>
          <w:szCs w:val="22"/>
          <w:lang w:val="en-CA"/>
        </w:rPr>
        <w:t xml:space="preserve"> that </w:t>
      </w:r>
      <w:r w:rsidR="00A6280B" w:rsidRPr="00A6280B">
        <w:rPr>
          <w:rFonts w:eastAsia="Times New Roman" w:hint="eastAsia"/>
          <w:szCs w:val="22"/>
          <w:lang w:val="en-CA"/>
        </w:rPr>
        <w:t xml:space="preserve">both </w:t>
      </w:r>
      <w:r w:rsidR="003C1946" w:rsidRPr="00A6280B">
        <w:rPr>
          <w:rFonts w:eastAsia="Times New Roman"/>
          <w:szCs w:val="22"/>
          <w:lang w:val="en-CA"/>
        </w:rPr>
        <w:t xml:space="preserve">the proposed </w:t>
      </w:r>
      <w:r w:rsidR="00110190" w:rsidRPr="00A6280B">
        <w:rPr>
          <w:rFonts w:eastAsia="Times New Roman" w:hint="eastAsia"/>
          <w:szCs w:val="22"/>
          <w:lang w:val="en-CA"/>
        </w:rPr>
        <w:t xml:space="preserve">simplifications </w:t>
      </w:r>
      <w:r w:rsidR="00FB0847" w:rsidRPr="00A6280B">
        <w:rPr>
          <w:rFonts w:eastAsia="Times New Roman" w:hint="eastAsia"/>
          <w:szCs w:val="22"/>
          <w:lang w:val="en-CA"/>
        </w:rPr>
        <w:t>introduce</w:t>
      </w:r>
      <w:r w:rsidR="003C1946" w:rsidRPr="00A6280B">
        <w:rPr>
          <w:rFonts w:eastAsia="Times New Roman"/>
          <w:szCs w:val="22"/>
          <w:lang w:val="en-CA"/>
        </w:rPr>
        <w:t xml:space="preserve"> </w:t>
      </w:r>
      <w:r w:rsidR="00110190" w:rsidRPr="00A6280B">
        <w:rPr>
          <w:rFonts w:eastAsia="Times New Roman" w:hint="eastAsia"/>
          <w:szCs w:val="22"/>
          <w:lang w:val="en-CA"/>
        </w:rPr>
        <w:t xml:space="preserve">no overall coding losses. The </w:t>
      </w:r>
      <w:r w:rsidR="00110190" w:rsidRPr="00A6280B">
        <w:rPr>
          <w:rFonts w:eastAsia="Times New Roman"/>
          <w:szCs w:val="22"/>
          <w:lang w:val="en-CA"/>
        </w:rPr>
        <w:t>second</w:t>
      </w:r>
      <w:r w:rsidR="00110190" w:rsidRPr="00A6280B">
        <w:rPr>
          <w:rFonts w:eastAsia="Times New Roman" w:hint="eastAsia"/>
          <w:szCs w:val="22"/>
          <w:lang w:val="en-CA"/>
        </w:rPr>
        <w:t xml:space="preserve"> simplification can even achieve </w:t>
      </w:r>
      <w:r w:rsidR="003C1946" w:rsidRPr="00A6280B">
        <w:rPr>
          <w:rFonts w:eastAsia="Times New Roman"/>
          <w:szCs w:val="22"/>
          <w:lang w:val="en-CA"/>
        </w:rPr>
        <w:t>0.</w:t>
      </w:r>
      <w:r w:rsidR="00110190" w:rsidRPr="00A6280B">
        <w:rPr>
          <w:rFonts w:eastAsia="Times New Roman" w:hint="eastAsia"/>
          <w:szCs w:val="22"/>
          <w:lang w:val="en-CA"/>
        </w:rPr>
        <w:t>1</w:t>
      </w:r>
      <w:r w:rsidR="00FB0847" w:rsidRPr="00A6280B">
        <w:rPr>
          <w:rFonts w:eastAsia="Times New Roman"/>
          <w:szCs w:val="22"/>
          <w:lang w:val="en-CA"/>
        </w:rPr>
        <w:t>% BD</w:t>
      </w:r>
      <w:r w:rsidR="00FB0847" w:rsidRPr="00A6280B">
        <w:rPr>
          <w:rFonts w:eastAsia="Times New Roman" w:hint="eastAsia"/>
          <w:szCs w:val="22"/>
          <w:lang w:val="en-CA"/>
        </w:rPr>
        <w:t>-</w:t>
      </w:r>
      <w:r w:rsidR="001060DB" w:rsidRPr="00A6280B">
        <w:rPr>
          <w:rFonts w:eastAsia="Times New Roman" w:hint="eastAsia"/>
          <w:szCs w:val="22"/>
          <w:lang w:val="en-CA"/>
        </w:rPr>
        <w:t>r</w:t>
      </w:r>
      <w:r w:rsidR="003C1946" w:rsidRPr="00A6280B">
        <w:rPr>
          <w:rFonts w:eastAsia="Times New Roman"/>
          <w:szCs w:val="22"/>
          <w:lang w:val="en-CA"/>
        </w:rPr>
        <w:t>ate</w:t>
      </w:r>
      <w:r w:rsidR="00FB0847" w:rsidRPr="00A6280B">
        <w:rPr>
          <w:rFonts w:eastAsia="Times New Roman" w:hint="eastAsia"/>
          <w:szCs w:val="22"/>
          <w:lang w:val="en-CA"/>
        </w:rPr>
        <w:t xml:space="preserve"> savings</w:t>
      </w:r>
      <w:r w:rsidR="003C1946" w:rsidRPr="00A6280B">
        <w:rPr>
          <w:rFonts w:eastAsia="Times New Roman"/>
          <w:szCs w:val="22"/>
          <w:lang w:val="en-CA"/>
        </w:rPr>
        <w:t xml:space="preserve"> for </w:t>
      </w:r>
      <w:r w:rsidR="00FB0847" w:rsidRPr="00A6280B">
        <w:rPr>
          <w:rFonts w:eastAsia="Times New Roman" w:hint="eastAsia"/>
          <w:szCs w:val="22"/>
          <w:lang w:val="en-CA"/>
        </w:rPr>
        <w:t xml:space="preserve">coded and </w:t>
      </w:r>
      <w:r w:rsidR="003C1946" w:rsidRPr="00A6280B">
        <w:rPr>
          <w:rFonts w:eastAsia="Times New Roman"/>
          <w:szCs w:val="22"/>
          <w:lang w:val="en-CA"/>
        </w:rPr>
        <w:t>synthesized views</w:t>
      </w:r>
      <w:r w:rsidR="00A24E99" w:rsidRPr="00A6280B">
        <w:rPr>
          <w:rFonts w:eastAsia="Times New Roman" w:hint="eastAsia"/>
          <w:szCs w:val="22"/>
          <w:lang w:val="en-CA"/>
        </w:rPr>
        <w:t xml:space="preserve"> with reduced</w:t>
      </w:r>
      <w:r w:rsidR="00A24E99" w:rsidRPr="00A6280B">
        <w:rPr>
          <w:rFonts w:eastAsia="Times New Roman"/>
          <w:szCs w:val="22"/>
          <w:lang w:val="en-CA"/>
        </w:rPr>
        <w:t xml:space="preserve"> </w:t>
      </w:r>
      <w:r w:rsidR="00110190" w:rsidRPr="00A6280B">
        <w:rPr>
          <w:rFonts w:eastAsia="Times New Roman" w:hint="eastAsia"/>
          <w:szCs w:val="22"/>
          <w:lang w:val="en-CA"/>
        </w:rPr>
        <w:t>memory access bandwidth</w:t>
      </w:r>
      <w:r w:rsidR="003C1946" w:rsidRPr="00A6280B">
        <w:rPr>
          <w:rFonts w:eastAsia="Times New Roman"/>
          <w:szCs w:val="22"/>
          <w:lang w:val="en-CA"/>
        </w:rPr>
        <w:t>.</w:t>
      </w:r>
    </w:p>
    <w:p w:rsidR="001F2594" w:rsidRPr="005B217D" w:rsidRDefault="00947D8B" w:rsidP="00E11923">
      <w:pPr>
        <w:pStyle w:val="Heading1"/>
        <w:rPr>
          <w:lang w:val="en-CA"/>
        </w:rPr>
      </w:pPr>
      <w:r>
        <w:rPr>
          <w:lang w:val="en-CA"/>
        </w:rPr>
        <w:t>Patent rights declaration</w:t>
      </w:r>
      <w:r w:rsidRPr="005B217D">
        <w:rPr>
          <w:lang w:val="en-CA"/>
        </w:rPr>
        <w:t xml:space="preserve"> </w:t>
      </w:r>
      <w:r w:rsidR="00B94B06" w:rsidRPr="005B217D">
        <w:rPr>
          <w:lang w:val="en-CA"/>
        </w:rPr>
        <w:t>(s)</w:t>
      </w:r>
    </w:p>
    <w:p w:rsidR="00342FF4" w:rsidRDefault="00CD7D1C" w:rsidP="009234A5">
      <w:pPr>
        <w:jc w:val="both"/>
        <w:rPr>
          <w:b/>
          <w:szCs w:val="22"/>
          <w:lang w:val="en-CA" w:eastAsia="zh-CN"/>
        </w:rPr>
      </w:pPr>
      <w:r>
        <w:rPr>
          <w:b/>
          <w:szCs w:val="22"/>
          <w:lang w:eastAsia="zh-TW"/>
        </w:rPr>
        <w:t>MediaTek Inc.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4910C8" w:rsidRDefault="00B672DC" w:rsidP="004910C8">
      <w:pPr>
        <w:pStyle w:val="Heading1"/>
        <w:ind w:left="360" w:hanging="360"/>
        <w:rPr>
          <w:lang w:val="en-CA"/>
        </w:rPr>
      </w:pPr>
      <w:r>
        <w:rPr>
          <w:rFonts w:hint="eastAsia"/>
          <w:lang w:val="en-CA" w:eastAsia="zh-CN"/>
        </w:rPr>
        <w:t>R</w:t>
      </w:r>
      <w:r w:rsidRPr="00B672DC">
        <w:rPr>
          <w:rFonts w:hint="eastAsia"/>
          <w:lang w:val="en-CA"/>
        </w:rPr>
        <w:t>eferences</w:t>
      </w:r>
    </w:p>
    <w:p w:rsidR="00415087" w:rsidRPr="00927172" w:rsidRDefault="004B1C3E" w:rsidP="00415087">
      <w:pPr>
        <w:pStyle w:val="ListParagraph"/>
        <w:numPr>
          <w:ilvl w:val="0"/>
          <w:numId w:val="41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  <w:lang w:val="en-GB"/>
        </w:rPr>
      </w:pPr>
      <w:r>
        <w:rPr>
          <w:szCs w:val="22"/>
          <w:lang w:val="en-CA" w:eastAsia="zh-CN"/>
        </w:rPr>
        <w:t xml:space="preserve">HTM-6.0, </w:t>
      </w:r>
      <w:r>
        <w:t>https://hevc.hhi.fraunhofer.de/svn/svn_3DVCSoftware/tags/HTM-6.</w:t>
      </w:r>
      <w:r>
        <w:rPr>
          <w:lang w:eastAsia="zh-CN"/>
        </w:rPr>
        <w:t>0</w:t>
      </w:r>
    </w:p>
    <w:p w:rsidR="00DD578D" w:rsidRPr="00110190" w:rsidRDefault="004B1C3E" w:rsidP="00110190">
      <w:pPr>
        <w:pStyle w:val="ListParagraph"/>
        <w:numPr>
          <w:ilvl w:val="0"/>
          <w:numId w:val="41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  <w:lang w:val="en-GB"/>
        </w:rPr>
      </w:pPr>
      <w:bookmarkStart w:id="49" w:name="OLE_LINK488"/>
      <w:bookmarkStart w:id="50" w:name="OLE_LINK489"/>
      <w:r>
        <w:rPr>
          <w:szCs w:val="22"/>
          <w:lang w:val="en-CA" w:eastAsia="zh-CN"/>
        </w:rPr>
        <w:t>D. Rusanovskyy, K. Müller, A. Vetro, “Common test conditions of 3DV Core Experiments,” Document of Joint Collaborative Team on 3D Video Coding Extension Development, JCT3V-C1100, January</w:t>
      </w:r>
      <w:r>
        <w:rPr>
          <w:rFonts w:eastAsia="PMingLiU"/>
          <w:szCs w:val="22"/>
          <w:lang w:val="en-CA"/>
        </w:rPr>
        <w:t>,</w:t>
      </w:r>
      <w:r>
        <w:rPr>
          <w:szCs w:val="22"/>
          <w:lang w:val="en-CA" w:eastAsia="zh-CN"/>
        </w:rPr>
        <w:t xml:space="preserve"> 2013.</w:t>
      </w:r>
      <w:bookmarkEnd w:id="49"/>
      <w:bookmarkEnd w:id="50"/>
    </w:p>
    <w:sectPr w:rsidR="00DD578D" w:rsidRPr="00110190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B9F" w:rsidRDefault="00B46B9F">
      <w:r>
        <w:separator/>
      </w:r>
    </w:p>
  </w:endnote>
  <w:endnote w:type="continuationSeparator" w:id="0">
    <w:p w:rsidR="00B46B9F" w:rsidRDefault="00B46B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DFKai-S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PMingLiU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954B96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954B96">
      <w:rPr>
        <w:rStyle w:val="PageNumber"/>
      </w:rPr>
      <w:fldChar w:fldCharType="separate"/>
    </w:r>
    <w:r w:rsidR="00972784">
      <w:rPr>
        <w:rStyle w:val="PageNumber"/>
        <w:noProof/>
      </w:rPr>
      <w:t>1</w:t>
    </w:r>
    <w:r w:rsidR="00954B96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954B96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954B96">
      <w:rPr>
        <w:rStyle w:val="PageNumber"/>
      </w:rPr>
      <w:fldChar w:fldCharType="separate"/>
    </w:r>
    <w:r w:rsidR="00972784">
      <w:rPr>
        <w:rStyle w:val="PageNumber"/>
        <w:noProof/>
      </w:rPr>
      <w:t>2013-04-12</w:t>
    </w:r>
    <w:r w:rsidR="00954B96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B9F" w:rsidRDefault="00B46B9F">
      <w:r>
        <w:separator/>
      </w:r>
    </w:p>
  </w:footnote>
  <w:footnote w:type="continuationSeparator" w:id="0">
    <w:p w:rsidR="00B46B9F" w:rsidRDefault="00B46B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279D6"/>
    <w:multiLevelType w:val="hybridMultilevel"/>
    <w:tmpl w:val="8E780E3E"/>
    <w:lvl w:ilvl="0" w:tplc="8640D484">
      <w:start w:val="1"/>
      <w:numFmt w:val="decimal"/>
      <w:lvlText w:val="%1."/>
      <w:lvlJc w:val="left"/>
      <w:pPr>
        <w:ind w:left="8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AB069C"/>
    <w:multiLevelType w:val="hybridMultilevel"/>
    <w:tmpl w:val="6BDA18D2"/>
    <w:lvl w:ilvl="0" w:tplc="8F6ED064">
      <w:start w:val="1"/>
      <w:numFmt w:val="decimalZero"/>
      <w:lvlText w:val="[00%1]"/>
      <w:lvlJc w:val="left"/>
      <w:pPr>
        <w:tabs>
          <w:tab w:val="num" w:pos="1134"/>
        </w:tabs>
        <w:ind w:left="0" w:firstLine="0"/>
      </w:pPr>
      <w:rPr>
        <w:rFonts w:ascii="Times New Roman" w:hAnsi="Times New Roman" w:cs="Times New Roman" w:hint="default"/>
        <w:b/>
        <w:i w:val="0"/>
        <w:sz w:val="24"/>
        <w:szCs w:val="24"/>
        <w:lang w:val="en-US"/>
      </w:rPr>
    </w:lvl>
    <w:lvl w:ilvl="1" w:tplc="E4B0E2B2">
      <w:start w:val="1"/>
      <w:numFmt w:val="decimal"/>
      <w:lvlText w:val="%2."/>
      <w:lvlJc w:val="left"/>
      <w:pPr>
        <w:tabs>
          <w:tab w:val="num" w:pos="1440"/>
        </w:tabs>
        <w:ind w:left="1440" w:hanging="480"/>
      </w:pPr>
    </w:lvl>
    <w:lvl w:ilvl="2" w:tplc="E4B0E2B2">
      <w:start w:val="1"/>
      <w:numFmt w:val="decimal"/>
      <w:lvlText w:val="%3."/>
      <w:lvlJc w:val="left"/>
      <w:pPr>
        <w:tabs>
          <w:tab w:val="num" w:pos="1920"/>
        </w:tabs>
        <w:ind w:left="192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DF2E87"/>
    <w:multiLevelType w:val="hybridMultilevel"/>
    <w:tmpl w:val="76A2C1D2"/>
    <w:lvl w:ilvl="0" w:tplc="2AA0921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5392966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0CC6566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4DECE20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161ED57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A68CD0B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8A44BEC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2D22FE5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00D06FF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5">
    <w:nsid w:val="0DD60CF0"/>
    <w:multiLevelType w:val="hybridMultilevel"/>
    <w:tmpl w:val="63D8C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997A66"/>
    <w:multiLevelType w:val="hybridMultilevel"/>
    <w:tmpl w:val="2C96E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7A74F3"/>
    <w:multiLevelType w:val="hybridMultilevel"/>
    <w:tmpl w:val="7034115E"/>
    <w:lvl w:ilvl="0" w:tplc="15522D04">
      <w:start w:val="1"/>
      <w:numFmt w:val="decimal"/>
      <w:lvlText w:val="%1."/>
      <w:lvlJc w:val="left"/>
      <w:pPr>
        <w:ind w:left="13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CE0ABD"/>
    <w:multiLevelType w:val="hybridMultilevel"/>
    <w:tmpl w:val="AC4AFE9C"/>
    <w:lvl w:ilvl="0" w:tplc="9C1ECDEE">
      <w:start w:val="1"/>
      <w:numFmt w:val="lowerLetter"/>
      <w:lvlText w:val="(%1)"/>
      <w:lvlJc w:val="left"/>
      <w:pPr>
        <w:ind w:left="2445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3165" w:hanging="360"/>
      </w:pPr>
    </w:lvl>
    <w:lvl w:ilvl="2" w:tplc="0409001B" w:tentative="1">
      <w:start w:val="1"/>
      <w:numFmt w:val="lowerRoman"/>
      <w:lvlText w:val="%3."/>
      <w:lvlJc w:val="right"/>
      <w:pPr>
        <w:ind w:left="3885" w:hanging="180"/>
      </w:pPr>
    </w:lvl>
    <w:lvl w:ilvl="3" w:tplc="0409000F" w:tentative="1">
      <w:start w:val="1"/>
      <w:numFmt w:val="decimal"/>
      <w:lvlText w:val="%4."/>
      <w:lvlJc w:val="left"/>
      <w:pPr>
        <w:ind w:left="4605" w:hanging="360"/>
      </w:pPr>
    </w:lvl>
    <w:lvl w:ilvl="4" w:tplc="04090019" w:tentative="1">
      <w:start w:val="1"/>
      <w:numFmt w:val="lowerLetter"/>
      <w:lvlText w:val="%5."/>
      <w:lvlJc w:val="left"/>
      <w:pPr>
        <w:ind w:left="5325" w:hanging="360"/>
      </w:pPr>
    </w:lvl>
    <w:lvl w:ilvl="5" w:tplc="0409001B" w:tentative="1">
      <w:start w:val="1"/>
      <w:numFmt w:val="lowerRoman"/>
      <w:lvlText w:val="%6."/>
      <w:lvlJc w:val="right"/>
      <w:pPr>
        <w:ind w:left="6045" w:hanging="180"/>
      </w:pPr>
    </w:lvl>
    <w:lvl w:ilvl="6" w:tplc="0409000F" w:tentative="1">
      <w:start w:val="1"/>
      <w:numFmt w:val="decimal"/>
      <w:lvlText w:val="%7."/>
      <w:lvlJc w:val="left"/>
      <w:pPr>
        <w:ind w:left="6765" w:hanging="360"/>
      </w:pPr>
    </w:lvl>
    <w:lvl w:ilvl="7" w:tplc="04090019" w:tentative="1">
      <w:start w:val="1"/>
      <w:numFmt w:val="lowerLetter"/>
      <w:lvlText w:val="%8."/>
      <w:lvlJc w:val="left"/>
      <w:pPr>
        <w:ind w:left="7485" w:hanging="360"/>
      </w:pPr>
    </w:lvl>
    <w:lvl w:ilvl="8" w:tplc="0409001B" w:tentative="1">
      <w:start w:val="1"/>
      <w:numFmt w:val="lowerRoman"/>
      <w:lvlText w:val="%9."/>
      <w:lvlJc w:val="right"/>
      <w:pPr>
        <w:ind w:left="8205" w:hanging="180"/>
      </w:pPr>
    </w:lvl>
  </w:abstractNum>
  <w:abstractNum w:abstractNumId="10">
    <w:nsid w:val="1B9606EE"/>
    <w:multiLevelType w:val="hybridMultilevel"/>
    <w:tmpl w:val="261EBD0C"/>
    <w:lvl w:ilvl="0" w:tplc="919ED22E">
      <w:numFmt w:val="bullet"/>
      <w:lvlText w:val="-"/>
      <w:lvlJc w:val="left"/>
      <w:pPr>
        <w:ind w:left="480" w:hanging="48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>
    <w:nsid w:val="1F3A2AB3"/>
    <w:multiLevelType w:val="hybridMultilevel"/>
    <w:tmpl w:val="A80421EC"/>
    <w:lvl w:ilvl="0" w:tplc="0409000F">
      <w:start w:val="1"/>
      <w:numFmt w:val="decimal"/>
      <w:lvlText w:val="%1."/>
      <w:lvlJc w:val="left"/>
      <w:pPr>
        <w:ind w:left="1200" w:hanging="360"/>
      </w:pPr>
    </w:lvl>
    <w:lvl w:ilvl="1" w:tplc="04090019">
      <w:start w:val="1"/>
      <w:numFmt w:val="lowerLetter"/>
      <w:lvlText w:val="%2."/>
      <w:lvlJc w:val="left"/>
      <w:pPr>
        <w:ind w:left="192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B80C58"/>
    <w:multiLevelType w:val="multilevel"/>
    <w:tmpl w:val="D1B6BED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>
    <w:nsid w:val="26A23D2C"/>
    <w:multiLevelType w:val="hybridMultilevel"/>
    <w:tmpl w:val="88324A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78D03B3"/>
    <w:multiLevelType w:val="hybridMultilevel"/>
    <w:tmpl w:val="5A98E110"/>
    <w:lvl w:ilvl="0" w:tplc="8BA0FC2A">
      <w:start w:val="1"/>
      <w:numFmt w:val="lowerLetter"/>
      <w:lvlText w:val="(%1)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6">
    <w:nsid w:val="29416B0E"/>
    <w:multiLevelType w:val="hybridMultilevel"/>
    <w:tmpl w:val="E03E2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4505AD"/>
    <w:multiLevelType w:val="hybridMultilevel"/>
    <w:tmpl w:val="52B2D12E"/>
    <w:lvl w:ilvl="0" w:tplc="55D650DA">
      <w:start w:val="1"/>
      <w:numFmt w:val="lowerLetter"/>
      <w:lvlText w:val="(%1)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4346A1"/>
    <w:multiLevelType w:val="hybridMultilevel"/>
    <w:tmpl w:val="926CDDCA"/>
    <w:lvl w:ilvl="0" w:tplc="4B5A44D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46A69E1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E1EA6F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9FDC4EF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3CC01E3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7B141BB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BB60FC1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9642F21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562E9E3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20">
    <w:nsid w:val="497B4244"/>
    <w:multiLevelType w:val="multilevel"/>
    <w:tmpl w:val="BB565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FAD5F02"/>
    <w:multiLevelType w:val="hybridMultilevel"/>
    <w:tmpl w:val="204A0FF6"/>
    <w:lvl w:ilvl="0" w:tplc="BC8855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1A1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FA9B0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DA30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56F1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1A4E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D2F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F64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90E5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29903FF"/>
    <w:multiLevelType w:val="hybridMultilevel"/>
    <w:tmpl w:val="F4C8359A"/>
    <w:lvl w:ilvl="0" w:tplc="E5740F3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8CA29DB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0108FDB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2DB4A50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BBA4200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FB5A2D8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E320CEF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F3769C9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3F343E4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25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4E6E12"/>
    <w:multiLevelType w:val="hybridMultilevel"/>
    <w:tmpl w:val="AC3AB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126051"/>
    <w:multiLevelType w:val="hybridMultilevel"/>
    <w:tmpl w:val="9858D108"/>
    <w:lvl w:ilvl="0" w:tplc="5DA636D6">
      <w:start w:val="1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42A5E76"/>
    <w:multiLevelType w:val="hybridMultilevel"/>
    <w:tmpl w:val="6E507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6D7D00"/>
    <w:multiLevelType w:val="hybridMultilevel"/>
    <w:tmpl w:val="274CE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B072A6F"/>
    <w:multiLevelType w:val="hybridMultilevel"/>
    <w:tmpl w:val="63D661EE"/>
    <w:lvl w:ilvl="0" w:tplc="775442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AEAC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B6198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5A08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1C0E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400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6E9B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5866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0C71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6B6E1FC2"/>
    <w:multiLevelType w:val="hybridMultilevel"/>
    <w:tmpl w:val="0A747B08"/>
    <w:lvl w:ilvl="0" w:tplc="FFFFFFFF">
      <w:start w:val="1"/>
      <w:numFmt w:val="decimal"/>
      <w:lvlText w:val="[%1]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08090005">
      <w:start w:val="1"/>
      <w:numFmt w:val="lowerRoman"/>
      <w:lvlText w:val="%3."/>
      <w:lvlJc w:val="right"/>
      <w:pPr>
        <w:ind w:left="1800" w:hanging="180"/>
      </w:pPr>
    </w:lvl>
    <w:lvl w:ilvl="3" w:tplc="08090001">
      <w:start w:val="1"/>
      <w:numFmt w:val="decimal"/>
      <w:lvlText w:val="%4."/>
      <w:lvlJc w:val="left"/>
      <w:pPr>
        <w:ind w:left="2520" w:hanging="360"/>
      </w:pPr>
    </w:lvl>
    <w:lvl w:ilvl="4" w:tplc="08090003">
      <w:start w:val="1"/>
      <w:numFmt w:val="lowerLetter"/>
      <w:lvlText w:val="%5."/>
      <w:lvlJc w:val="left"/>
      <w:pPr>
        <w:ind w:left="3240" w:hanging="360"/>
      </w:pPr>
    </w:lvl>
    <w:lvl w:ilvl="5" w:tplc="08090005">
      <w:start w:val="1"/>
      <w:numFmt w:val="lowerRoman"/>
      <w:lvlText w:val="%6."/>
      <w:lvlJc w:val="right"/>
      <w:pPr>
        <w:ind w:left="3960" w:hanging="180"/>
      </w:pPr>
    </w:lvl>
    <w:lvl w:ilvl="6" w:tplc="08090001">
      <w:start w:val="1"/>
      <w:numFmt w:val="decimal"/>
      <w:lvlText w:val="%7."/>
      <w:lvlJc w:val="left"/>
      <w:pPr>
        <w:ind w:left="4680" w:hanging="360"/>
      </w:pPr>
    </w:lvl>
    <w:lvl w:ilvl="7" w:tplc="08090003">
      <w:start w:val="1"/>
      <w:numFmt w:val="lowerLetter"/>
      <w:lvlText w:val="%8."/>
      <w:lvlJc w:val="left"/>
      <w:pPr>
        <w:ind w:left="5400" w:hanging="360"/>
      </w:pPr>
    </w:lvl>
    <w:lvl w:ilvl="8" w:tplc="08090005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3">
    <w:nsid w:val="72BF4D95"/>
    <w:multiLevelType w:val="hybridMultilevel"/>
    <w:tmpl w:val="22A45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583781"/>
    <w:multiLevelType w:val="hybridMultilevel"/>
    <w:tmpl w:val="4E882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5060BE8">
      <w:start w:val="1"/>
      <w:numFmt w:val="lowerLetter"/>
      <w:lvlText w:val="(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2450D5"/>
    <w:multiLevelType w:val="hybridMultilevel"/>
    <w:tmpl w:val="9BCA1C8C"/>
    <w:lvl w:ilvl="0" w:tplc="78861D50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8419FA" w:tentative="1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22664C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8EF308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A0B540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502298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247BA8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0260A0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8B1F2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2"/>
  </w:num>
  <w:num w:numId="3">
    <w:abstractNumId w:val="25"/>
  </w:num>
  <w:num w:numId="4">
    <w:abstractNumId w:val="21"/>
  </w:num>
  <w:num w:numId="5">
    <w:abstractNumId w:val="23"/>
  </w:num>
  <w:num w:numId="6">
    <w:abstractNumId w:val="13"/>
  </w:num>
  <w:num w:numId="7">
    <w:abstractNumId w:val="18"/>
  </w:num>
  <w:num w:numId="8">
    <w:abstractNumId w:val="13"/>
  </w:num>
  <w:num w:numId="9">
    <w:abstractNumId w:val="1"/>
  </w:num>
  <w:num w:numId="10">
    <w:abstractNumId w:val="12"/>
  </w:num>
  <w:num w:numId="11">
    <w:abstractNumId w:val="6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33"/>
  </w:num>
  <w:num w:numId="20">
    <w:abstractNumId w:val="14"/>
  </w:num>
  <w:num w:numId="21">
    <w:abstractNumId w:val="13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16"/>
  </w:num>
  <w:num w:numId="25">
    <w:abstractNumId w:val="5"/>
  </w:num>
  <w:num w:numId="26">
    <w:abstractNumId w:val="13"/>
  </w:num>
  <w:num w:numId="27">
    <w:abstractNumId w:val="26"/>
  </w:num>
  <w:num w:numId="28">
    <w:abstractNumId w:val="20"/>
  </w:num>
  <w:num w:numId="29">
    <w:abstractNumId w:val="13"/>
  </w:num>
  <w:num w:numId="30">
    <w:abstractNumId w:val="35"/>
  </w:num>
  <w:num w:numId="31">
    <w:abstractNumId w:val="19"/>
  </w:num>
  <w:num w:numId="32">
    <w:abstractNumId w:val="24"/>
  </w:num>
  <w:num w:numId="33">
    <w:abstractNumId w:val="4"/>
  </w:num>
  <w:num w:numId="34">
    <w:abstractNumId w:val="13"/>
  </w:num>
  <w:num w:numId="35">
    <w:abstractNumId w:val="30"/>
  </w:num>
  <w:num w:numId="36">
    <w:abstractNumId w:val="22"/>
  </w:num>
  <w:num w:numId="37">
    <w:abstractNumId w:val="13"/>
  </w:num>
  <w:num w:numId="38">
    <w:abstractNumId w:val="13"/>
  </w:num>
  <w:num w:numId="3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7"/>
  </w:num>
  <w:num w:numId="43">
    <w:abstractNumId w:val="17"/>
  </w:num>
  <w:num w:numId="44">
    <w:abstractNumId w:val="15"/>
  </w:num>
  <w:num w:numId="4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80E"/>
    <w:rsid w:val="000129A5"/>
    <w:rsid w:val="00014329"/>
    <w:rsid w:val="0002109C"/>
    <w:rsid w:val="00021649"/>
    <w:rsid w:val="00026023"/>
    <w:rsid w:val="00031CC4"/>
    <w:rsid w:val="00031F3C"/>
    <w:rsid w:val="000370EC"/>
    <w:rsid w:val="00041C7D"/>
    <w:rsid w:val="000424AC"/>
    <w:rsid w:val="00042B3B"/>
    <w:rsid w:val="000430A5"/>
    <w:rsid w:val="00043BEF"/>
    <w:rsid w:val="0004460A"/>
    <w:rsid w:val="000458BC"/>
    <w:rsid w:val="00045C41"/>
    <w:rsid w:val="00046C03"/>
    <w:rsid w:val="00050862"/>
    <w:rsid w:val="00050957"/>
    <w:rsid w:val="0005689D"/>
    <w:rsid w:val="000613F2"/>
    <w:rsid w:val="00067270"/>
    <w:rsid w:val="00072C69"/>
    <w:rsid w:val="00073DAF"/>
    <w:rsid w:val="00073FF2"/>
    <w:rsid w:val="0007614F"/>
    <w:rsid w:val="00086FB7"/>
    <w:rsid w:val="000A3DC2"/>
    <w:rsid w:val="000A4707"/>
    <w:rsid w:val="000B183B"/>
    <w:rsid w:val="000B1C6B"/>
    <w:rsid w:val="000B4FF9"/>
    <w:rsid w:val="000B6E37"/>
    <w:rsid w:val="000B7032"/>
    <w:rsid w:val="000B7FF2"/>
    <w:rsid w:val="000C09AC"/>
    <w:rsid w:val="000C196F"/>
    <w:rsid w:val="000C22B4"/>
    <w:rsid w:val="000C2860"/>
    <w:rsid w:val="000C5B8A"/>
    <w:rsid w:val="000E00F3"/>
    <w:rsid w:val="000E41A7"/>
    <w:rsid w:val="000E5814"/>
    <w:rsid w:val="000E6AB1"/>
    <w:rsid w:val="000E7024"/>
    <w:rsid w:val="000F158C"/>
    <w:rsid w:val="000F5207"/>
    <w:rsid w:val="00102F3D"/>
    <w:rsid w:val="0010477C"/>
    <w:rsid w:val="001060DB"/>
    <w:rsid w:val="0010643D"/>
    <w:rsid w:val="00110190"/>
    <w:rsid w:val="00116847"/>
    <w:rsid w:val="00116C46"/>
    <w:rsid w:val="0012122B"/>
    <w:rsid w:val="00124E38"/>
    <w:rsid w:val="0012580B"/>
    <w:rsid w:val="00125D61"/>
    <w:rsid w:val="00131F90"/>
    <w:rsid w:val="0013526E"/>
    <w:rsid w:val="00147F77"/>
    <w:rsid w:val="00157B72"/>
    <w:rsid w:val="0016046B"/>
    <w:rsid w:val="00162260"/>
    <w:rsid w:val="00162925"/>
    <w:rsid w:val="00166ACB"/>
    <w:rsid w:val="00167C25"/>
    <w:rsid w:val="00171201"/>
    <w:rsid w:val="00171371"/>
    <w:rsid w:val="00174735"/>
    <w:rsid w:val="00175A24"/>
    <w:rsid w:val="001768CB"/>
    <w:rsid w:val="00180D9C"/>
    <w:rsid w:val="00184D63"/>
    <w:rsid w:val="0018517B"/>
    <w:rsid w:val="0018734A"/>
    <w:rsid w:val="00187E58"/>
    <w:rsid w:val="0019108B"/>
    <w:rsid w:val="0019246C"/>
    <w:rsid w:val="001931A2"/>
    <w:rsid w:val="001A1CF3"/>
    <w:rsid w:val="001A297E"/>
    <w:rsid w:val="001A368E"/>
    <w:rsid w:val="001A7329"/>
    <w:rsid w:val="001B4E28"/>
    <w:rsid w:val="001C3525"/>
    <w:rsid w:val="001D1BD2"/>
    <w:rsid w:val="001D1E98"/>
    <w:rsid w:val="001D2818"/>
    <w:rsid w:val="001D2FF0"/>
    <w:rsid w:val="001D61F5"/>
    <w:rsid w:val="001E02BE"/>
    <w:rsid w:val="001E3B37"/>
    <w:rsid w:val="001E43F3"/>
    <w:rsid w:val="001F2594"/>
    <w:rsid w:val="00201FDF"/>
    <w:rsid w:val="002055A6"/>
    <w:rsid w:val="002055FB"/>
    <w:rsid w:val="00206460"/>
    <w:rsid w:val="002069B4"/>
    <w:rsid w:val="00211E49"/>
    <w:rsid w:val="00215DFC"/>
    <w:rsid w:val="0021615D"/>
    <w:rsid w:val="002212DF"/>
    <w:rsid w:val="00227BA7"/>
    <w:rsid w:val="00235B52"/>
    <w:rsid w:val="00236F67"/>
    <w:rsid w:val="002402FB"/>
    <w:rsid w:val="002458B0"/>
    <w:rsid w:val="002464D9"/>
    <w:rsid w:val="002479BB"/>
    <w:rsid w:val="00256543"/>
    <w:rsid w:val="00257B0D"/>
    <w:rsid w:val="00257B60"/>
    <w:rsid w:val="0026063A"/>
    <w:rsid w:val="00262A30"/>
    <w:rsid w:val="00263398"/>
    <w:rsid w:val="00263864"/>
    <w:rsid w:val="0026413F"/>
    <w:rsid w:val="00264B74"/>
    <w:rsid w:val="002705BD"/>
    <w:rsid w:val="002712BE"/>
    <w:rsid w:val="002759E9"/>
    <w:rsid w:val="00275BCF"/>
    <w:rsid w:val="0028105C"/>
    <w:rsid w:val="0029119E"/>
    <w:rsid w:val="00292257"/>
    <w:rsid w:val="00295484"/>
    <w:rsid w:val="00295FFC"/>
    <w:rsid w:val="002A54E0"/>
    <w:rsid w:val="002A6D39"/>
    <w:rsid w:val="002B1595"/>
    <w:rsid w:val="002B191D"/>
    <w:rsid w:val="002B243C"/>
    <w:rsid w:val="002B4841"/>
    <w:rsid w:val="002B6D1D"/>
    <w:rsid w:val="002C1F45"/>
    <w:rsid w:val="002C4DD1"/>
    <w:rsid w:val="002C51CF"/>
    <w:rsid w:val="002D0AF6"/>
    <w:rsid w:val="002D57B1"/>
    <w:rsid w:val="002D79FF"/>
    <w:rsid w:val="002E4BF4"/>
    <w:rsid w:val="002E5DF9"/>
    <w:rsid w:val="002F164D"/>
    <w:rsid w:val="002F4501"/>
    <w:rsid w:val="002F5048"/>
    <w:rsid w:val="003017AA"/>
    <w:rsid w:val="00306206"/>
    <w:rsid w:val="00306513"/>
    <w:rsid w:val="0031157B"/>
    <w:rsid w:val="00317D85"/>
    <w:rsid w:val="00322418"/>
    <w:rsid w:val="00326F45"/>
    <w:rsid w:val="00327C56"/>
    <w:rsid w:val="00330114"/>
    <w:rsid w:val="003315A1"/>
    <w:rsid w:val="00334C7A"/>
    <w:rsid w:val="00335CF7"/>
    <w:rsid w:val="003373EC"/>
    <w:rsid w:val="0034165B"/>
    <w:rsid w:val="00342FF4"/>
    <w:rsid w:val="0035229E"/>
    <w:rsid w:val="0035501A"/>
    <w:rsid w:val="003572A7"/>
    <w:rsid w:val="00361618"/>
    <w:rsid w:val="00364518"/>
    <w:rsid w:val="00366DF9"/>
    <w:rsid w:val="003706CC"/>
    <w:rsid w:val="0037130D"/>
    <w:rsid w:val="00377710"/>
    <w:rsid w:val="00377C93"/>
    <w:rsid w:val="003801BC"/>
    <w:rsid w:val="00383009"/>
    <w:rsid w:val="003851BF"/>
    <w:rsid w:val="003870CC"/>
    <w:rsid w:val="00392E4B"/>
    <w:rsid w:val="00397F4D"/>
    <w:rsid w:val="003A2D8E"/>
    <w:rsid w:val="003A5213"/>
    <w:rsid w:val="003B2B19"/>
    <w:rsid w:val="003B31F2"/>
    <w:rsid w:val="003C1946"/>
    <w:rsid w:val="003C20E4"/>
    <w:rsid w:val="003C2FA0"/>
    <w:rsid w:val="003C421D"/>
    <w:rsid w:val="003D44B8"/>
    <w:rsid w:val="003D70A7"/>
    <w:rsid w:val="003E24F0"/>
    <w:rsid w:val="003E2C4D"/>
    <w:rsid w:val="003E6F90"/>
    <w:rsid w:val="003F0815"/>
    <w:rsid w:val="003F5D0F"/>
    <w:rsid w:val="00405050"/>
    <w:rsid w:val="00407405"/>
    <w:rsid w:val="0040771F"/>
    <w:rsid w:val="00411020"/>
    <w:rsid w:val="00414101"/>
    <w:rsid w:val="00415087"/>
    <w:rsid w:val="0041694F"/>
    <w:rsid w:val="00433DDB"/>
    <w:rsid w:val="00437619"/>
    <w:rsid w:val="00442398"/>
    <w:rsid w:val="00442FD1"/>
    <w:rsid w:val="00445535"/>
    <w:rsid w:val="0044708E"/>
    <w:rsid w:val="00451844"/>
    <w:rsid w:val="004542D7"/>
    <w:rsid w:val="004552D8"/>
    <w:rsid w:val="004674E3"/>
    <w:rsid w:val="004752E4"/>
    <w:rsid w:val="004827C3"/>
    <w:rsid w:val="004910C8"/>
    <w:rsid w:val="004936C1"/>
    <w:rsid w:val="00496BB2"/>
    <w:rsid w:val="0049732D"/>
    <w:rsid w:val="004A0070"/>
    <w:rsid w:val="004A0D2F"/>
    <w:rsid w:val="004A2A63"/>
    <w:rsid w:val="004B1C3E"/>
    <w:rsid w:val="004B210C"/>
    <w:rsid w:val="004B7C76"/>
    <w:rsid w:val="004D2301"/>
    <w:rsid w:val="004D3282"/>
    <w:rsid w:val="004D405F"/>
    <w:rsid w:val="004D719E"/>
    <w:rsid w:val="004E04A6"/>
    <w:rsid w:val="004E4F4F"/>
    <w:rsid w:val="004E6789"/>
    <w:rsid w:val="004E7D69"/>
    <w:rsid w:val="004F0808"/>
    <w:rsid w:val="004F367E"/>
    <w:rsid w:val="004F44A5"/>
    <w:rsid w:val="004F61E3"/>
    <w:rsid w:val="004F7CB6"/>
    <w:rsid w:val="0051015C"/>
    <w:rsid w:val="005123D5"/>
    <w:rsid w:val="005130FE"/>
    <w:rsid w:val="005147B4"/>
    <w:rsid w:val="00514EC0"/>
    <w:rsid w:val="00516109"/>
    <w:rsid w:val="00516CF1"/>
    <w:rsid w:val="0053031C"/>
    <w:rsid w:val="0053129F"/>
    <w:rsid w:val="00531AE9"/>
    <w:rsid w:val="005332A5"/>
    <w:rsid w:val="005338CB"/>
    <w:rsid w:val="005352C9"/>
    <w:rsid w:val="00535EFC"/>
    <w:rsid w:val="005463BF"/>
    <w:rsid w:val="005503FD"/>
    <w:rsid w:val="00550A66"/>
    <w:rsid w:val="0055306D"/>
    <w:rsid w:val="005602CD"/>
    <w:rsid w:val="00561A75"/>
    <w:rsid w:val="005629B6"/>
    <w:rsid w:val="00567EC7"/>
    <w:rsid w:val="00570013"/>
    <w:rsid w:val="00577078"/>
    <w:rsid w:val="005801A2"/>
    <w:rsid w:val="0059110B"/>
    <w:rsid w:val="00591EF4"/>
    <w:rsid w:val="005952A5"/>
    <w:rsid w:val="005A09E0"/>
    <w:rsid w:val="005A26C5"/>
    <w:rsid w:val="005A33A1"/>
    <w:rsid w:val="005A5416"/>
    <w:rsid w:val="005A78CC"/>
    <w:rsid w:val="005A7C00"/>
    <w:rsid w:val="005B217D"/>
    <w:rsid w:val="005B616D"/>
    <w:rsid w:val="005B7C9D"/>
    <w:rsid w:val="005C31FE"/>
    <w:rsid w:val="005C385F"/>
    <w:rsid w:val="005C5BED"/>
    <w:rsid w:val="005D3E0B"/>
    <w:rsid w:val="005E1AC6"/>
    <w:rsid w:val="005F123C"/>
    <w:rsid w:val="005F1CEB"/>
    <w:rsid w:val="005F3AED"/>
    <w:rsid w:val="005F4D1C"/>
    <w:rsid w:val="005F5B75"/>
    <w:rsid w:val="005F65CE"/>
    <w:rsid w:val="005F6F1B"/>
    <w:rsid w:val="006021ED"/>
    <w:rsid w:val="00604268"/>
    <w:rsid w:val="006050C6"/>
    <w:rsid w:val="006111F0"/>
    <w:rsid w:val="00614A98"/>
    <w:rsid w:val="006221C2"/>
    <w:rsid w:val="0062479C"/>
    <w:rsid w:val="00624B33"/>
    <w:rsid w:val="00630AA2"/>
    <w:rsid w:val="00635CBA"/>
    <w:rsid w:val="006370D2"/>
    <w:rsid w:val="00646707"/>
    <w:rsid w:val="006478A6"/>
    <w:rsid w:val="0065434F"/>
    <w:rsid w:val="00655CB5"/>
    <w:rsid w:val="00662E58"/>
    <w:rsid w:val="00664DCF"/>
    <w:rsid w:val="0067528B"/>
    <w:rsid w:val="006754B8"/>
    <w:rsid w:val="006811A9"/>
    <w:rsid w:val="00683131"/>
    <w:rsid w:val="00687065"/>
    <w:rsid w:val="006955DF"/>
    <w:rsid w:val="0069748D"/>
    <w:rsid w:val="0069775A"/>
    <w:rsid w:val="006A760C"/>
    <w:rsid w:val="006C0549"/>
    <w:rsid w:val="006C2E5A"/>
    <w:rsid w:val="006C4940"/>
    <w:rsid w:val="006C4ED3"/>
    <w:rsid w:val="006C5D39"/>
    <w:rsid w:val="006D0799"/>
    <w:rsid w:val="006D55E6"/>
    <w:rsid w:val="006D64BC"/>
    <w:rsid w:val="006D7CCD"/>
    <w:rsid w:val="006E2810"/>
    <w:rsid w:val="006E4B5D"/>
    <w:rsid w:val="006E5417"/>
    <w:rsid w:val="006F0E48"/>
    <w:rsid w:val="006F5F45"/>
    <w:rsid w:val="006F6D05"/>
    <w:rsid w:val="0070057E"/>
    <w:rsid w:val="00702F29"/>
    <w:rsid w:val="0070305D"/>
    <w:rsid w:val="0070323E"/>
    <w:rsid w:val="0070446D"/>
    <w:rsid w:val="00711B14"/>
    <w:rsid w:val="00712F60"/>
    <w:rsid w:val="00715A42"/>
    <w:rsid w:val="007170B0"/>
    <w:rsid w:val="00720E3B"/>
    <w:rsid w:val="0072483E"/>
    <w:rsid w:val="00727A0D"/>
    <w:rsid w:val="00742D6D"/>
    <w:rsid w:val="00744CEC"/>
    <w:rsid w:val="00745F6B"/>
    <w:rsid w:val="00746ACC"/>
    <w:rsid w:val="00753C75"/>
    <w:rsid w:val="007557C3"/>
    <w:rsid w:val="0075585E"/>
    <w:rsid w:val="00760E4B"/>
    <w:rsid w:val="0076610C"/>
    <w:rsid w:val="00770571"/>
    <w:rsid w:val="00771006"/>
    <w:rsid w:val="007720CA"/>
    <w:rsid w:val="007768FF"/>
    <w:rsid w:val="007824D3"/>
    <w:rsid w:val="00793FD7"/>
    <w:rsid w:val="00796EE3"/>
    <w:rsid w:val="007A2633"/>
    <w:rsid w:val="007A7049"/>
    <w:rsid w:val="007A7D29"/>
    <w:rsid w:val="007B1545"/>
    <w:rsid w:val="007B30D4"/>
    <w:rsid w:val="007B4AB8"/>
    <w:rsid w:val="007B4E61"/>
    <w:rsid w:val="007C0487"/>
    <w:rsid w:val="007C0B6D"/>
    <w:rsid w:val="007C1E2A"/>
    <w:rsid w:val="007C3FA4"/>
    <w:rsid w:val="007C740C"/>
    <w:rsid w:val="007D5810"/>
    <w:rsid w:val="007D690B"/>
    <w:rsid w:val="007E0B44"/>
    <w:rsid w:val="007E1B6A"/>
    <w:rsid w:val="007E2DEE"/>
    <w:rsid w:val="007E7761"/>
    <w:rsid w:val="007F153E"/>
    <w:rsid w:val="007F1F8B"/>
    <w:rsid w:val="007F67A1"/>
    <w:rsid w:val="00802592"/>
    <w:rsid w:val="00802F35"/>
    <w:rsid w:val="00810FCB"/>
    <w:rsid w:val="008129B5"/>
    <w:rsid w:val="00815B74"/>
    <w:rsid w:val="008161C2"/>
    <w:rsid w:val="008206C8"/>
    <w:rsid w:val="008249E0"/>
    <w:rsid w:val="00832940"/>
    <w:rsid w:val="00836538"/>
    <w:rsid w:val="008421C2"/>
    <w:rsid w:val="00855804"/>
    <w:rsid w:val="00856487"/>
    <w:rsid w:val="00862C6B"/>
    <w:rsid w:val="00870F8F"/>
    <w:rsid w:val="00871919"/>
    <w:rsid w:val="00871E06"/>
    <w:rsid w:val="00874A6C"/>
    <w:rsid w:val="0087672A"/>
    <w:rsid w:val="00876C65"/>
    <w:rsid w:val="00884C5A"/>
    <w:rsid w:val="0088568C"/>
    <w:rsid w:val="008A4B4C"/>
    <w:rsid w:val="008B24BA"/>
    <w:rsid w:val="008B4F56"/>
    <w:rsid w:val="008B6BF8"/>
    <w:rsid w:val="008C239F"/>
    <w:rsid w:val="008C348A"/>
    <w:rsid w:val="008D487E"/>
    <w:rsid w:val="008D59BD"/>
    <w:rsid w:val="008D7C10"/>
    <w:rsid w:val="008D7D6D"/>
    <w:rsid w:val="008E1DF7"/>
    <w:rsid w:val="008E480C"/>
    <w:rsid w:val="008E4CA4"/>
    <w:rsid w:val="008F2CF7"/>
    <w:rsid w:val="008F343B"/>
    <w:rsid w:val="008F3CF9"/>
    <w:rsid w:val="008F44CB"/>
    <w:rsid w:val="008F5C7E"/>
    <w:rsid w:val="008F638C"/>
    <w:rsid w:val="0090426F"/>
    <w:rsid w:val="00904B66"/>
    <w:rsid w:val="009053A6"/>
    <w:rsid w:val="00907757"/>
    <w:rsid w:val="00907E86"/>
    <w:rsid w:val="009149F6"/>
    <w:rsid w:val="00917C21"/>
    <w:rsid w:val="009212B0"/>
    <w:rsid w:val="009234A5"/>
    <w:rsid w:val="009241FA"/>
    <w:rsid w:val="00924B1A"/>
    <w:rsid w:val="00924C87"/>
    <w:rsid w:val="00927172"/>
    <w:rsid w:val="00927BE7"/>
    <w:rsid w:val="009336F7"/>
    <w:rsid w:val="00934ED5"/>
    <w:rsid w:val="00935B5E"/>
    <w:rsid w:val="009374A7"/>
    <w:rsid w:val="00941996"/>
    <w:rsid w:val="009426BB"/>
    <w:rsid w:val="00943A7F"/>
    <w:rsid w:val="00947CC5"/>
    <w:rsid w:val="00947D8B"/>
    <w:rsid w:val="0095243A"/>
    <w:rsid w:val="00954B96"/>
    <w:rsid w:val="00955979"/>
    <w:rsid w:val="009629C3"/>
    <w:rsid w:val="00966FE0"/>
    <w:rsid w:val="00970DBB"/>
    <w:rsid w:val="00972784"/>
    <w:rsid w:val="00980D9A"/>
    <w:rsid w:val="0098494D"/>
    <w:rsid w:val="0098551D"/>
    <w:rsid w:val="00992F77"/>
    <w:rsid w:val="0099518F"/>
    <w:rsid w:val="009A18FA"/>
    <w:rsid w:val="009A2F18"/>
    <w:rsid w:val="009A4BA5"/>
    <w:rsid w:val="009A523D"/>
    <w:rsid w:val="009A6E89"/>
    <w:rsid w:val="009A750A"/>
    <w:rsid w:val="009B01B9"/>
    <w:rsid w:val="009B579A"/>
    <w:rsid w:val="009B5953"/>
    <w:rsid w:val="009C076B"/>
    <w:rsid w:val="009C171B"/>
    <w:rsid w:val="009C387D"/>
    <w:rsid w:val="009C38FC"/>
    <w:rsid w:val="009D0439"/>
    <w:rsid w:val="009F0DBC"/>
    <w:rsid w:val="009F3E71"/>
    <w:rsid w:val="009F496B"/>
    <w:rsid w:val="009F7338"/>
    <w:rsid w:val="00A01439"/>
    <w:rsid w:val="00A02E61"/>
    <w:rsid w:val="00A05CFF"/>
    <w:rsid w:val="00A1103A"/>
    <w:rsid w:val="00A152B0"/>
    <w:rsid w:val="00A23793"/>
    <w:rsid w:val="00A24E99"/>
    <w:rsid w:val="00A2758E"/>
    <w:rsid w:val="00A3762B"/>
    <w:rsid w:val="00A40D1F"/>
    <w:rsid w:val="00A42189"/>
    <w:rsid w:val="00A56B97"/>
    <w:rsid w:val="00A602D3"/>
    <w:rsid w:val="00A6093D"/>
    <w:rsid w:val="00A6280B"/>
    <w:rsid w:val="00A71BF8"/>
    <w:rsid w:val="00A735DA"/>
    <w:rsid w:val="00A74055"/>
    <w:rsid w:val="00A75350"/>
    <w:rsid w:val="00A76A6D"/>
    <w:rsid w:val="00A83253"/>
    <w:rsid w:val="00A86B5C"/>
    <w:rsid w:val="00A87053"/>
    <w:rsid w:val="00A90D71"/>
    <w:rsid w:val="00AA13C8"/>
    <w:rsid w:val="00AA6B4E"/>
    <w:rsid w:val="00AA6E84"/>
    <w:rsid w:val="00AB058B"/>
    <w:rsid w:val="00AB2494"/>
    <w:rsid w:val="00AB76DC"/>
    <w:rsid w:val="00AC534C"/>
    <w:rsid w:val="00AD5124"/>
    <w:rsid w:val="00AD724F"/>
    <w:rsid w:val="00AE10D3"/>
    <w:rsid w:val="00AE341B"/>
    <w:rsid w:val="00AF1D5D"/>
    <w:rsid w:val="00AF655C"/>
    <w:rsid w:val="00AF7B5E"/>
    <w:rsid w:val="00B067DD"/>
    <w:rsid w:val="00B069F2"/>
    <w:rsid w:val="00B07CA7"/>
    <w:rsid w:val="00B1279A"/>
    <w:rsid w:val="00B156E5"/>
    <w:rsid w:val="00B25F73"/>
    <w:rsid w:val="00B27280"/>
    <w:rsid w:val="00B30886"/>
    <w:rsid w:val="00B41191"/>
    <w:rsid w:val="00B45C5C"/>
    <w:rsid w:val="00B46B9F"/>
    <w:rsid w:val="00B47884"/>
    <w:rsid w:val="00B5222E"/>
    <w:rsid w:val="00B61C96"/>
    <w:rsid w:val="00B672DC"/>
    <w:rsid w:val="00B71C39"/>
    <w:rsid w:val="00B73A2A"/>
    <w:rsid w:val="00B94B06"/>
    <w:rsid w:val="00B94C28"/>
    <w:rsid w:val="00B95BA9"/>
    <w:rsid w:val="00B97619"/>
    <w:rsid w:val="00BA70AA"/>
    <w:rsid w:val="00BC10BA"/>
    <w:rsid w:val="00BC5AFD"/>
    <w:rsid w:val="00BD0E26"/>
    <w:rsid w:val="00BD18DA"/>
    <w:rsid w:val="00BD7860"/>
    <w:rsid w:val="00BE7553"/>
    <w:rsid w:val="00BF028F"/>
    <w:rsid w:val="00C04F43"/>
    <w:rsid w:val="00C0609D"/>
    <w:rsid w:val="00C115AB"/>
    <w:rsid w:val="00C11E95"/>
    <w:rsid w:val="00C12021"/>
    <w:rsid w:val="00C12CB5"/>
    <w:rsid w:val="00C1401B"/>
    <w:rsid w:val="00C141A8"/>
    <w:rsid w:val="00C1490D"/>
    <w:rsid w:val="00C21E17"/>
    <w:rsid w:val="00C225FB"/>
    <w:rsid w:val="00C23865"/>
    <w:rsid w:val="00C243AC"/>
    <w:rsid w:val="00C250E0"/>
    <w:rsid w:val="00C30249"/>
    <w:rsid w:val="00C3723B"/>
    <w:rsid w:val="00C606C9"/>
    <w:rsid w:val="00C6516C"/>
    <w:rsid w:val="00C70289"/>
    <w:rsid w:val="00C70410"/>
    <w:rsid w:val="00C708D4"/>
    <w:rsid w:val="00C778DF"/>
    <w:rsid w:val="00C77AC0"/>
    <w:rsid w:val="00C80288"/>
    <w:rsid w:val="00C84003"/>
    <w:rsid w:val="00C90650"/>
    <w:rsid w:val="00C97D78"/>
    <w:rsid w:val="00CA5CF0"/>
    <w:rsid w:val="00CA72DE"/>
    <w:rsid w:val="00CB2D58"/>
    <w:rsid w:val="00CB7439"/>
    <w:rsid w:val="00CB7789"/>
    <w:rsid w:val="00CC0C54"/>
    <w:rsid w:val="00CC2AAE"/>
    <w:rsid w:val="00CC527B"/>
    <w:rsid w:val="00CC5A42"/>
    <w:rsid w:val="00CD0EAB"/>
    <w:rsid w:val="00CD64AD"/>
    <w:rsid w:val="00CD66EF"/>
    <w:rsid w:val="00CD7D1C"/>
    <w:rsid w:val="00CE0A4C"/>
    <w:rsid w:val="00CF062B"/>
    <w:rsid w:val="00CF34DB"/>
    <w:rsid w:val="00CF558F"/>
    <w:rsid w:val="00CF5E03"/>
    <w:rsid w:val="00D0113E"/>
    <w:rsid w:val="00D0418A"/>
    <w:rsid w:val="00D073E2"/>
    <w:rsid w:val="00D07DF0"/>
    <w:rsid w:val="00D11D7F"/>
    <w:rsid w:val="00D13093"/>
    <w:rsid w:val="00D26BE7"/>
    <w:rsid w:val="00D31E83"/>
    <w:rsid w:val="00D31F50"/>
    <w:rsid w:val="00D446EC"/>
    <w:rsid w:val="00D51BF0"/>
    <w:rsid w:val="00D539A9"/>
    <w:rsid w:val="00D55299"/>
    <w:rsid w:val="00D55942"/>
    <w:rsid w:val="00D60CF5"/>
    <w:rsid w:val="00D636DA"/>
    <w:rsid w:val="00D72558"/>
    <w:rsid w:val="00D73AA5"/>
    <w:rsid w:val="00D7606F"/>
    <w:rsid w:val="00D807BF"/>
    <w:rsid w:val="00D80DF7"/>
    <w:rsid w:val="00D80FB0"/>
    <w:rsid w:val="00D81741"/>
    <w:rsid w:val="00D82B0B"/>
    <w:rsid w:val="00D931F0"/>
    <w:rsid w:val="00DA05B4"/>
    <w:rsid w:val="00DA170A"/>
    <w:rsid w:val="00DA6578"/>
    <w:rsid w:val="00DA7887"/>
    <w:rsid w:val="00DB2C26"/>
    <w:rsid w:val="00DB43B2"/>
    <w:rsid w:val="00DB6F77"/>
    <w:rsid w:val="00DC73F6"/>
    <w:rsid w:val="00DD578D"/>
    <w:rsid w:val="00DE2143"/>
    <w:rsid w:val="00DE6B43"/>
    <w:rsid w:val="00DF2F67"/>
    <w:rsid w:val="00E02678"/>
    <w:rsid w:val="00E06125"/>
    <w:rsid w:val="00E11923"/>
    <w:rsid w:val="00E17B19"/>
    <w:rsid w:val="00E21F20"/>
    <w:rsid w:val="00E262D4"/>
    <w:rsid w:val="00E26313"/>
    <w:rsid w:val="00E27A08"/>
    <w:rsid w:val="00E3283D"/>
    <w:rsid w:val="00E36250"/>
    <w:rsid w:val="00E40EAC"/>
    <w:rsid w:val="00E41E00"/>
    <w:rsid w:val="00E463CF"/>
    <w:rsid w:val="00E464F2"/>
    <w:rsid w:val="00E47494"/>
    <w:rsid w:val="00E54511"/>
    <w:rsid w:val="00E61DAC"/>
    <w:rsid w:val="00E67718"/>
    <w:rsid w:val="00E72ACE"/>
    <w:rsid w:val="00E72B80"/>
    <w:rsid w:val="00E75FE3"/>
    <w:rsid w:val="00E763B4"/>
    <w:rsid w:val="00E8197D"/>
    <w:rsid w:val="00E840CE"/>
    <w:rsid w:val="00E844F8"/>
    <w:rsid w:val="00E8530D"/>
    <w:rsid w:val="00E8550E"/>
    <w:rsid w:val="00E86C4C"/>
    <w:rsid w:val="00EA6089"/>
    <w:rsid w:val="00EB7AB1"/>
    <w:rsid w:val="00EC1A1A"/>
    <w:rsid w:val="00EE59FA"/>
    <w:rsid w:val="00EF48CC"/>
    <w:rsid w:val="00EF7FAB"/>
    <w:rsid w:val="00F03D26"/>
    <w:rsid w:val="00F042E8"/>
    <w:rsid w:val="00F16835"/>
    <w:rsid w:val="00F21745"/>
    <w:rsid w:val="00F2344A"/>
    <w:rsid w:val="00F23504"/>
    <w:rsid w:val="00F267D2"/>
    <w:rsid w:val="00F31212"/>
    <w:rsid w:val="00F3414D"/>
    <w:rsid w:val="00F36F75"/>
    <w:rsid w:val="00F41E3A"/>
    <w:rsid w:val="00F44B22"/>
    <w:rsid w:val="00F52554"/>
    <w:rsid w:val="00F623C5"/>
    <w:rsid w:val="00F70605"/>
    <w:rsid w:val="00F73032"/>
    <w:rsid w:val="00F76F0B"/>
    <w:rsid w:val="00F77996"/>
    <w:rsid w:val="00F848FC"/>
    <w:rsid w:val="00F84DAE"/>
    <w:rsid w:val="00F8737A"/>
    <w:rsid w:val="00F9282A"/>
    <w:rsid w:val="00F96BAD"/>
    <w:rsid w:val="00FB0847"/>
    <w:rsid w:val="00FB0E84"/>
    <w:rsid w:val="00FB5983"/>
    <w:rsid w:val="00FB5AF2"/>
    <w:rsid w:val="00FB5D47"/>
    <w:rsid w:val="00FC5CE1"/>
    <w:rsid w:val="00FD01C2"/>
    <w:rsid w:val="00FD0B9B"/>
    <w:rsid w:val="00FD5E7F"/>
    <w:rsid w:val="00FD71AF"/>
    <w:rsid w:val="00FE0F93"/>
    <w:rsid w:val="00FE3672"/>
    <w:rsid w:val="00FE3D30"/>
    <w:rsid w:val="00FE3E3F"/>
    <w:rsid w:val="00FE3E9B"/>
    <w:rsid w:val="00FE6D7F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0DBB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F4D1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F4D1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F4D1C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C534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</w:pPr>
    <w:rPr>
      <w:rFonts w:eastAsia="Times New Roman"/>
      <w:sz w:val="24"/>
      <w:szCs w:val="24"/>
      <w:lang w:eastAsia="zh-TW"/>
    </w:rPr>
  </w:style>
  <w:style w:type="paragraph" w:styleId="Caption">
    <w:name w:val="caption"/>
    <w:basedOn w:val="Normal"/>
    <w:next w:val="Normal"/>
    <w:unhideWhenUsed/>
    <w:qFormat/>
    <w:rsid w:val="00F267D2"/>
    <w:rPr>
      <w:rFonts w:eastAsia="Malgun Gothic"/>
      <w:b/>
      <w:bCs/>
      <w:sz w:val="20"/>
    </w:rPr>
  </w:style>
  <w:style w:type="table" w:customStyle="1" w:styleId="1">
    <w:name w:val="浅色底纹1"/>
    <w:basedOn w:val="TableNormal"/>
    <w:uiPriority w:val="60"/>
    <w:rsid w:val="009B5953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Classic2">
    <w:name w:val="Table Classic 2"/>
    <w:basedOn w:val="TableNormal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樣式1 字元 字元 字元"/>
    <w:basedOn w:val="DefaultParagraphFont"/>
    <w:link w:val="11"/>
    <w:locked/>
    <w:rsid w:val="00F31212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1">
    <w:name w:val="樣式1 字元 字元"/>
    <w:basedOn w:val="Normal"/>
    <w:link w:val="10"/>
    <w:rsid w:val="00F31212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12">
    <w:name w:val="樣式1 字元 字元 字元 字元 字元"/>
    <w:basedOn w:val="DefaultParagraphFont"/>
    <w:link w:val="13"/>
    <w:locked/>
    <w:rsid w:val="00171201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3">
    <w:name w:val="樣式1 字元 字元 字元 字元"/>
    <w:basedOn w:val="Normal"/>
    <w:link w:val="12"/>
    <w:rsid w:val="00171201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hps">
    <w:name w:val="hps"/>
    <w:basedOn w:val="DefaultParagraphFont"/>
    <w:rsid w:val="007A2633"/>
  </w:style>
  <w:style w:type="character" w:customStyle="1" w:styleId="trans">
    <w:name w:val="trans"/>
    <w:basedOn w:val="DefaultParagraphFont"/>
    <w:rsid w:val="004E04A6"/>
  </w:style>
  <w:style w:type="character" w:customStyle="1" w:styleId="shorttext">
    <w:name w:val="short_text"/>
    <w:basedOn w:val="DefaultParagraphFont"/>
    <w:rsid w:val="00AD5124"/>
  </w:style>
  <w:style w:type="table" w:styleId="TableGrid">
    <w:name w:val="Table Grid"/>
    <w:basedOn w:val="TableNormal"/>
    <w:rsid w:val="002759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CA5CF0"/>
    <w:rPr>
      <w:sz w:val="18"/>
      <w:szCs w:val="18"/>
    </w:rPr>
  </w:style>
  <w:style w:type="paragraph" w:styleId="CommentText">
    <w:name w:val="annotation text"/>
    <w:basedOn w:val="Normal"/>
    <w:link w:val="CommentTextChar"/>
    <w:rsid w:val="00CA5CF0"/>
  </w:style>
  <w:style w:type="character" w:customStyle="1" w:styleId="CommentTextChar">
    <w:name w:val="Comment Text Char"/>
    <w:basedOn w:val="DefaultParagraphFont"/>
    <w:link w:val="CommentText"/>
    <w:rsid w:val="00CA5CF0"/>
    <w:rPr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A5C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A5CF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20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5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367032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574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4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5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59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09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840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100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22298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7346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0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880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288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8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13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6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BB1CC-1B90-45F9-A917-A230C0A66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854</Words>
  <Characters>4777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MTK03795 - YiWen Chen (陳渏紋)</cp:lastModifiedBy>
  <cp:revision>4</cp:revision>
  <dcterms:created xsi:type="dcterms:W3CDTF">2013-04-12T08:10:00Z</dcterms:created>
  <dcterms:modified xsi:type="dcterms:W3CDTF">2013-04-13T09:10:00Z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114687908</vt:i4>
  </property>
  <property fmtid="{D5CDD505-2E9C-101B-9397-08002B2CF9AE}" pid="3" name="_NewReviewCycle">
    <vt:lpwstr/>
  </property>
  <property fmtid="{D5CDD505-2E9C-101B-9397-08002B2CF9AE}" pid="4" name="_EmailSubject">
    <vt:lpwstr>About the joint proposal of simplifying VSP</vt:lpwstr>
  </property>
  <property fmtid="{D5CDD505-2E9C-101B-9397-08002B2CF9AE}" pid="5" name="_AuthorEmail">
    <vt:lpwstr>yuwen.huang@mediatek.com</vt:lpwstr>
  </property>
  <property fmtid="{D5CDD505-2E9C-101B-9397-08002B2CF9AE}" pid="6" name="_AuthorEmailDisplayName">
    <vt:lpwstr>YW Huang (黃毓文)</vt:lpwstr>
  </property>
  <property fmtid="{D5CDD505-2E9C-101B-9397-08002B2CF9AE}" pid="7" name="_PreviousAdHocReviewCycleID">
    <vt:i4>-851441115</vt:i4>
  </property>
</Properties>
</file>