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26072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642C26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3r</w:t>
            </w:r>
            <w:r w:rsidR="00B74ABA">
              <w:rPr>
                <w:szCs w:val="22"/>
                <w:lang w:val="en-CA"/>
              </w:rPr>
              <w:t>d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7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</w:t>
            </w:r>
            <w:r w:rsidR="00B74ABA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5B217D" w:rsidRDefault="00E61DAC" w:rsidP="00D21C4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642C26">
              <w:rPr>
                <w:lang w:val="en-CA"/>
              </w:rPr>
              <w:t>C</w:t>
            </w:r>
            <w:r w:rsidR="00D21C41">
              <w:rPr>
                <w:u w:val="single"/>
                <w:lang w:val="en-CA"/>
              </w:rPr>
              <w:t>0147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895"/>
        <w:gridCol w:w="851"/>
        <w:gridCol w:w="3372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23551" w:rsidP="00B74ABA">
            <w:pPr>
              <w:spacing w:before="60" w:after="60"/>
              <w:rPr>
                <w:b/>
                <w:szCs w:val="22"/>
                <w:lang w:val="en-CA"/>
              </w:rPr>
            </w:pPr>
            <w:r w:rsidRPr="00323551">
              <w:rPr>
                <w:b/>
                <w:szCs w:val="22"/>
              </w:rPr>
              <w:t>CE6.H cross check on distortion calculation simplification for DMM 3 of Qualcomm (JCT3V-C0052)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2355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32355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323551" w:rsidRPr="005B217D" w:rsidTr="00323551">
        <w:tc>
          <w:tcPr>
            <w:tcW w:w="1458" w:type="dxa"/>
          </w:tcPr>
          <w:p w:rsidR="00323551" w:rsidRPr="005B217D" w:rsidRDefault="0032355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895" w:type="dxa"/>
          </w:tcPr>
          <w:p w:rsidR="00323551" w:rsidRPr="005B217D" w:rsidRDefault="00323551" w:rsidP="00F1531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Philipp </w:t>
            </w:r>
            <w:proofErr w:type="spellStart"/>
            <w:r>
              <w:rPr>
                <w:szCs w:val="22"/>
                <w:lang w:val="en-CA"/>
              </w:rPr>
              <w:t>Merkle</w:t>
            </w:r>
            <w:proofErr w:type="spellEnd"/>
          </w:p>
        </w:tc>
        <w:tc>
          <w:tcPr>
            <w:tcW w:w="851" w:type="dxa"/>
          </w:tcPr>
          <w:p w:rsidR="00323551" w:rsidRPr="005B217D" w:rsidRDefault="00323551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372" w:type="dxa"/>
          </w:tcPr>
          <w:p w:rsidR="00323551" w:rsidRPr="005B217D" w:rsidRDefault="00323551" w:rsidP="00F1531A">
            <w:pPr>
              <w:spacing w:before="60" w:after="60"/>
              <w:rPr>
                <w:szCs w:val="22"/>
                <w:lang w:val="en-CA"/>
              </w:rPr>
            </w:pPr>
            <w:r w:rsidRPr="00E76F82">
              <w:rPr>
                <w:szCs w:val="22"/>
                <w:lang w:val="en-CA"/>
              </w:rPr>
              <w:t>philipp.merkle@hhi.fraunhofer.de</w:t>
            </w:r>
          </w:p>
        </w:tc>
      </w:tr>
      <w:tr w:rsidR="00323551" w:rsidRPr="005B217D">
        <w:tc>
          <w:tcPr>
            <w:tcW w:w="1458" w:type="dxa"/>
          </w:tcPr>
          <w:p w:rsidR="00323551" w:rsidRPr="005B217D" w:rsidRDefault="00323551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3551" w:rsidRPr="005B217D" w:rsidRDefault="00323551" w:rsidP="00F1531A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Fraunhofer</w:t>
            </w:r>
            <w:proofErr w:type="spellEnd"/>
            <w:r>
              <w:rPr>
                <w:szCs w:val="22"/>
                <w:lang w:val="en-CA"/>
              </w:rPr>
              <w:t xml:space="preserve"> HHI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23551" w:rsidRPr="005B217D" w:rsidRDefault="00323551" w:rsidP="00323551">
      <w:pPr>
        <w:jc w:val="both"/>
        <w:rPr>
          <w:szCs w:val="22"/>
          <w:lang w:val="en-CA"/>
        </w:rPr>
      </w:pPr>
      <w:r>
        <w:t xml:space="preserve">Cross check results for JCT3V-C0052 on </w:t>
      </w:r>
      <w:r w:rsidRPr="00323551">
        <w:t>distortion calculation simplification for DMM 3</w:t>
      </w:r>
      <w:r>
        <w:t xml:space="preserve"> by Qualcomm are reported. Performance evaluation results for random access and all-intra configuration reported by the proponent were verified. </w:t>
      </w:r>
    </w:p>
    <w:p w:rsidR="00263398" w:rsidRPr="005B217D" w:rsidRDefault="00263398" w:rsidP="009234A5">
      <w:pPr>
        <w:jc w:val="both"/>
        <w:rPr>
          <w:szCs w:val="22"/>
          <w:lang w:val="en-CA"/>
        </w:rPr>
      </w:pP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1F2594" w:rsidRDefault="00722A3E" w:rsidP="009234A5">
      <w:pPr>
        <w:jc w:val="both"/>
      </w:pPr>
      <w:r w:rsidRPr="008F20E8">
        <w:rPr>
          <w:lang w:eastAsia="ko-KR"/>
        </w:rPr>
        <w:t>In</w:t>
      </w:r>
      <w:r>
        <w:rPr>
          <w:b/>
          <w:lang w:eastAsia="ko-KR"/>
        </w:rPr>
        <w:t xml:space="preserve"> </w:t>
      </w:r>
      <w:r w:rsidRPr="00C32359">
        <w:t>JCT</w:t>
      </w:r>
      <w:r>
        <w:t>3V</w:t>
      </w:r>
      <w:r w:rsidRPr="00C32359">
        <w:t>-</w:t>
      </w:r>
      <w:r>
        <w:t>C0052</w:t>
      </w:r>
      <w:r w:rsidRPr="008F20E8">
        <w:rPr>
          <w:lang w:eastAsia="ko-KR"/>
        </w:rPr>
        <w:t>,</w:t>
      </w:r>
      <w:r>
        <w:rPr>
          <w:b/>
          <w:lang w:eastAsia="ko-KR"/>
        </w:rPr>
        <w:t xml:space="preserve"> </w:t>
      </w:r>
      <w:r>
        <w:rPr>
          <w:lang w:eastAsia="ko-KR"/>
        </w:rPr>
        <w:t>Qualcomm</w:t>
      </w:r>
      <w:r w:rsidRPr="008F20E8">
        <w:rPr>
          <w:lang w:eastAsia="ko-KR"/>
        </w:rPr>
        <w:t xml:space="preserve"> propose</w:t>
      </w:r>
      <w:r>
        <w:rPr>
          <w:lang w:eastAsia="ko-KR"/>
        </w:rPr>
        <w:t xml:space="preserve">s </w:t>
      </w:r>
      <w:r w:rsidRPr="00323551">
        <w:t>distortion calculation simplification for DMM 3</w:t>
      </w:r>
      <w:r>
        <w:rPr>
          <w:lang w:eastAsia="ko-KR"/>
        </w:rPr>
        <w:t xml:space="preserve">. </w:t>
      </w:r>
      <w:r>
        <w:t>As cross-checker, we received their source code and simulation results for random access and all-intra configuration according to JCT2-B1106. The source code was compiled and the corresponding simulations were conducted within our lab on a clustered system with Linux OS and GCC 4.5.5 compiler.</w:t>
      </w:r>
    </w:p>
    <w:p w:rsidR="009860B9" w:rsidRPr="005B217D" w:rsidRDefault="009860B9" w:rsidP="009234A5">
      <w:pPr>
        <w:jc w:val="both"/>
        <w:rPr>
          <w:szCs w:val="22"/>
          <w:lang w:val="en-CA"/>
        </w:rPr>
      </w:pPr>
    </w:p>
    <w:p w:rsidR="001F2594" w:rsidRPr="005B217D" w:rsidRDefault="00722A3E" w:rsidP="00E11923">
      <w:pPr>
        <w:pStyle w:val="Heading1"/>
        <w:rPr>
          <w:lang w:val="en-CA"/>
        </w:rPr>
      </w:pPr>
      <w:r>
        <w:rPr>
          <w:lang w:val="en-CA"/>
        </w:rPr>
        <w:t>Results</w:t>
      </w:r>
    </w:p>
    <w:p w:rsidR="00722A3E" w:rsidRDefault="00722A3E" w:rsidP="00722A3E">
      <w:pPr>
        <w:jc w:val="both"/>
        <w:rPr>
          <w:szCs w:val="22"/>
        </w:rPr>
      </w:pPr>
      <w:r>
        <w:rPr>
          <w:szCs w:val="22"/>
        </w:rPr>
        <w:t>Encoding and decoding YUV files (md5sum) matched. More details of the cross check results are summarized in Tables 1 and 2.</w:t>
      </w:r>
    </w:p>
    <w:p w:rsidR="00722A3E" w:rsidRDefault="00722A3E" w:rsidP="00722A3E">
      <w:pPr>
        <w:jc w:val="center"/>
        <w:rPr>
          <w:rFonts w:eastAsia="Malgun Gothic"/>
          <w:lang w:eastAsia="ko-KR"/>
        </w:rPr>
      </w:pPr>
      <w:proofErr w:type="gramStart"/>
      <w:r w:rsidRPr="00AF0591">
        <w:rPr>
          <w:rFonts w:eastAsia="Malgun Gothic"/>
          <w:lang w:eastAsia="ko-KR"/>
        </w:rPr>
        <w:t xml:space="preserve">Table </w:t>
      </w:r>
      <w:r>
        <w:rPr>
          <w:rFonts w:eastAsia="Malgun Gothic"/>
          <w:lang w:eastAsia="ko-KR"/>
        </w:rPr>
        <w:t>1</w:t>
      </w:r>
      <w:r w:rsidRPr="00AF0591">
        <w:rPr>
          <w:rFonts w:eastAsia="Malgun Gothic"/>
          <w:lang w:eastAsia="ko-KR"/>
        </w:rPr>
        <w:t>.</w:t>
      </w:r>
      <w:proofErr w:type="gramEnd"/>
      <w:r w:rsidRPr="00AF0591">
        <w:rPr>
          <w:rFonts w:eastAsia="Malgun Gothic"/>
          <w:lang w:eastAsia="ko-KR"/>
        </w:rPr>
        <w:t xml:space="preserve"> Result for 3-view scenario under CTC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310"/>
        <w:gridCol w:w="1310"/>
        <w:gridCol w:w="1310"/>
        <w:gridCol w:w="1310"/>
        <w:gridCol w:w="1310"/>
        <w:gridCol w:w="1310"/>
      </w:tblGrid>
      <w:tr w:rsidR="00722A3E" w:rsidRPr="009273A7" w:rsidTr="00F1531A">
        <w:trPr>
          <w:trHeight w:val="330"/>
        </w:trPr>
        <w:tc>
          <w:tcPr>
            <w:tcW w:w="1549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r w:rsidRPr="009273A7">
              <w:rPr>
                <w:rFonts w:eastAsia="Malgun Gothic"/>
                <w:b/>
                <w:lang w:eastAsia="ko-KR"/>
              </w:rPr>
              <w:t>video only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r w:rsidRPr="009273A7">
              <w:rPr>
                <w:rFonts w:eastAsia="Malgun Gothic"/>
                <w:b/>
                <w:lang w:eastAsia="ko-KR"/>
              </w:rPr>
              <w:t>synthesized only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r w:rsidRPr="009273A7">
              <w:rPr>
                <w:rFonts w:eastAsia="Malgun Gothic"/>
                <w:b/>
                <w:lang w:eastAsia="ko-KR"/>
              </w:rPr>
              <w:t>coded &amp; synthesized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proofErr w:type="spellStart"/>
            <w:r w:rsidRPr="009273A7">
              <w:rPr>
                <w:rFonts w:eastAsia="Malgun Gothic"/>
                <w:b/>
                <w:lang w:eastAsia="ko-KR"/>
              </w:rPr>
              <w:t>enc</w:t>
            </w:r>
            <w:proofErr w:type="spellEnd"/>
            <w:r w:rsidRPr="009273A7">
              <w:rPr>
                <w:rFonts w:eastAsia="Malgun Gothic"/>
                <w:b/>
                <w:lang w:eastAsia="ko-KR"/>
              </w:rPr>
              <w:t xml:space="preserve"> time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proofErr w:type="spellStart"/>
            <w:r w:rsidRPr="009273A7">
              <w:rPr>
                <w:rFonts w:eastAsia="Malgun Gothic"/>
                <w:b/>
                <w:lang w:eastAsia="ko-KR"/>
              </w:rPr>
              <w:t>dec</w:t>
            </w:r>
            <w:proofErr w:type="spellEnd"/>
            <w:r w:rsidRPr="009273A7">
              <w:rPr>
                <w:rFonts w:eastAsia="Malgun Gothic"/>
                <w:b/>
                <w:lang w:eastAsia="ko-KR"/>
              </w:rPr>
              <w:t xml:space="preserve"> time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proofErr w:type="spellStart"/>
            <w:r w:rsidRPr="009273A7">
              <w:rPr>
                <w:rFonts w:eastAsia="Malgun Gothic"/>
                <w:b/>
                <w:lang w:eastAsia="ko-KR"/>
              </w:rPr>
              <w:t>ren</w:t>
            </w:r>
            <w:proofErr w:type="spellEnd"/>
            <w:r w:rsidRPr="009273A7">
              <w:rPr>
                <w:rFonts w:eastAsia="Malgun Gothic"/>
                <w:b/>
                <w:lang w:eastAsia="ko-KR"/>
              </w:rPr>
              <w:t xml:space="preserve"> time</w:t>
            </w:r>
          </w:p>
        </w:tc>
      </w:tr>
      <w:tr w:rsidR="005925D6" w:rsidRPr="009273A7" w:rsidTr="009E430D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Balloons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99.8%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92.2%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99.5%</w:t>
            </w:r>
          </w:p>
        </w:tc>
      </w:tr>
      <w:tr w:rsidR="005925D6" w:rsidRPr="009273A7" w:rsidTr="009E430D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Kendo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-0.1%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99.4%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95.9%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99.6%</w:t>
            </w:r>
          </w:p>
        </w:tc>
      </w:tr>
      <w:tr w:rsidR="005925D6" w:rsidRPr="009273A7" w:rsidTr="009E430D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rPr>
                <w:rFonts w:eastAsia="Malgun Gothic"/>
                <w:lang w:eastAsia="ko-KR"/>
              </w:rPr>
            </w:pPr>
            <w:proofErr w:type="spellStart"/>
            <w:r w:rsidRPr="009273A7">
              <w:rPr>
                <w:rFonts w:eastAsia="Malgun Gothic"/>
                <w:lang w:eastAsia="ko-KR"/>
              </w:rPr>
              <w:t>Newspapercc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99.9%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100.2%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99.8%</w:t>
            </w:r>
          </w:p>
        </w:tc>
      </w:tr>
      <w:tr w:rsidR="005925D6" w:rsidRPr="009273A7" w:rsidTr="009E430D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rPr>
                <w:rFonts w:eastAsia="Malgun Gothic"/>
                <w:lang w:eastAsia="ko-KR"/>
              </w:rPr>
            </w:pPr>
            <w:proofErr w:type="spellStart"/>
            <w:r w:rsidRPr="009273A7">
              <w:rPr>
                <w:rFonts w:eastAsia="Malgun Gothic"/>
                <w:lang w:eastAsia="ko-KR"/>
              </w:rPr>
              <w:t>GhostTownFly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-0.1%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99.6%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93.1%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96.9%</w:t>
            </w:r>
          </w:p>
        </w:tc>
      </w:tr>
      <w:tr w:rsidR="005925D6" w:rsidRPr="009273A7" w:rsidTr="009E430D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PoznanHall2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99.5%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91.0%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97.3%</w:t>
            </w:r>
          </w:p>
        </w:tc>
      </w:tr>
      <w:tr w:rsidR="005925D6" w:rsidRPr="009273A7" w:rsidTr="009E430D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rPr>
                <w:rFonts w:eastAsia="Malgun Gothic"/>
                <w:lang w:eastAsia="ko-KR"/>
              </w:rPr>
            </w:pPr>
            <w:proofErr w:type="spellStart"/>
            <w:r w:rsidRPr="009273A7">
              <w:rPr>
                <w:rFonts w:eastAsia="Malgun Gothic"/>
                <w:lang w:eastAsia="ko-KR"/>
              </w:rPr>
              <w:t>PoznanStreet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99.5%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92.3%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99.0%</w:t>
            </w:r>
          </w:p>
        </w:tc>
      </w:tr>
      <w:tr w:rsidR="005925D6" w:rsidRPr="009273A7" w:rsidTr="009E430D">
        <w:trPr>
          <w:trHeight w:val="330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rPr>
                <w:rFonts w:eastAsia="Malgun Gothic"/>
                <w:lang w:eastAsia="ko-KR"/>
              </w:rPr>
            </w:pPr>
            <w:proofErr w:type="spellStart"/>
            <w:r w:rsidRPr="009273A7">
              <w:rPr>
                <w:rFonts w:eastAsia="Malgun Gothic"/>
                <w:lang w:eastAsia="ko-KR"/>
              </w:rPr>
              <w:t>UndoDancer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0.4%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0.3%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99.9%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98.8%</w:t>
            </w:r>
          </w:p>
        </w:tc>
      </w:tr>
      <w:tr w:rsidR="005925D6" w:rsidRPr="009273A7" w:rsidTr="009E430D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1024x768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99.7%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96.0%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99.6%</w:t>
            </w:r>
          </w:p>
        </w:tc>
      </w:tr>
      <w:tr w:rsidR="005925D6" w:rsidRPr="009273A7" w:rsidTr="009E430D">
        <w:trPr>
          <w:trHeight w:val="330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1920x1088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0.1%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99.6%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93.8%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6E6D66" w:rsidRDefault="005925D6" w:rsidP="005925D6">
            <w:pPr>
              <w:jc w:val="right"/>
            </w:pPr>
            <w:r w:rsidRPr="006E6D66">
              <w:t>98.0%</w:t>
            </w:r>
          </w:p>
        </w:tc>
      </w:tr>
      <w:tr w:rsidR="005925D6" w:rsidRPr="005925D6" w:rsidTr="009E430D">
        <w:trPr>
          <w:trHeight w:val="330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5925D6" w:rsidRDefault="005925D6" w:rsidP="00F1531A">
            <w:pPr>
              <w:rPr>
                <w:rFonts w:eastAsia="Malgun Gothic"/>
                <w:b/>
                <w:bCs/>
                <w:lang w:eastAsia="ko-KR"/>
              </w:rPr>
            </w:pPr>
            <w:r w:rsidRPr="005925D6">
              <w:rPr>
                <w:rFonts w:eastAsia="Malgun Gothic"/>
                <w:b/>
                <w:bCs/>
                <w:lang w:eastAsia="ko-KR"/>
              </w:rPr>
              <w:t>average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0.1%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99.6%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94.8%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98.7%</w:t>
            </w:r>
          </w:p>
        </w:tc>
      </w:tr>
    </w:tbl>
    <w:p w:rsidR="00722A3E" w:rsidRDefault="00722A3E" w:rsidP="00722A3E">
      <w:pPr>
        <w:jc w:val="center"/>
        <w:rPr>
          <w:rFonts w:eastAsia="Malgun Gothic"/>
          <w:lang w:eastAsia="ko-KR"/>
        </w:rPr>
      </w:pPr>
      <w:proofErr w:type="gramStart"/>
      <w:r w:rsidRPr="00AF0591">
        <w:rPr>
          <w:rFonts w:eastAsia="Malgun Gothic"/>
          <w:lang w:eastAsia="ko-KR"/>
        </w:rPr>
        <w:lastRenderedPageBreak/>
        <w:t xml:space="preserve">Table </w:t>
      </w:r>
      <w:r>
        <w:rPr>
          <w:rFonts w:eastAsia="Malgun Gothic"/>
          <w:lang w:eastAsia="ko-KR"/>
        </w:rPr>
        <w:t>2</w:t>
      </w:r>
      <w:r w:rsidRPr="00AF0591">
        <w:rPr>
          <w:rFonts w:eastAsia="Malgun Gothic"/>
          <w:lang w:eastAsia="ko-KR"/>
        </w:rPr>
        <w:t>.</w:t>
      </w:r>
      <w:proofErr w:type="gramEnd"/>
      <w:r w:rsidRPr="00AF0591">
        <w:rPr>
          <w:rFonts w:eastAsia="Malgun Gothic"/>
          <w:lang w:eastAsia="ko-KR"/>
        </w:rPr>
        <w:t xml:space="preserve"> Result for 3-view scenario under </w:t>
      </w:r>
      <w:r>
        <w:rPr>
          <w:rFonts w:eastAsia="Malgun Gothic"/>
          <w:lang w:eastAsia="ko-KR"/>
        </w:rPr>
        <w:t>all-</w:t>
      </w:r>
      <w:r w:rsidRPr="00AF0591">
        <w:rPr>
          <w:rFonts w:eastAsia="Malgun Gothic"/>
          <w:lang w:eastAsia="ko-KR"/>
        </w:rPr>
        <w:t>intra configuration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310"/>
        <w:gridCol w:w="1310"/>
        <w:gridCol w:w="1310"/>
        <w:gridCol w:w="1310"/>
        <w:gridCol w:w="1310"/>
        <w:gridCol w:w="1310"/>
      </w:tblGrid>
      <w:tr w:rsidR="00722A3E" w:rsidRPr="009273A7" w:rsidTr="00F1531A">
        <w:trPr>
          <w:trHeight w:val="330"/>
        </w:trPr>
        <w:tc>
          <w:tcPr>
            <w:tcW w:w="1549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r w:rsidRPr="009273A7">
              <w:rPr>
                <w:rFonts w:eastAsia="Malgun Gothic"/>
                <w:b/>
                <w:lang w:eastAsia="ko-KR"/>
              </w:rPr>
              <w:t> 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r w:rsidRPr="009273A7">
              <w:rPr>
                <w:rFonts w:eastAsia="Malgun Gothic"/>
                <w:b/>
                <w:lang w:eastAsia="ko-KR"/>
              </w:rPr>
              <w:t>video only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r w:rsidRPr="009273A7">
              <w:rPr>
                <w:rFonts w:eastAsia="Malgun Gothic"/>
                <w:b/>
                <w:lang w:eastAsia="ko-KR"/>
              </w:rPr>
              <w:t xml:space="preserve">synthesized only 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r w:rsidRPr="009273A7">
              <w:rPr>
                <w:rFonts w:eastAsia="Malgun Gothic"/>
                <w:b/>
                <w:lang w:eastAsia="ko-KR"/>
              </w:rPr>
              <w:t>coded &amp; synthesized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proofErr w:type="spellStart"/>
            <w:r w:rsidRPr="009273A7">
              <w:rPr>
                <w:rFonts w:eastAsia="Malgun Gothic"/>
                <w:b/>
                <w:lang w:eastAsia="ko-KR"/>
              </w:rPr>
              <w:t>enc</w:t>
            </w:r>
            <w:proofErr w:type="spellEnd"/>
            <w:r w:rsidRPr="009273A7">
              <w:rPr>
                <w:rFonts w:eastAsia="Malgun Gothic"/>
                <w:b/>
                <w:lang w:eastAsia="ko-KR"/>
              </w:rPr>
              <w:t xml:space="preserve"> time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proofErr w:type="spellStart"/>
            <w:r w:rsidRPr="009273A7">
              <w:rPr>
                <w:rFonts w:eastAsia="Malgun Gothic"/>
                <w:b/>
                <w:lang w:eastAsia="ko-KR"/>
              </w:rPr>
              <w:t>dec</w:t>
            </w:r>
            <w:proofErr w:type="spellEnd"/>
            <w:r w:rsidRPr="009273A7">
              <w:rPr>
                <w:rFonts w:eastAsia="Malgun Gothic"/>
                <w:b/>
                <w:lang w:eastAsia="ko-KR"/>
              </w:rPr>
              <w:t xml:space="preserve"> time</w:t>
            </w:r>
          </w:p>
        </w:tc>
        <w:tc>
          <w:tcPr>
            <w:tcW w:w="1310" w:type="dxa"/>
            <w:shd w:val="clear" w:color="auto" w:fill="auto"/>
            <w:noWrap/>
            <w:hideMark/>
          </w:tcPr>
          <w:p w:rsidR="00722A3E" w:rsidRPr="009273A7" w:rsidRDefault="00722A3E" w:rsidP="00F1531A">
            <w:pPr>
              <w:jc w:val="center"/>
              <w:rPr>
                <w:rFonts w:eastAsia="Malgun Gothic"/>
                <w:b/>
                <w:lang w:eastAsia="ko-KR"/>
              </w:rPr>
            </w:pPr>
            <w:proofErr w:type="spellStart"/>
            <w:r w:rsidRPr="009273A7">
              <w:rPr>
                <w:rFonts w:eastAsia="Malgun Gothic"/>
                <w:b/>
                <w:lang w:eastAsia="ko-KR"/>
              </w:rPr>
              <w:t>ren</w:t>
            </w:r>
            <w:proofErr w:type="spellEnd"/>
            <w:r w:rsidRPr="009273A7">
              <w:rPr>
                <w:rFonts w:eastAsia="Malgun Gothic"/>
                <w:b/>
                <w:lang w:eastAsia="ko-KR"/>
              </w:rPr>
              <w:t xml:space="preserve"> time</w:t>
            </w:r>
          </w:p>
        </w:tc>
      </w:tr>
      <w:tr w:rsidR="005925D6" w:rsidRPr="009273A7" w:rsidTr="004A72B8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jc w:val="center"/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Balloons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95.8%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91.6%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99.0%</w:t>
            </w:r>
          </w:p>
        </w:tc>
      </w:tr>
      <w:tr w:rsidR="005925D6" w:rsidRPr="009273A7" w:rsidTr="004A72B8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jc w:val="center"/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Kendo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96.0%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98.8%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100.1%</w:t>
            </w:r>
          </w:p>
        </w:tc>
      </w:tr>
      <w:tr w:rsidR="005925D6" w:rsidRPr="009273A7" w:rsidTr="004A72B8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jc w:val="center"/>
              <w:rPr>
                <w:rFonts w:eastAsia="Malgun Gothic"/>
                <w:lang w:eastAsia="ko-KR"/>
              </w:rPr>
            </w:pPr>
            <w:proofErr w:type="spellStart"/>
            <w:r w:rsidRPr="009273A7">
              <w:rPr>
                <w:rFonts w:eastAsia="Malgun Gothic"/>
                <w:lang w:eastAsia="ko-KR"/>
              </w:rPr>
              <w:t>Newspapercc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97.5%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93.2%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98.6%</w:t>
            </w:r>
          </w:p>
        </w:tc>
      </w:tr>
      <w:tr w:rsidR="005925D6" w:rsidRPr="009273A7" w:rsidTr="004A72B8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jc w:val="center"/>
              <w:rPr>
                <w:rFonts w:eastAsia="Malgun Gothic"/>
                <w:lang w:eastAsia="ko-KR"/>
              </w:rPr>
            </w:pPr>
            <w:proofErr w:type="spellStart"/>
            <w:r w:rsidRPr="009273A7">
              <w:rPr>
                <w:rFonts w:eastAsia="Malgun Gothic"/>
                <w:lang w:eastAsia="ko-KR"/>
              </w:rPr>
              <w:t>GhostTownFly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97.0%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95.3%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94.6%</w:t>
            </w:r>
          </w:p>
        </w:tc>
      </w:tr>
      <w:tr w:rsidR="005925D6" w:rsidRPr="009273A7" w:rsidTr="004A72B8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jc w:val="center"/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PoznanHall2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96.4%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98.0%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97.4%</w:t>
            </w:r>
          </w:p>
        </w:tc>
      </w:tr>
      <w:tr w:rsidR="005925D6" w:rsidRPr="009273A7" w:rsidTr="004A72B8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jc w:val="center"/>
              <w:rPr>
                <w:rFonts w:eastAsia="Malgun Gothic"/>
                <w:lang w:eastAsia="ko-KR"/>
              </w:rPr>
            </w:pPr>
            <w:proofErr w:type="spellStart"/>
            <w:r w:rsidRPr="009273A7">
              <w:rPr>
                <w:rFonts w:eastAsia="Malgun Gothic"/>
                <w:lang w:eastAsia="ko-KR"/>
              </w:rPr>
              <w:t>PoznanStreet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97.1%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91.8%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96.2%</w:t>
            </w:r>
          </w:p>
        </w:tc>
      </w:tr>
      <w:tr w:rsidR="005925D6" w:rsidRPr="009273A7" w:rsidTr="004A72B8">
        <w:trPr>
          <w:trHeight w:val="330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jc w:val="center"/>
              <w:rPr>
                <w:rFonts w:eastAsia="Malgun Gothic"/>
                <w:lang w:eastAsia="ko-KR"/>
              </w:rPr>
            </w:pPr>
            <w:proofErr w:type="spellStart"/>
            <w:r w:rsidRPr="009273A7">
              <w:rPr>
                <w:rFonts w:eastAsia="Malgun Gothic"/>
                <w:lang w:eastAsia="ko-KR"/>
              </w:rPr>
              <w:t>UndoDancer</w:t>
            </w:r>
            <w:proofErr w:type="spellEnd"/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96.6%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94.0%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95.1%</w:t>
            </w:r>
          </w:p>
        </w:tc>
      </w:tr>
      <w:tr w:rsidR="005925D6" w:rsidRPr="009273A7" w:rsidTr="004A72B8">
        <w:trPr>
          <w:trHeight w:val="315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jc w:val="center"/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1024x768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96.4%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94.5%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99.3%</w:t>
            </w:r>
          </w:p>
        </w:tc>
      </w:tr>
      <w:tr w:rsidR="005925D6" w:rsidRPr="009273A7" w:rsidTr="004A72B8">
        <w:trPr>
          <w:trHeight w:val="330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273A7" w:rsidRDefault="005925D6" w:rsidP="00F1531A">
            <w:pPr>
              <w:jc w:val="center"/>
              <w:rPr>
                <w:rFonts w:eastAsia="Malgun Gothic"/>
                <w:lang w:eastAsia="ko-KR"/>
              </w:rPr>
            </w:pPr>
            <w:r w:rsidRPr="009273A7">
              <w:rPr>
                <w:rFonts w:eastAsia="Malgun Gothic"/>
                <w:lang w:eastAsia="ko-KR"/>
              </w:rPr>
              <w:t>1920x1088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96.8%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94.7%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3D5B28" w:rsidRDefault="005925D6" w:rsidP="005925D6">
            <w:pPr>
              <w:jc w:val="right"/>
            </w:pPr>
            <w:r w:rsidRPr="003D5B28">
              <w:t>95.8%</w:t>
            </w:r>
          </w:p>
        </w:tc>
      </w:tr>
      <w:tr w:rsidR="005925D6" w:rsidRPr="009860B9" w:rsidTr="004A72B8">
        <w:trPr>
          <w:trHeight w:val="330"/>
        </w:trPr>
        <w:tc>
          <w:tcPr>
            <w:tcW w:w="1549" w:type="dxa"/>
            <w:shd w:val="clear" w:color="auto" w:fill="auto"/>
            <w:noWrap/>
            <w:hideMark/>
          </w:tcPr>
          <w:p w:rsidR="005925D6" w:rsidRPr="009860B9" w:rsidRDefault="005925D6" w:rsidP="00F1531A">
            <w:pPr>
              <w:jc w:val="center"/>
              <w:rPr>
                <w:rFonts w:eastAsia="Malgun Gothic"/>
                <w:b/>
                <w:bCs/>
                <w:lang w:eastAsia="ko-KR"/>
              </w:rPr>
            </w:pPr>
            <w:r w:rsidRPr="009860B9">
              <w:rPr>
                <w:rFonts w:eastAsia="Malgun Gothic"/>
                <w:b/>
                <w:bCs/>
                <w:lang w:eastAsia="ko-KR"/>
              </w:rPr>
              <w:t>average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0.0%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96.6%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94.6%</w:t>
            </w:r>
          </w:p>
        </w:tc>
        <w:tc>
          <w:tcPr>
            <w:tcW w:w="1310" w:type="dxa"/>
            <w:shd w:val="clear" w:color="auto" w:fill="auto"/>
            <w:noWrap/>
          </w:tcPr>
          <w:p w:rsidR="005925D6" w:rsidRPr="005925D6" w:rsidRDefault="005925D6" w:rsidP="005925D6">
            <w:pPr>
              <w:jc w:val="right"/>
              <w:rPr>
                <w:b/>
              </w:rPr>
            </w:pPr>
            <w:r w:rsidRPr="005925D6">
              <w:rPr>
                <w:b/>
              </w:rPr>
              <w:t>97.3%</w:t>
            </w:r>
          </w:p>
        </w:tc>
      </w:tr>
    </w:tbl>
    <w:p w:rsidR="00722A3E" w:rsidRDefault="00722A3E" w:rsidP="00722A3E">
      <w:pPr>
        <w:rPr>
          <w:lang w:val="en-CA"/>
        </w:rPr>
      </w:pPr>
    </w:p>
    <w:p w:rsidR="0074499C" w:rsidRPr="00922325" w:rsidRDefault="0074499C" w:rsidP="0074499C">
      <w:pPr>
        <w:pStyle w:val="Heading1"/>
      </w:pPr>
      <w:r>
        <w:t>Conclusion</w:t>
      </w:r>
    </w:p>
    <w:p w:rsidR="0074499C" w:rsidRPr="00A8205A" w:rsidRDefault="0074499C" w:rsidP="0074499C">
      <w:pPr>
        <w:jc w:val="both"/>
      </w:pPr>
      <w:r>
        <w:t xml:space="preserve">Qualcomm provided the source code of their proposal for HTM-5.0.1 </w:t>
      </w:r>
      <w:r w:rsidRPr="0074499C">
        <w:t xml:space="preserve">together with a short explanation on how to enable and compile the proposed algorithm. </w:t>
      </w:r>
      <w:r w:rsidRPr="00A8205A">
        <w:t>All the modifications to the reference software were encapsulated in preprocessor statements for conditional compilation. Overall the implementation of the proposed algorithm is done in a clean and maintainable way and does not interfere with other coding tools.</w:t>
      </w:r>
    </w:p>
    <w:p w:rsidR="0074499C" w:rsidRDefault="0074499C" w:rsidP="0074499C">
      <w:pPr>
        <w:jc w:val="both"/>
        <w:rPr>
          <w:szCs w:val="22"/>
          <w:lang w:eastAsia="ko-KR"/>
        </w:rPr>
      </w:pPr>
      <w:r w:rsidRPr="00A8205A">
        <w:rPr>
          <w:rFonts w:eastAsia="Malgun Gothic" w:hint="eastAsia"/>
          <w:lang w:eastAsia="ko-KR"/>
        </w:rPr>
        <w:t>The cross check results were matched to those provided by the proponent.</w:t>
      </w:r>
      <w:r w:rsidRPr="00A8205A">
        <w:rPr>
          <w:rFonts w:eastAsia="Malgun Gothic"/>
          <w:lang w:eastAsia="ko-KR"/>
        </w:rPr>
        <w:t xml:space="preserve"> </w:t>
      </w:r>
      <w:r w:rsidRPr="00A8205A">
        <w:t xml:space="preserve">The complexity results differ slightly, </w:t>
      </w:r>
      <w:r w:rsidR="0045482B">
        <w:rPr>
          <w:szCs w:val="22"/>
          <w:lang w:eastAsia="ko-KR"/>
        </w:rPr>
        <w:t>which might by caused by</w:t>
      </w:r>
      <w:r w:rsidRPr="00A8205A">
        <w:rPr>
          <w:rFonts w:hint="eastAsia"/>
          <w:szCs w:val="22"/>
          <w:lang w:eastAsia="ko-KR"/>
        </w:rPr>
        <w:t xml:space="preserve"> different simulation environment</w:t>
      </w:r>
      <w:r w:rsidR="0045482B">
        <w:rPr>
          <w:szCs w:val="22"/>
          <w:lang w:eastAsia="ko-KR"/>
        </w:rPr>
        <w:t>s</w:t>
      </w:r>
      <w:r w:rsidRPr="00A8205A">
        <w:rPr>
          <w:rFonts w:hint="eastAsia"/>
          <w:szCs w:val="22"/>
          <w:lang w:eastAsia="ko-KR"/>
        </w:rPr>
        <w:t>.</w:t>
      </w:r>
      <w:bookmarkStart w:id="0" w:name="_GoBack"/>
      <w:bookmarkEnd w:id="0"/>
    </w:p>
    <w:p w:rsidR="0074499C" w:rsidRPr="0074499C" w:rsidRDefault="0074499C" w:rsidP="00722A3E"/>
    <w:p w:rsidR="007F1F8B" w:rsidRPr="005B217D" w:rsidRDefault="007F1F8B" w:rsidP="00722A3E">
      <w:pPr>
        <w:rPr>
          <w:szCs w:val="22"/>
          <w:lang w:val="en-CA"/>
        </w:rPr>
      </w:pPr>
    </w:p>
    <w:sectPr w:rsidR="007F1F8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8EC" w:rsidRDefault="004C68EC">
      <w:r>
        <w:separator/>
      </w:r>
    </w:p>
  </w:endnote>
  <w:endnote w:type="continuationSeparator" w:id="0">
    <w:p w:rsidR="004C68EC" w:rsidRDefault="004C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5482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925D6">
      <w:rPr>
        <w:rStyle w:val="PageNumber"/>
        <w:noProof/>
      </w:rPr>
      <w:t>2013-01-14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8EC" w:rsidRDefault="004C68EC">
      <w:r>
        <w:separator/>
      </w:r>
    </w:p>
  </w:footnote>
  <w:footnote w:type="continuationSeparator" w:id="0">
    <w:p w:rsidR="004C68EC" w:rsidRDefault="004C6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064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072D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3551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5482B"/>
    <w:rsid w:val="004A2A63"/>
    <w:rsid w:val="004B210C"/>
    <w:rsid w:val="004C68E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25D6"/>
    <w:rsid w:val="005952A5"/>
    <w:rsid w:val="005A33A1"/>
    <w:rsid w:val="005B217D"/>
    <w:rsid w:val="005C385F"/>
    <w:rsid w:val="005E1AC6"/>
    <w:rsid w:val="005F6F1B"/>
    <w:rsid w:val="00610D43"/>
    <w:rsid w:val="00624B33"/>
    <w:rsid w:val="00630AA2"/>
    <w:rsid w:val="00642C26"/>
    <w:rsid w:val="00646707"/>
    <w:rsid w:val="00662E58"/>
    <w:rsid w:val="00664DCF"/>
    <w:rsid w:val="006C5D39"/>
    <w:rsid w:val="006E2810"/>
    <w:rsid w:val="006E5417"/>
    <w:rsid w:val="00712F60"/>
    <w:rsid w:val="00720E3B"/>
    <w:rsid w:val="00722A3E"/>
    <w:rsid w:val="0074499C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206C8"/>
    <w:rsid w:val="00874A6C"/>
    <w:rsid w:val="008759E8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860B9"/>
    <w:rsid w:val="0099518F"/>
    <w:rsid w:val="009A523D"/>
    <w:rsid w:val="009D5755"/>
    <w:rsid w:val="009F496B"/>
    <w:rsid w:val="009F7338"/>
    <w:rsid w:val="00A01439"/>
    <w:rsid w:val="00A02E61"/>
    <w:rsid w:val="00A05CFF"/>
    <w:rsid w:val="00A2758E"/>
    <w:rsid w:val="00A56B97"/>
    <w:rsid w:val="00A6093D"/>
    <w:rsid w:val="00A76A6D"/>
    <w:rsid w:val="00A8205A"/>
    <w:rsid w:val="00A83253"/>
    <w:rsid w:val="00AA6E84"/>
    <w:rsid w:val="00AB2494"/>
    <w:rsid w:val="00AE341B"/>
    <w:rsid w:val="00B07CA7"/>
    <w:rsid w:val="00B1279A"/>
    <w:rsid w:val="00B5222E"/>
    <w:rsid w:val="00B61C96"/>
    <w:rsid w:val="00B73A2A"/>
    <w:rsid w:val="00B74ABA"/>
    <w:rsid w:val="00B94B06"/>
    <w:rsid w:val="00B94C28"/>
    <w:rsid w:val="00BC10BA"/>
    <w:rsid w:val="00BC5AFD"/>
    <w:rsid w:val="00C04F43"/>
    <w:rsid w:val="00C0609D"/>
    <w:rsid w:val="00C115AB"/>
    <w:rsid w:val="00C272FD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E0A4C"/>
    <w:rsid w:val="00CF34DB"/>
    <w:rsid w:val="00CF558F"/>
    <w:rsid w:val="00D073E2"/>
    <w:rsid w:val="00D21C41"/>
    <w:rsid w:val="00D446EC"/>
    <w:rsid w:val="00D51BF0"/>
    <w:rsid w:val="00D55942"/>
    <w:rsid w:val="00D807BF"/>
    <w:rsid w:val="00DA7887"/>
    <w:rsid w:val="00DB2C26"/>
    <w:rsid w:val="00DE6B43"/>
    <w:rsid w:val="00E11923"/>
    <w:rsid w:val="00E21F20"/>
    <w:rsid w:val="00E262D4"/>
    <w:rsid w:val="00E36250"/>
    <w:rsid w:val="00E463CF"/>
    <w:rsid w:val="00E54511"/>
    <w:rsid w:val="00E61DAC"/>
    <w:rsid w:val="00E72B80"/>
    <w:rsid w:val="00E75FE3"/>
    <w:rsid w:val="00E86C4C"/>
    <w:rsid w:val="00EA6089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2990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Philipp Merkle</cp:lastModifiedBy>
  <cp:revision>9</cp:revision>
  <cp:lastPrinted>1900-12-31T23:00:00Z</cp:lastPrinted>
  <dcterms:created xsi:type="dcterms:W3CDTF">2013-01-14T15:41:00Z</dcterms:created>
  <dcterms:modified xsi:type="dcterms:W3CDTF">2013-01-15T16:45:00Z</dcterms:modified>
</cp:coreProperties>
</file>