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E06E2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06E2F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4877A4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3rd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Geneva, CH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17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4E270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8B399D">
              <w:rPr>
                <w:rFonts w:hint="eastAsia"/>
                <w:u w:val="single"/>
                <w:lang w:val="en-CA" w:eastAsia="zh-CN"/>
              </w:rPr>
              <w:t>C</w:t>
            </w:r>
            <w:r w:rsidR="004E270B">
              <w:rPr>
                <w:rFonts w:hint="eastAsia"/>
                <w:u w:val="single"/>
                <w:lang w:val="en-CA" w:eastAsia="zh-CN"/>
              </w:rPr>
              <w:t>0042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_Hlk345570353"/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72450A" w:rsidP="00BC5D6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zh-CN"/>
              </w:rPr>
              <w:t xml:space="preserve">CE6.h related: Modified </w:t>
            </w:r>
            <w:r w:rsidR="00E07370">
              <w:rPr>
                <w:rFonts w:hint="eastAsia"/>
                <w:b/>
                <w:szCs w:val="22"/>
                <w:lang w:val="en-CA" w:eastAsia="zh-CN"/>
              </w:rPr>
              <w:t xml:space="preserve">Index </w:t>
            </w:r>
            <w:r>
              <w:rPr>
                <w:rFonts w:hint="eastAsia"/>
                <w:b/>
                <w:szCs w:val="22"/>
                <w:lang w:val="en-CA" w:eastAsia="zh-CN"/>
              </w:rPr>
              <w:t>Assignment</w:t>
            </w:r>
            <w:r w:rsidR="00E07370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4A082F">
              <w:rPr>
                <w:rFonts w:hint="eastAsia"/>
                <w:b/>
                <w:szCs w:val="22"/>
                <w:lang w:val="en-CA" w:eastAsia="zh-CN"/>
              </w:rPr>
              <w:t xml:space="preserve">of Depth </w:t>
            </w:r>
            <w:r w:rsidR="00BC5D6A">
              <w:rPr>
                <w:rFonts w:hint="eastAsia"/>
                <w:b/>
                <w:szCs w:val="22"/>
                <w:lang w:val="en-CA" w:eastAsia="zh-CN"/>
              </w:rPr>
              <w:t xml:space="preserve">Intra </w:t>
            </w:r>
            <w:r w:rsidR="004A082F">
              <w:rPr>
                <w:rFonts w:hint="eastAsia"/>
                <w:b/>
                <w:szCs w:val="22"/>
                <w:lang w:val="en-CA" w:eastAsia="zh-CN"/>
              </w:rPr>
              <w:t xml:space="preserve">Modes </w:t>
            </w:r>
            <w:r w:rsidR="00E07370">
              <w:rPr>
                <w:rFonts w:hint="eastAsia"/>
                <w:b/>
                <w:szCs w:val="22"/>
                <w:lang w:val="en-CA" w:eastAsia="zh-CN"/>
              </w:rPr>
              <w:t>in Simplified Depth Coding</w:t>
            </w:r>
          </w:p>
        </w:tc>
      </w:tr>
      <w:bookmarkEnd w:id="0"/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Hongbin Liu (</w:t>
            </w:r>
            <w:hyperlink r:id="rId9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Jie Jia (</w:t>
            </w:r>
            <w:hyperlink r:id="rId10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jie.jia@lge.com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901922" w:rsidRPr="000C7FB7" w:rsidRDefault="00901922" w:rsidP="00562C15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 w:rsidP="00063598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9E35E7" w:rsidRDefault="003C5EA6" w:rsidP="009C5CB3">
      <w:pPr>
        <w:spacing w:line="360" w:lineRule="auto"/>
        <w:jc w:val="both"/>
        <w:rPr>
          <w:lang w:val="en-GB" w:eastAsia="zh-CN"/>
        </w:rPr>
      </w:pPr>
      <w:r w:rsidRPr="005112F7">
        <w:rPr>
          <w:rFonts w:hint="eastAsia"/>
          <w:lang w:val="en-GB" w:eastAsia="ja-JP"/>
        </w:rPr>
        <w:t xml:space="preserve">This contribution </w:t>
      </w:r>
      <w:r w:rsidR="009E35E7">
        <w:rPr>
          <w:rFonts w:hint="eastAsia"/>
          <w:lang w:val="en-GB" w:eastAsia="zh-CN"/>
        </w:rPr>
        <w:t xml:space="preserve">proposes to swap </w:t>
      </w:r>
      <w:r w:rsidR="00CD14C8">
        <w:rPr>
          <w:rFonts w:hint="eastAsia"/>
          <w:lang w:val="en-GB" w:eastAsia="zh-CN"/>
        </w:rPr>
        <w:t xml:space="preserve">binary </w:t>
      </w:r>
      <w:r w:rsidR="009E35E7">
        <w:rPr>
          <w:rFonts w:hint="eastAsia"/>
          <w:lang w:val="en-GB" w:eastAsia="zh-CN"/>
        </w:rPr>
        <w:t>index of DC mode and Planar mode in SDC</w:t>
      </w:r>
      <w:r w:rsidR="00FB5B3B">
        <w:rPr>
          <w:rFonts w:hint="eastAsia"/>
          <w:lang w:val="en-GB" w:eastAsia="zh-CN"/>
        </w:rPr>
        <w:t xml:space="preserve"> mode</w:t>
      </w:r>
      <w:r w:rsidR="00D26AE2">
        <w:rPr>
          <w:rFonts w:hint="eastAsia"/>
          <w:lang w:val="en-GB" w:eastAsia="zh-CN"/>
        </w:rPr>
        <w:t>.</w:t>
      </w:r>
      <w:r w:rsidR="00712D7D">
        <w:rPr>
          <w:rFonts w:hint="eastAsia"/>
          <w:lang w:val="en-GB" w:eastAsia="zh-CN"/>
        </w:rPr>
        <w:t xml:space="preserve"> </w:t>
      </w:r>
      <w:r w:rsidR="000B645C">
        <w:rPr>
          <w:rFonts w:hint="eastAsia"/>
          <w:lang w:val="en-GB" w:eastAsia="zh-CN"/>
        </w:rPr>
        <w:t xml:space="preserve">In </w:t>
      </w:r>
      <w:r w:rsidR="009E35E7">
        <w:rPr>
          <w:rFonts w:hint="eastAsia"/>
          <w:lang w:val="en-GB" w:eastAsia="zh-CN"/>
        </w:rPr>
        <w:t>SDC mode, shortest index is assigned to DC mode while longest index is assigned to Planar mode</w:t>
      </w:r>
      <w:r w:rsidR="0051353E">
        <w:rPr>
          <w:rFonts w:hint="eastAsia"/>
          <w:lang w:val="en-GB" w:eastAsia="zh-CN"/>
        </w:rPr>
        <w:t>.</w:t>
      </w:r>
      <w:r w:rsidR="009E35E7">
        <w:rPr>
          <w:rFonts w:hint="eastAsia"/>
          <w:lang w:val="en-GB" w:eastAsia="zh-CN"/>
        </w:rPr>
        <w:t xml:space="preserve"> However, Planar mode is the most probable mode according to the statistics result. </w:t>
      </w:r>
      <w:r w:rsidR="009E35E7">
        <w:rPr>
          <w:lang w:val="en-GB" w:eastAsia="zh-CN"/>
        </w:rPr>
        <w:t>T</w:t>
      </w:r>
      <w:r w:rsidR="009E35E7">
        <w:rPr>
          <w:rFonts w:hint="eastAsia"/>
          <w:lang w:val="en-GB" w:eastAsia="zh-CN"/>
        </w:rPr>
        <w:t>his contribution propose</w:t>
      </w:r>
      <w:r w:rsidR="007717F3">
        <w:rPr>
          <w:rFonts w:hint="eastAsia"/>
          <w:lang w:val="en-GB" w:eastAsia="zh-CN"/>
        </w:rPr>
        <w:t>s</w:t>
      </w:r>
      <w:r w:rsidR="009E35E7">
        <w:rPr>
          <w:rFonts w:hint="eastAsia"/>
          <w:lang w:val="en-GB" w:eastAsia="zh-CN"/>
        </w:rPr>
        <w:t xml:space="preserve"> to assign shortest index to Planar mode</w:t>
      </w:r>
      <w:r w:rsidR="00377868">
        <w:rPr>
          <w:rFonts w:hint="eastAsia"/>
          <w:lang w:val="en-GB" w:eastAsia="zh-CN"/>
        </w:rPr>
        <w:t xml:space="preserve"> in order</w:t>
      </w:r>
      <w:r w:rsidR="007717F3">
        <w:rPr>
          <w:rFonts w:hint="eastAsia"/>
          <w:lang w:val="en-GB" w:eastAsia="zh-CN"/>
        </w:rPr>
        <w:t xml:space="preserve"> to</w:t>
      </w:r>
      <w:r w:rsidR="009E35E7">
        <w:rPr>
          <w:rFonts w:hint="eastAsia"/>
          <w:lang w:val="en-GB" w:eastAsia="zh-CN"/>
        </w:rPr>
        <w:t xml:space="preserve"> reduce the bits </w:t>
      </w:r>
      <w:r w:rsidR="007717F3">
        <w:rPr>
          <w:rFonts w:hint="eastAsia"/>
          <w:lang w:val="en-GB" w:eastAsia="zh-CN"/>
        </w:rPr>
        <w:t>spent on</w:t>
      </w:r>
      <w:r w:rsidR="009E35E7">
        <w:rPr>
          <w:rFonts w:hint="eastAsia"/>
          <w:lang w:val="en-GB" w:eastAsia="zh-CN"/>
        </w:rPr>
        <w:t xml:space="preserve"> index.</w:t>
      </w:r>
    </w:p>
    <w:p w:rsidR="003C5EA6" w:rsidRPr="006C1920" w:rsidRDefault="00E757DE" w:rsidP="009C5CB3">
      <w:pPr>
        <w:spacing w:line="360" w:lineRule="auto"/>
        <w:ind w:firstLineChars="100" w:firstLine="220"/>
        <w:jc w:val="both"/>
        <w:rPr>
          <w:lang w:val="en-GB" w:eastAsia="zh-CN"/>
        </w:rPr>
      </w:pPr>
      <w:r>
        <w:rPr>
          <w:lang w:val="en-GB" w:eastAsia="zh-CN"/>
        </w:rPr>
        <w:t>I</w:t>
      </w:r>
      <w:r>
        <w:rPr>
          <w:rFonts w:hint="eastAsia"/>
          <w:lang w:val="en-GB" w:eastAsia="zh-CN"/>
        </w:rPr>
        <w:t xml:space="preserve">t is reported that </w:t>
      </w:r>
      <w:r w:rsidR="00DF45C3">
        <w:rPr>
          <w:rFonts w:hint="eastAsia"/>
          <w:lang w:val="en-GB" w:eastAsia="zh-CN"/>
        </w:rPr>
        <w:t>there is</w:t>
      </w:r>
      <w:r>
        <w:rPr>
          <w:rFonts w:hint="eastAsia"/>
          <w:lang w:val="en-GB" w:eastAsia="zh-CN"/>
        </w:rPr>
        <w:t xml:space="preserve"> </w:t>
      </w:r>
      <w:r w:rsidR="00526623">
        <w:rPr>
          <w:rFonts w:hint="eastAsia"/>
          <w:lang w:val="en-GB" w:eastAsia="zh-CN"/>
        </w:rPr>
        <w:t>-</w:t>
      </w:r>
      <w:r w:rsidR="00377868">
        <w:rPr>
          <w:rFonts w:hint="eastAsia"/>
          <w:lang w:val="en-GB" w:eastAsia="zh-CN"/>
        </w:rPr>
        <w:t>0.1</w:t>
      </w:r>
      <w:r w:rsidR="00526623">
        <w:rPr>
          <w:rFonts w:hint="eastAsia"/>
          <w:lang w:val="en-GB" w:eastAsia="zh-CN"/>
        </w:rPr>
        <w:t>%</w:t>
      </w:r>
      <w:r w:rsidR="00DF45C3">
        <w:rPr>
          <w:rFonts w:hint="eastAsia"/>
          <w:lang w:val="en-GB" w:eastAsia="zh-CN"/>
        </w:rPr>
        <w:t xml:space="preserve"> </w:t>
      </w:r>
      <w:r w:rsidR="004A082F">
        <w:rPr>
          <w:rFonts w:hint="eastAsia"/>
          <w:lang w:val="en-GB" w:eastAsia="zh-CN"/>
        </w:rPr>
        <w:t xml:space="preserve">overall </w:t>
      </w:r>
      <w:r w:rsidR="00DF45C3">
        <w:rPr>
          <w:rFonts w:hint="eastAsia"/>
          <w:lang w:val="en-GB" w:eastAsia="zh-CN"/>
        </w:rPr>
        <w:t xml:space="preserve">gain </w:t>
      </w:r>
      <w:r w:rsidR="00FF69E7">
        <w:rPr>
          <w:rFonts w:hint="eastAsia"/>
          <w:lang w:val="en-GB" w:eastAsia="zh-CN"/>
        </w:rPr>
        <w:t xml:space="preserve">for </w:t>
      </w:r>
      <w:r w:rsidR="00377868">
        <w:rPr>
          <w:rFonts w:hint="eastAsia"/>
          <w:lang w:val="en-GB" w:eastAsia="zh-CN"/>
        </w:rPr>
        <w:t>3</w:t>
      </w:r>
      <w:r w:rsidR="00FF69E7">
        <w:rPr>
          <w:rFonts w:hint="eastAsia"/>
          <w:lang w:val="en-GB" w:eastAsia="zh-CN"/>
        </w:rPr>
        <w:t xml:space="preserve"> sequences </w:t>
      </w:r>
      <w:r w:rsidR="00FF69E7">
        <w:rPr>
          <w:lang w:val="en-GB" w:eastAsia="zh-CN"/>
        </w:rPr>
        <w:t>in CTC</w:t>
      </w:r>
      <w:r w:rsidR="00FF69E7">
        <w:rPr>
          <w:rFonts w:hint="eastAsia"/>
          <w:lang w:val="en-GB" w:eastAsia="zh-CN"/>
        </w:rPr>
        <w:t xml:space="preserve">. There is no overall coding gain in all intra case, however, proposed method can improve the coding efficiency of depth consistently </w:t>
      </w:r>
      <w:r w:rsidR="004A082F">
        <w:rPr>
          <w:rFonts w:hint="eastAsia"/>
          <w:lang w:val="en-GB" w:eastAsia="zh-CN"/>
        </w:rPr>
        <w:t xml:space="preserve">for all sequences </w:t>
      </w:r>
      <w:r w:rsidR="00FF69E7">
        <w:rPr>
          <w:rFonts w:hint="eastAsia"/>
          <w:lang w:val="en-GB" w:eastAsia="zh-CN"/>
        </w:rPr>
        <w:t xml:space="preserve">and there is </w:t>
      </w:r>
      <w:r w:rsidR="00323186">
        <w:rPr>
          <w:rFonts w:hint="eastAsia"/>
          <w:lang w:eastAsia="zh-CN"/>
        </w:rPr>
        <w:t>-0.9%, -0.8% and -0.6%</w:t>
      </w:r>
      <w:r w:rsidR="00C238BF">
        <w:rPr>
          <w:rFonts w:hint="eastAsia"/>
          <w:lang w:eastAsia="zh-CN"/>
        </w:rPr>
        <w:t xml:space="preserve"> </w:t>
      </w:r>
      <w:r w:rsidR="00F96C54">
        <w:rPr>
          <w:rFonts w:hint="eastAsia"/>
          <w:lang w:eastAsia="zh-CN"/>
        </w:rPr>
        <w:t xml:space="preserve">coding </w:t>
      </w:r>
      <w:r w:rsidR="00C238BF">
        <w:rPr>
          <w:rFonts w:hint="eastAsia"/>
          <w:lang w:eastAsia="zh-CN"/>
        </w:rPr>
        <w:t>gain</w:t>
      </w:r>
      <w:r w:rsidR="00323186">
        <w:rPr>
          <w:rFonts w:hint="eastAsia"/>
          <w:lang w:eastAsia="zh-CN"/>
        </w:rPr>
        <w:t xml:space="preserve"> on depth 0, depth 1 and depth 2 respectively</w:t>
      </w:r>
      <w:r>
        <w:rPr>
          <w:rFonts w:hint="eastAsia"/>
          <w:lang w:val="en-GB" w:eastAsia="zh-CN"/>
        </w:rPr>
        <w:t>.</w:t>
      </w:r>
      <w:r w:rsidR="00642E48">
        <w:rPr>
          <w:rFonts w:hint="eastAsia"/>
          <w:lang w:val="en-GB" w:eastAsia="zh-CN"/>
        </w:rPr>
        <w:t xml:space="preserve"> </w:t>
      </w:r>
    </w:p>
    <w:p w:rsidR="00E773AE" w:rsidRDefault="00E744D3" w:rsidP="00E773AE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>Background</w:t>
      </w:r>
      <w:r w:rsidR="00E773AE">
        <w:rPr>
          <w:rFonts w:hint="eastAsia"/>
          <w:lang w:eastAsia="zh-CN"/>
        </w:rPr>
        <w:t xml:space="preserve"> </w:t>
      </w:r>
    </w:p>
    <w:p w:rsidR="006247EB" w:rsidRDefault="00A8408F" w:rsidP="005F3867">
      <w:pPr>
        <w:pStyle w:val="ac"/>
        <w:spacing w:line="360" w:lineRule="auto"/>
        <w:ind w:firstLineChars="100" w:firstLine="220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SDC includes four coding modes: DC, DMM1, DMM2 and Planar. </w:t>
      </w:r>
      <w:r w:rsidR="002C23A8">
        <w:rPr>
          <w:rFonts w:eastAsia="宋体" w:hint="eastAsia"/>
          <w:lang w:eastAsia="zh-CN"/>
        </w:rPr>
        <w:t>B</w:t>
      </w:r>
      <w:r w:rsidR="00B95E13">
        <w:rPr>
          <w:rFonts w:eastAsia="宋体" w:hint="eastAsia"/>
          <w:lang w:eastAsia="zh-CN"/>
        </w:rPr>
        <w:t xml:space="preserve">inary </w:t>
      </w:r>
      <w:r>
        <w:rPr>
          <w:rFonts w:eastAsia="宋体" w:hint="eastAsia"/>
          <w:lang w:eastAsia="zh-CN"/>
        </w:rPr>
        <w:t>index of these four modes is shown in Table 1</w:t>
      </w:r>
      <w:r w:rsidR="00986E33">
        <w:rPr>
          <w:rFonts w:eastAsia="宋体" w:hint="eastAsia"/>
          <w:lang w:eastAsia="zh-CN"/>
        </w:rPr>
        <w:t xml:space="preserve"> [1]</w:t>
      </w:r>
      <w:r>
        <w:rPr>
          <w:rFonts w:eastAsia="宋体" w:hint="eastAsia"/>
          <w:lang w:eastAsia="zh-CN"/>
        </w:rPr>
        <w:t>.</w:t>
      </w:r>
      <w:r w:rsidR="00A13EF2">
        <w:rPr>
          <w:rFonts w:eastAsia="宋体" w:hint="eastAsia"/>
          <w:lang w:eastAsia="zh-CN"/>
        </w:rPr>
        <w:t xml:space="preserve"> </w:t>
      </w:r>
      <w:r w:rsidR="00B347DF">
        <w:rPr>
          <w:rFonts w:eastAsia="宋体" w:hint="eastAsia"/>
          <w:lang w:eastAsia="zh-CN"/>
        </w:rPr>
        <w:t>As can be seen,</w:t>
      </w:r>
      <w:r w:rsidR="00D246C9">
        <w:rPr>
          <w:rFonts w:eastAsia="宋体" w:hint="eastAsia"/>
          <w:lang w:eastAsia="zh-CN"/>
        </w:rPr>
        <w:t xml:space="preserve"> shortest index </w:t>
      </w:r>
      <w:r w:rsidR="00B347DF">
        <w:rPr>
          <w:rFonts w:eastAsia="宋体" w:hint="eastAsia"/>
          <w:lang w:eastAsia="zh-CN"/>
        </w:rPr>
        <w:t xml:space="preserve">is assigned </w:t>
      </w:r>
      <w:r w:rsidR="00D246C9">
        <w:rPr>
          <w:rFonts w:eastAsia="宋体" w:hint="eastAsia"/>
          <w:lang w:eastAsia="zh-CN"/>
        </w:rPr>
        <w:t>to</w:t>
      </w:r>
      <w:r w:rsidR="00A13EF2">
        <w:rPr>
          <w:rFonts w:eastAsia="宋体" w:hint="eastAsia"/>
          <w:lang w:eastAsia="zh-CN"/>
        </w:rPr>
        <w:t xml:space="preserve"> DC mode </w:t>
      </w:r>
      <w:r w:rsidR="00D246C9">
        <w:rPr>
          <w:rFonts w:eastAsia="宋体" w:hint="eastAsia"/>
          <w:lang w:eastAsia="zh-CN"/>
        </w:rPr>
        <w:t xml:space="preserve">and longest index </w:t>
      </w:r>
      <w:r w:rsidR="00B347DF">
        <w:rPr>
          <w:rFonts w:eastAsia="宋体" w:hint="eastAsia"/>
          <w:lang w:eastAsia="zh-CN"/>
        </w:rPr>
        <w:t xml:space="preserve">is assigned </w:t>
      </w:r>
      <w:r w:rsidR="00D246C9">
        <w:rPr>
          <w:rFonts w:eastAsia="宋体" w:hint="eastAsia"/>
          <w:lang w:eastAsia="zh-CN"/>
        </w:rPr>
        <w:t>to Planar mode</w:t>
      </w:r>
      <w:r w:rsidR="00B347DF">
        <w:rPr>
          <w:rFonts w:eastAsia="宋体" w:hint="eastAsia"/>
          <w:lang w:eastAsia="zh-CN"/>
        </w:rPr>
        <w:t xml:space="preserve">. This is reasonable </w:t>
      </w:r>
      <w:r w:rsidR="00D246C9">
        <w:rPr>
          <w:rFonts w:eastAsia="宋体" w:hint="eastAsia"/>
          <w:lang w:eastAsia="zh-CN"/>
        </w:rPr>
        <w:t xml:space="preserve">when DC mode </w:t>
      </w:r>
      <w:r w:rsidR="00A13EF2">
        <w:rPr>
          <w:rFonts w:eastAsia="宋体" w:hint="eastAsia"/>
          <w:lang w:eastAsia="zh-CN"/>
        </w:rPr>
        <w:t xml:space="preserve">is the most probable mode </w:t>
      </w:r>
      <w:r w:rsidR="00D246C9">
        <w:rPr>
          <w:rFonts w:eastAsia="宋体" w:hint="eastAsia"/>
          <w:lang w:eastAsia="zh-CN"/>
        </w:rPr>
        <w:t>and</w:t>
      </w:r>
      <w:r w:rsidR="00A13EF2">
        <w:rPr>
          <w:rFonts w:eastAsia="宋体" w:hint="eastAsia"/>
          <w:lang w:eastAsia="zh-CN"/>
        </w:rPr>
        <w:t xml:space="preserve"> Planar is the least probable mode.</w:t>
      </w:r>
      <w:r w:rsidR="00D246C9">
        <w:rPr>
          <w:rFonts w:eastAsia="宋体" w:hint="eastAsia"/>
          <w:lang w:eastAsia="zh-CN"/>
        </w:rPr>
        <w:t xml:space="preserve"> However, </w:t>
      </w:r>
      <w:r w:rsidR="005206C6">
        <w:rPr>
          <w:rFonts w:eastAsia="宋体" w:hint="eastAsia"/>
          <w:lang w:eastAsia="zh-CN"/>
        </w:rPr>
        <w:t xml:space="preserve">as shown in the following statistics results, </w:t>
      </w:r>
      <w:r w:rsidR="00D246C9">
        <w:rPr>
          <w:rFonts w:eastAsia="宋体" w:hint="eastAsia"/>
          <w:lang w:eastAsia="zh-CN"/>
        </w:rPr>
        <w:t>Planar mode is the most probable mode</w:t>
      </w:r>
      <w:r w:rsidR="00A502AC">
        <w:rPr>
          <w:rFonts w:eastAsia="宋体" w:hint="eastAsia"/>
          <w:lang w:eastAsia="zh-CN"/>
        </w:rPr>
        <w:t xml:space="preserve"> while DC mode is one of the least most probable modes</w:t>
      </w:r>
      <w:r w:rsidR="00D246C9">
        <w:rPr>
          <w:rFonts w:eastAsia="宋体" w:hint="eastAsia"/>
          <w:lang w:eastAsia="zh-CN"/>
        </w:rPr>
        <w:t>.</w:t>
      </w:r>
    </w:p>
    <w:p w:rsidR="0097661A" w:rsidRPr="00154BE2" w:rsidRDefault="0097661A" w:rsidP="0097661A">
      <w:pPr>
        <w:keepNext/>
        <w:spacing w:before="240" w:after="113"/>
        <w:jc w:val="center"/>
        <w:rPr>
          <w:rFonts w:eastAsia="Malgun Gothic"/>
          <w:b/>
          <w:bCs/>
          <w:sz w:val="20"/>
          <w:lang w:val="en-GB"/>
        </w:rPr>
      </w:pPr>
      <w:bookmarkStart w:id="1" w:name="_Ref342859264"/>
      <w:bookmarkStart w:id="2" w:name="_Toc344063354"/>
      <w:r w:rsidRPr="00154BE2">
        <w:rPr>
          <w:rFonts w:eastAsia="Malgun Gothic"/>
          <w:b/>
          <w:bCs/>
          <w:sz w:val="20"/>
        </w:rPr>
        <w:t>Table </w:t>
      </w:r>
      <w:bookmarkEnd w:id="1"/>
      <w:r>
        <w:rPr>
          <w:rFonts w:eastAsiaTheme="minorEastAsia" w:hint="eastAsia"/>
          <w:b/>
          <w:bCs/>
          <w:sz w:val="20"/>
          <w:lang w:eastAsia="zh-CN"/>
        </w:rPr>
        <w:t>1</w:t>
      </w:r>
      <w:r w:rsidRPr="00154BE2">
        <w:rPr>
          <w:rFonts w:eastAsia="Malgun Gothic"/>
          <w:b/>
          <w:bCs/>
          <w:sz w:val="20"/>
          <w:lang w:eastAsia="ko-KR"/>
        </w:rPr>
        <w:t xml:space="preserve"> </w:t>
      </w:r>
      <w:r w:rsidRPr="00154BE2">
        <w:rPr>
          <w:rFonts w:eastAsia="Malgun Gothic"/>
          <w:b/>
          <w:bCs/>
          <w:sz w:val="20"/>
        </w:rPr>
        <w:t xml:space="preserve">– </w:t>
      </w:r>
      <w:bookmarkEnd w:id="2"/>
      <w:r w:rsidR="00C038F2">
        <w:rPr>
          <w:rFonts w:eastAsiaTheme="minorEastAsia" w:hint="eastAsia"/>
          <w:b/>
          <w:bCs/>
          <w:sz w:val="20"/>
          <w:lang w:val="en-GB" w:eastAsia="zh-CN"/>
        </w:rPr>
        <w:t>Binary Index of Different Modes</w:t>
      </w:r>
      <w:r w:rsidRPr="00154BE2">
        <w:rPr>
          <w:rFonts w:eastAsia="Malgun Gothic"/>
          <w:b/>
          <w:bCs/>
          <w:sz w:val="20"/>
          <w:lang w:val="en-GB"/>
        </w:rPr>
        <w:t xml:space="preserve"> 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2573"/>
        <w:gridCol w:w="2573"/>
      </w:tblGrid>
      <w:tr w:rsidR="007C1395" w:rsidRPr="00154BE2" w:rsidTr="007C1395">
        <w:trPr>
          <w:cantSplit/>
          <w:trHeight w:val="305"/>
          <w:jc w:val="center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395" w:rsidRPr="0097661A" w:rsidRDefault="007C1395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 w:rsidRPr="0097661A">
              <w:rPr>
                <w:rFonts w:eastAsia="Malgun Gothic"/>
                <w:sz w:val="20"/>
                <w:lang w:val="en-GB"/>
              </w:rPr>
              <w:t>Associated Intra Prediction Mode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395" w:rsidRPr="00C038F2" w:rsidRDefault="00C038F2" w:rsidP="005837ED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Theme="minorEastAsia"/>
                <w:sz w:val="20"/>
                <w:lang w:val="en-GB" w:eastAsia="zh-CN"/>
              </w:rPr>
            </w:pPr>
            <w:r>
              <w:rPr>
                <w:rFonts w:eastAsiaTheme="minorEastAsia" w:hint="eastAsia"/>
                <w:b/>
                <w:sz w:val="20"/>
                <w:lang w:val="en-GB" w:eastAsia="zh-CN"/>
              </w:rPr>
              <w:t>Binary Index</w:t>
            </w:r>
          </w:p>
        </w:tc>
      </w:tr>
      <w:tr w:rsidR="007C1395" w:rsidRPr="00154BE2" w:rsidTr="007C1395">
        <w:trPr>
          <w:cantSplit/>
          <w:trHeight w:val="292"/>
          <w:jc w:val="center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395" w:rsidRPr="0097661A" w:rsidRDefault="007C1395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 w:rsidRPr="0097661A">
              <w:rPr>
                <w:rFonts w:eastAsia="Malgun Gothic"/>
                <w:sz w:val="20"/>
                <w:lang w:val="en-GB" w:eastAsia="ko-KR"/>
              </w:rPr>
              <w:t>Intra_DC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395" w:rsidRPr="00AC0C0A" w:rsidRDefault="00AC0C0A" w:rsidP="005837ED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Theme="minorEastAsia"/>
                <w:sz w:val="20"/>
                <w:lang w:val="en-GB" w:eastAsia="zh-CN"/>
              </w:rPr>
            </w:pPr>
            <w:r>
              <w:rPr>
                <w:rFonts w:eastAsiaTheme="minorEastAsia" w:hint="eastAsia"/>
                <w:sz w:val="20"/>
                <w:lang w:val="en-GB" w:eastAsia="zh-CN"/>
              </w:rPr>
              <w:t>1</w:t>
            </w:r>
          </w:p>
        </w:tc>
      </w:tr>
      <w:tr w:rsidR="007C1395" w:rsidRPr="00154BE2" w:rsidTr="007C1395">
        <w:trPr>
          <w:cantSplit/>
          <w:trHeight w:val="305"/>
          <w:jc w:val="center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395" w:rsidRPr="0097661A" w:rsidRDefault="007C1395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 w:rsidRPr="0097661A">
              <w:rPr>
                <w:rFonts w:eastAsia="Malgun Gothic"/>
                <w:sz w:val="20"/>
                <w:lang w:val="en-GB" w:eastAsia="ko-KR"/>
              </w:rPr>
              <w:t>Intra_DepthPartition( 35 )</w:t>
            </w:r>
            <w:r w:rsidRPr="0097661A" w:rsidDel="00381822">
              <w:rPr>
                <w:rFonts w:eastAsia="Malgun Gothic"/>
                <w:sz w:val="20"/>
                <w:lang w:val="en-GB" w:eastAsia="ko-KR"/>
              </w:rPr>
              <w:t xml:space="preserve"> 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395" w:rsidRPr="00AC0C0A" w:rsidRDefault="00AC0C0A" w:rsidP="005837ED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Theme="minorEastAsia"/>
                <w:sz w:val="20"/>
                <w:lang w:val="en-GB" w:eastAsia="zh-CN"/>
              </w:rPr>
            </w:pPr>
            <w:r>
              <w:rPr>
                <w:rFonts w:eastAsiaTheme="minorEastAsia" w:hint="eastAsia"/>
                <w:sz w:val="20"/>
                <w:lang w:val="en-GB" w:eastAsia="zh-CN"/>
              </w:rPr>
              <w:t>01</w:t>
            </w:r>
          </w:p>
        </w:tc>
      </w:tr>
      <w:tr w:rsidR="007C1395" w:rsidRPr="00154BE2" w:rsidTr="007C1395">
        <w:trPr>
          <w:cantSplit/>
          <w:trHeight w:val="305"/>
          <w:jc w:val="center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395" w:rsidRPr="0097661A" w:rsidRDefault="007C1395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 w:rsidRPr="0097661A">
              <w:rPr>
                <w:rFonts w:eastAsia="Malgun Gothic"/>
                <w:sz w:val="20"/>
                <w:lang w:val="en-GB" w:eastAsia="ko-KR"/>
              </w:rPr>
              <w:t>Intra_DepthPartition( 41 )</w:t>
            </w:r>
            <w:r w:rsidRPr="0097661A" w:rsidDel="00381822">
              <w:rPr>
                <w:rFonts w:eastAsia="Malgun Gothic"/>
                <w:sz w:val="20"/>
                <w:lang w:val="en-GB"/>
              </w:rPr>
              <w:t xml:space="preserve"> 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395" w:rsidRPr="00AC0C0A" w:rsidRDefault="00AC0C0A" w:rsidP="005837ED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Theme="minorEastAsia"/>
                <w:sz w:val="20"/>
                <w:lang w:val="en-GB" w:eastAsia="zh-CN"/>
              </w:rPr>
            </w:pPr>
            <w:r>
              <w:rPr>
                <w:rFonts w:eastAsiaTheme="minorEastAsia" w:hint="eastAsia"/>
                <w:sz w:val="20"/>
                <w:lang w:val="en-GB" w:eastAsia="zh-CN"/>
              </w:rPr>
              <w:t>001</w:t>
            </w:r>
          </w:p>
        </w:tc>
      </w:tr>
      <w:tr w:rsidR="007C1395" w:rsidRPr="00154BE2" w:rsidTr="007C1395">
        <w:trPr>
          <w:cantSplit/>
          <w:trHeight w:val="305"/>
          <w:jc w:val="center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395" w:rsidRPr="0097661A" w:rsidRDefault="007C1395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 w:rsidRPr="0097661A">
              <w:rPr>
                <w:rFonts w:eastAsia="Malgun Gothic"/>
                <w:sz w:val="20"/>
                <w:lang w:val="en-GB" w:eastAsia="ko-KR"/>
              </w:rPr>
              <w:t>Intra_Planar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395" w:rsidRPr="00AC0C0A" w:rsidRDefault="00AC0C0A" w:rsidP="005837ED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Theme="minorEastAsia"/>
                <w:sz w:val="20"/>
                <w:lang w:val="en-GB" w:eastAsia="zh-CN"/>
              </w:rPr>
            </w:pPr>
            <w:r>
              <w:rPr>
                <w:rFonts w:eastAsiaTheme="minorEastAsia" w:hint="eastAsia"/>
                <w:sz w:val="20"/>
                <w:lang w:val="en-GB" w:eastAsia="zh-CN"/>
              </w:rPr>
              <w:t>000</w:t>
            </w:r>
          </w:p>
        </w:tc>
      </w:tr>
    </w:tbl>
    <w:p w:rsidR="00A8408F" w:rsidRDefault="006E2C76" w:rsidP="005F3867">
      <w:pPr>
        <w:pStyle w:val="ac"/>
        <w:spacing w:line="360" w:lineRule="auto"/>
        <w:ind w:firstLineChars="100" w:firstLine="220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Fig.1 shows average probability </w:t>
      </w:r>
      <w:r>
        <w:rPr>
          <w:rFonts w:eastAsia="宋体"/>
          <w:lang w:eastAsia="zh-CN"/>
        </w:rPr>
        <w:t>distribution</w:t>
      </w:r>
      <w:r>
        <w:rPr>
          <w:rFonts w:eastAsia="宋体" w:hint="eastAsia"/>
          <w:lang w:eastAsia="zh-CN"/>
        </w:rPr>
        <w:t xml:space="preserve"> of the four modes </w:t>
      </w:r>
      <w:r w:rsidR="001645BA">
        <w:rPr>
          <w:rFonts w:eastAsia="宋体" w:hint="eastAsia"/>
          <w:lang w:eastAsia="zh-CN"/>
        </w:rPr>
        <w:t xml:space="preserve">in SDC </w:t>
      </w:r>
      <w:r>
        <w:rPr>
          <w:rFonts w:eastAsia="宋体" w:hint="eastAsia"/>
          <w:lang w:eastAsia="zh-CN"/>
        </w:rPr>
        <w:t>over all test sequences</w:t>
      </w:r>
      <w:r w:rsidR="00C3008D">
        <w:rPr>
          <w:rFonts w:eastAsia="宋体" w:hint="eastAsia"/>
          <w:lang w:eastAsia="zh-CN"/>
        </w:rPr>
        <w:t>, both for CTC and all intra case</w:t>
      </w:r>
      <w:r>
        <w:rPr>
          <w:rFonts w:eastAsia="宋体" w:hint="eastAsia"/>
          <w:lang w:eastAsia="zh-CN"/>
        </w:rPr>
        <w:t xml:space="preserve">. </w:t>
      </w:r>
      <w:r w:rsidR="00C3008D">
        <w:rPr>
          <w:rFonts w:eastAsia="宋体" w:hint="eastAsia"/>
          <w:lang w:eastAsia="zh-CN"/>
        </w:rPr>
        <w:t xml:space="preserve">Software </w:t>
      </w:r>
      <w:r>
        <w:rPr>
          <w:rFonts w:eastAsia="宋体" w:hint="eastAsia"/>
          <w:lang w:eastAsia="zh-CN"/>
        </w:rPr>
        <w:t xml:space="preserve">HTM-5.0.1 is used to generate bit stream. As </w:t>
      </w:r>
      <w:r w:rsidR="001645BA">
        <w:rPr>
          <w:rFonts w:eastAsia="宋体" w:hint="eastAsia"/>
          <w:lang w:eastAsia="zh-CN"/>
        </w:rPr>
        <w:t>shown in Fig.1</w:t>
      </w:r>
      <w:r>
        <w:rPr>
          <w:rFonts w:eastAsia="宋体" w:hint="eastAsia"/>
          <w:lang w:eastAsia="zh-CN"/>
        </w:rPr>
        <w:t xml:space="preserve">, Planar </w:t>
      </w:r>
      <w:r>
        <w:rPr>
          <w:rFonts w:eastAsia="宋体" w:hint="eastAsia"/>
          <w:lang w:eastAsia="zh-CN"/>
        </w:rPr>
        <w:lastRenderedPageBreak/>
        <w:t>mode is the most probable mode (with probability of more than 60% for CTC and more than 70% for all intra case), DMM1 is the second most probable mode, while DMM2 and DC are</w:t>
      </w:r>
      <w:r w:rsidR="001645BA">
        <w:rPr>
          <w:rFonts w:eastAsia="宋体" w:hint="eastAsia"/>
          <w:lang w:eastAsia="zh-CN"/>
        </w:rPr>
        <w:t xml:space="preserve"> the least probable modes and they are</w:t>
      </w:r>
      <w:r>
        <w:rPr>
          <w:rFonts w:eastAsia="宋体" w:hint="eastAsia"/>
          <w:lang w:eastAsia="zh-CN"/>
        </w:rPr>
        <w:t xml:space="preserve"> with similar probability.</w:t>
      </w:r>
      <w:r w:rsidR="00207749">
        <w:rPr>
          <w:rFonts w:eastAsia="宋体" w:hint="eastAsia"/>
          <w:lang w:eastAsia="zh-CN"/>
        </w:rPr>
        <w:t xml:space="preserve"> Therefore, assigning longest index to Planar mode and shortest index to DC mode is </w:t>
      </w:r>
      <w:r w:rsidR="00207749">
        <w:rPr>
          <w:rFonts w:eastAsia="宋体"/>
          <w:lang w:eastAsia="zh-CN"/>
        </w:rPr>
        <w:t>unreasonable</w:t>
      </w:r>
      <w:r w:rsidR="00207749">
        <w:rPr>
          <w:rFonts w:eastAsia="宋体" w:hint="eastAsia"/>
          <w:lang w:eastAsia="zh-CN"/>
        </w:rPr>
        <w:t>.</w:t>
      </w:r>
    </w:p>
    <w:p w:rsidR="00A13EF2" w:rsidRDefault="00FA05E1" w:rsidP="00A13EF2">
      <w:pPr>
        <w:jc w:val="center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758069" cy="1660694"/>
            <wp:effectExtent l="19050" t="0" r="4181" b="0"/>
            <wp:docPr id="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069" cy="1660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>
            <wp:extent cx="2758069" cy="1660694"/>
            <wp:effectExtent l="19050" t="0" r="4181" b="0"/>
            <wp:docPr id="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069" cy="1660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3EF2" w:rsidRDefault="00A13EF2" w:rsidP="00A13EF2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a) </w:t>
      </w:r>
      <w:r w:rsidR="001042EB">
        <w:rPr>
          <w:rFonts w:hint="eastAsia"/>
          <w:lang w:eastAsia="zh-CN"/>
        </w:rPr>
        <w:t>Results from CTC, b) R</w:t>
      </w:r>
      <w:r>
        <w:rPr>
          <w:rFonts w:hint="eastAsia"/>
          <w:lang w:eastAsia="zh-CN"/>
        </w:rPr>
        <w:t>esults from all intra test condition</w:t>
      </w:r>
    </w:p>
    <w:p w:rsidR="00A13EF2" w:rsidRPr="002821C1" w:rsidRDefault="00A13EF2" w:rsidP="002821C1">
      <w:pPr>
        <w:jc w:val="center"/>
        <w:rPr>
          <w:lang w:eastAsia="zh-CN"/>
        </w:rPr>
      </w:pPr>
      <w:r>
        <w:rPr>
          <w:rFonts w:hint="eastAsia"/>
          <w:lang w:eastAsia="zh-CN"/>
        </w:rPr>
        <w:t>Fig.1. Probability dis</w:t>
      </w:r>
      <w:r w:rsidR="002821C1">
        <w:rPr>
          <w:rFonts w:hint="eastAsia"/>
          <w:lang w:eastAsia="zh-CN"/>
        </w:rPr>
        <w:t>tribution of four modes in SDC.</w:t>
      </w:r>
    </w:p>
    <w:p w:rsidR="00E744D3" w:rsidRDefault="00E744D3" w:rsidP="00E744D3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</w:p>
    <w:p w:rsidR="004777B8" w:rsidRDefault="00415770" w:rsidP="00BD14A4">
      <w:pPr>
        <w:pStyle w:val="ac"/>
        <w:spacing w:line="360" w:lineRule="auto"/>
        <w:ind w:firstLineChars="100" w:firstLine="220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To </w:t>
      </w:r>
      <w:r w:rsidR="00207749">
        <w:rPr>
          <w:rFonts w:eastAsia="宋体" w:hint="eastAsia"/>
          <w:lang w:eastAsia="zh-CN"/>
        </w:rPr>
        <w:t xml:space="preserve">tackle the abovementioned problem, this contribution proposes to simply swap the </w:t>
      </w:r>
      <w:r w:rsidR="000C3F04">
        <w:rPr>
          <w:rFonts w:eastAsia="宋体" w:hint="eastAsia"/>
          <w:lang w:eastAsia="zh-CN"/>
        </w:rPr>
        <w:t xml:space="preserve">binary </w:t>
      </w:r>
      <w:r w:rsidR="00207749">
        <w:rPr>
          <w:rFonts w:eastAsia="宋体" w:hint="eastAsia"/>
          <w:lang w:eastAsia="zh-CN"/>
        </w:rPr>
        <w:t>index of DC mode and Planar mode, as shown in Table 2</w:t>
      </w:r>
      <w:r w:rsidR="00BD14A4">
        <w:rPr>
          <w:rFonts w:eastAsia="宋体" w:hint="eastAsia"/>
          <w:lang w:eastAsia="zh-CN"/>
        </w:rPr>
        <w:t xml:space="preserve">. </w:t>
      </w:r>
    </w:p>
    <w:p w:rsidR="00207749" w:rsidRDefault="00207749" w:rsidP="00207749">
      <w:pPr>
        <w:keepNext/>
        <w:spacing w:before="240" w:after="113"/>
        <w:jc w:val="center"/>
        <w:rPr>
          <w:rFonts w:eastAsiaTheme="minorEastAsia"/>
          <w:b/>
          <w:bCs/>
          <w:sz w:val="20"/>
          <w:lang w:val="en-GB" w:eastAsia="zh-CN"/>
        </w:rPr>
      </w:pPr>
      <w:r w:rsidRPr="00154BE2">
        <w:rPr>
          <w:rFonts w:eastAsia="Malgun Gothic"/>
          <w:b/>
          <w:bCs/>
          <w:sz w:val="20"/>
        </w:rPr>
        <w:t>Table </w:t>
      </w:r>
      <w:r w:rsidR="009B27E2">
        <w:rPr>
          <w:rFonts w:eastAsiaTheme="minorEastAsia" w:hint="eastAsia"/>
          <w:b/>
          <w:bCs/>
          <w:sz w:val="20"/>
          <w:lang w:eastAsia="zh-CN"/>
        </w:rPr>
        <w:t>2</w:t>
      </w:r>
      <w:r w:rsidRPr="00154BE2">
        <w:rPr>
          <w:rFonts w:eastAsia="Malgun Gothic"/>
          <w:b/>
          <w:bCs/>
          <w:sz w:val="20"/>
          <w:lang w:eastAsia="ko-KR"/>
        </w:rPr>
        <w:t xml:space="preserve"> </w:t>
      </w:r>
      <w:r w:rsidRPr="00154BE2">
        <w:rPr>
          <w:rFonts w:eastAsia="Malgun Gothic"/>
          <w:b/>
          <w:bCs/>
          <w:sz w:val="20"/>
        </w:rPr>
        <w:t>–</w:t>
      </w:r>
      <w:r w:rsidR="00C038F2">
        <w:rPr>
          <w:rFonts w:eastAsiaTheme="minorEastAsia" w:hint="eastAsia"/>
          <w:b/>
          <w:bCs/>
          <w:sz w:val="20"/>
          <w:lang w:eastAsia="zh-CN"/>
        </w:rPr>
        <w:t xml:space="preserve"> Modified </w:t>
      </w:r>
      <w:r w:rsidR="00C038F2">
        <w:rPr>
          <w:rFonts w:eastAsiaTheme="minorEastAsia" w:hint="eastAsia"/>
          <w:b/>
          <w:bCs/>
          <w:sz w:val="20"/>
          <w:lang w:val="en-GB" w:eastAsia="zh-CN"/>
        </w:rPr>
        <w:t>Binary Index of Different Modes</w:t>
      </w:r>
      <w:r w:rsidRPr="00154BE2">
        <w:rPr>
          <w:rFonts w:eastAsia="Malgun Gothic"/>
          <w:b/>
          <w:bCs/>
          <w:sz w:val="20"/>
          <w:lang w:val="en-GB"/>
        </w:rPr>
        <w:t xml:space="preserve"> 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2573"/>
        <w:gridCol w:w="2573"/>
      </w:tblGrid>
      <w:tr w:rsidR="00BB6579" w:rsidRPr="00154BE2" w:rsidTr="00B7368E">
        <w:trPr>
          <w:cantSplit/>
          <w:trHeight w:val="305"/>
          <w:jc w:val="center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579" w:rsidRPr="0097661A" w:rsidRDefault="00BB6579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 w:rsidRPr="0097661A">
              <w:rPr>
                <w:rFonts w:eastAsia="Malgun Gothic"/>
                <w:sz w:val="20"/>
                <w:lang w:val="en-GB"/>
              </w:rPr>
              <w:t>Associated Intra Prediction Mode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579" w:rsidRPr="0097661A" w:rsidRDefault="00C038F2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>
              <w:rPr>
                <w:rFonts w:eastAsiaTheme="minorEastAsia" w:hint="eastAsia"/>
                <w:b/>
                <w:sz w:val="20"/>
                <w:lang w:val="en-GB" w:eastAsia="zh-CN"/>
              </w:rPr>
              <w:t>Binary Index</w:t>
            </w:r>
          </w:p>
        </w:tc>
      </w:tr>
      <w:tr w:rsidR="00BB6579" w:rsidRPr="00154BE2" w:rsidTr="00B7368E">
        <w:trPr>
          <w:cantSplit/>
          <w:trHeight w:val="292"/>
          <w:jc w:val="center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579" w:rsidRPr="0097661A" w:rsidRDefault="00BB6579" w:rsidP="00BB657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 w:rsidRPr="0097661A">
              <w:rPr>
                <w:rFonts w:eastAsia="Malgun Gothic"/>
                <w:sz w:val="20"/>
                <w:lang w:val="en-GB" w:eastAsia="ko-KR"/>
              </w:rPr>
              <w:t xml:space="preserve">Intra_ Planar 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579" w:rsidRPr="00AC0C0A" w:rsidRDefault="00BB6579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Theme="minorEastAsia"/>
                <w:sz w:val="20"/>
                <w:lang w:val="en-GB" w:eastAsia="zh-CN"/>
              </w:rPr>
            </w:pPr>
            <w:r>
              <w:rPr>
                <w:rFonts w:eastAsiaTheme="minorEastAsia" w:hint="eastAsia"/>
                <w:sz w:val="20"/>
                <w:lang w:val="en-GB" w:eastAsia="zh-CN"/>
              </w:rPr>
              <w:t>1</w:t>
            </w:r>
          </w:p>
        </w:tc>
      </w:tr>
      <w:tr w:rsidR="00BB6579" w:rsidRPr="00154BE2" w:rsidTr="00B7368E">
        <w:trPr>
          <w:cantSplit/>
          <w:trHeight w:val="305"/>
          <w:jc w:val="center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579" w:rsidRPr="0097661A" w:rsidRDefault="00BB6579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 w:rsidRPr="0097661A">
              <w:rPr>
                <w:rFonts w:eastAsia="Malgun Gothic"/>
                <w:sz w:val="20"/>
                <w:lang w:val="en-GB" w:eastAsia="ko-KR"/>
              </w:rPr>
              <w:t>Intra_DepthPartition( 35 )</w:t>
            </w:r>
            <w:r w:rsidRPr="0097661A" w:rsidDel="00381822">
              <w:rPr>
                <w:rFonts w:eastAsia="Malgun Gothic"/>
                <w:sz w:val="20"/>
                <w:lang w:val="en-GB" w:eastAsia="ko-KR"/>
              </w:rPr>
              <w:t xml:space="preserve"> 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579" w:rsidRPr="00AC0C0A" w:rsidRDefault="00BB6579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Theme="minorEastAsia"/>
                <w:sz w:val="20"/>
                <w:lang w:val="en-GB" w:eastAsia="zh-CN"/>
              </w:rPr>
            </w:pPr>
            <w:r>
              <w:rPr>
                <w:rFonts w:eastAsiaTheme="minorEastAsia" w:hint="eastAsia"/>
                <w:sz w:val="20"/>
                <w:lang w:val="en-GB" w:eastAsia="zh-CN"/>
              </w:rPr>
              <w:t>01</w:t>
            </w:r>
          </w:p>
        </w:tc>
      </w:tr>
      <w:tr w:rsidR="00BB6579" w:rsidRPr="00154BE2" w:rsidTr="00B7368E">
        <w:trPr>
          <w:cantSplit/>
          <w:trHeight w:val="305"/>
          <w:jc w:val="center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579" w:rsidRPr="0097661A" w:rsidRDefault="00BB6579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 w:rsidRPr="0097661A">
              <w:rPr>
                <w:rFonts w:eastAsia="Malgun Gothic"/>
                <w:sz w:val="20"/>
                <w:lang w:val="en-GB" w:eastAsia="ko-KR"/>
              </w:rPr>
              <w:t>Intra_DepthPartition( 41 )</w:t>
            </w:r>
            <w:r w:rsidRPr="0097661A" w:rsidDel="00381822">
              <w:rPr>
                <w:rFonts w:eastAsia="Malgun Gothic"/>
                <w:sz w:val="20"/>
                <w:lang w:val="en-GB"/>
              </w:rPr>
              <w:t xml:space="preserve"> 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579" w:rsidRPr="00AC0C0A" w:rsidRDefault="00BB6579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Theme="minorEastAsia"/>
                <w:sz w:val="20"/>
                <w:lang w:val="en-GB" w:eastAsia="zh-CN"/>
              </w:rPr>
            </w:pPr>
            <w:r>
              <w:rPr>
                <w:rFonts w:eastAsiaTheme="minorEastAsia" w:hint="eastAsia"/>
                <w:sz w:val="20"/>
                <w:lang w:val="en-GB" w:eastAsia="zh-CN"/>
              </w:rPr>
              <w:t>001</w:t>
            </w:r>
          </w:p>
        </w:tc>
      </w:tr>
      <w:tr w:rsidR="00BB6579" w:rsidRPr="00154BE2" w:rsidTr="00B7368E">
        <w:trPr>
          <w:cantSplit/>
          <w:trHeight w:val="305"/>
          <w:jc w:val="center"/>
        </w:trPr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579" w:rsidRPr="0097661A" w:rsidRDefault="00BB6579" w:rsidP="00BB657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="Malgun Gothic"/>
                <w:sz w:val="20"/>
                <w:lang w:val="en-GB"/>
              </w:rPr>
            </w:pPr>
            <w:r w:rsidRPr="0097661A">
              <w:rPr>
                <w:rFonts w:eastAsia="Malgun Gothic"/>
                <w:sz w:val="20"/>
                <w:lang w:val="en-GB" w:eastAsia="ko-KR"/>
              </w:rPr>
              <w:t>Intra_ DC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579" w:rsidRPr="00AC0C0A" w:rsidRDefault="00BB6579" w:rsidP="00B7368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rPr>
                <w:rFonts w:eastAsiaTheme="minorEastAsia"/>
                <w:sz w:val="20"/>
                <w:lang w:val="en-GB" w:eastAsia="zh-CN"/>
              </w:rPr>
            </w:pPr>
            <w:r>
              <w:rPr>
                <w:rFonts w:eastAsiaTheme="minorEastAsia" w:hint="eastAsia"/>
                <w:sz w:val="20"/>
                <w:lang w:val="en-GB" w:eastAsia="zh-CN"/>
              </w:rPr>
              <w:t>000</w:t>
            </w:r>
          </w:p>
        </w:tc>
      </w:tr>
    </w:tbl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3C5EA6" w:rsidRDefault="003C5EA6" w:rsidP="003C5EA6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 xml:space="preserve">HTM </w:t>
      </w:r>
      <w:r w:rsidR="00454882"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0.</w:t>
      </w:r>
      <w:r>
        <w:rPr>
          <w:rFonts w:hint="eastAsia"/>
          <w:lang w:eastAsia="zh-CN"/>
        </w:rPr>
        <w:t xml:space="preserve">1 </w:t>
      </w:r>
      <w:r w:rsidRPr="00DD430A">
        <w:rPr>
          <w:rFonts w:hint="eastAsia"/>
          <w:lang w:eastAsia="ja-JP"/>
        </w:rPr>
        <w:t>software</w:t>
      </w:r>
      <w:r w:rsidR="00E0047A">
        <w:rPr>
          <w:rFonts w:hint="eastAsia"/>
          <w:lang w:eastAsia="zh-CN"/>
        </w:rPr>
        <w:t xml:space="preserve"> and compared with it</w:t>
      </w:r>
      <w:r w:rsidR="003E27CD">
        <w:rPr>
          <w:rFonts w:hint="eastAsia"/>
          <w:lang w:eastAsia="zh-CN"/>
        </w:rPr>
        <w:t>. Simulation results are</w:t>
      </w:r>
      <w:r>
        <w:rPr>
          <w:rFonts w:hint="eastAsia"/>
          <w:lang w:eastAsia="zh-CN"/>
        </w:rPr>
        <w:t xml:space="preserve"> </w:t>
      </w:r>
      <w:r w:rsidR="00E80323">
        <w:rPr>
          <w:rFonts w:hint="eastAsia"/>
          <w:lang w:eastAsia="zh-CN"/>
        </w:rPr>
        <w:t xml:space="preserve">tested </w:t>
      </w:r>
      <w:r>
        <w:rPr>
          <w:rFonts w:hint="eastAsia"/>
          <w:lang w:eastAsia="zh-CN"/>
        </w:rPr>
        <w:t>following the</w:t>
      </w:r>
      <w:r w:rsidRPr="00DD430A">
        <w:rPr>
          <w:rFonts w:hint="eastAsia"/>
          <w:lang w:eastAsia="ja-JP"/>
        </w:rPr>
        <w:t xml:space="preserve"> configuration and </w:t>
      </w:r>
      <w:r w:rsidR="0023437B">
        <w:rPr>
          <w:rFonts w:hint="eastAsia"/>
          <w:lang w:eastAsia="zh-CN"/>
        </w:rPr>
        <w:t>common test</w:t>
      </w:r>
      <w:r w:rsidR="0023437B" w:rsidRPr="00DD430A">
        <w:rPr>
          <w:rFonts w:hint="eastAsia"/>
          <w:lang w:eastAsia="ja-JP"/>
        </w:rPr>
        <w:t xml:space="preserve"> </w:t>
      </w:r>
      <w:r w:rsidRPr="00DD430A">
        <w:rPr>
          <w:rFonts w:hint="eastAsia"/>
          <w:lang w:eastAsia="ja-JP"/>
        </w:rPr>
        <w:t xml:space="preserve">condition </w:t>
      </w:r>
      <w:r>
        <w:rPr>
          <w:rFonts w:hint="eastAsia"/>
          <w:lang w:eastAsia="zh-CN"/>
        </w:rPr>
        <w:t>defined in [</w:t>
      </w:r>
      <w:r w:rsidR="008E78CE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]</w:t>
      </w:r>
      <w:r w:rsidRPr="00DD430A">
        <w:rPr>
          <w:rFonts w:hint="eastAsia"/>
          <w:lang w:eastAsia="ja-JP"/>
        </w:rPr>
        <w:t>.</w:t>
      </w:r>
      <w:r>
        <w:rPr>
          <w:rFonts w:hint="eastAsia"/>
          <w:lang w:eastAsia="ja-JP"/>
        </w:rPr>
        <w:t xml:space="preserve"> </w:t>
      </w:r>
    </w:p>
    <w:p w:rsidR="009E0141" w:rsidRDefault="009E0141" w:rsidP="002D461A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9B27E2">
        <w:rPr>
          <w:rFonts w:hint="eastAsia"/>
          <w:lang w:eastAsia="zh-CN"/>
        </w:rPr>
        <w:t>3</w:t>
      </w:r>
      <w:r w:rsidR="00156F6C">
        <w:rPr>
          <w:rFonts w:hint="eastAsia"/>
          <w:lang w:eastAsia="zh-CN"/>
        </w:rPr>
        <w:t xml:space="preserve"> show</w:t>
      </w:r>
      <w:r w:rsidR="00D92D3A">
        <w:rPr>
          <w:rFonts w:hint="eastAsia"/>
          <w:lang w:eastAsia="zh-CN"/>
        </w:rPr>
        <w:t>s</w:t>
      </w:r>
      <w:r w:rsidR="00156F6C">
        <w:rPr>
          <w:rFonts w:hint="eastAsia"/>
          <w:lang w:eastAsia="zh-CN"/>
        </w:rPr>
        <w:t xml:space="preserve"> the performance of proposed method in CTC case. As can be seen,</w:t>
      </w:r>
      <w:r>
        <w:rPr>
          <w:rFonts w:hint="eastAsia"/>
          <w:lang w:eastAsia="zh-CN"/>
        </w:rPr>
        <w:t xml:space="preserve"> </w:t>
      </w:r>
      <w:r w:rsidR="00954A9C">
        <w:rPr>
          <w:rFonts w:hint="eastAsia"/>
          <w:lang w:eastAsia="zh-CN"/>
        </w:rPr>
        <w:t>there is</w:t>
      </w:r>
      <w:r w:rsidR="00EF3B35">
        <w:rPr>
          <w:rFonts w:hint="eastAsia"/>
          <w:lang w:eastAsia="zh-CN"/>
        </w:rPr>
        <w:t xml:space="preserve"> </w:t>
      </w:r>
      <w:r w:rsidR="00156F6C">
        <w:rPr>
          <w:rFonts w:hint="eastAsia"/>
          <w:lang w:eastAsia="zh-CN"/>
        </w:rPr>
        <w:t>-0.1% and -0.1</w:t>
      </w:r>
      <w:r w:rsidR="00EF3B35">
        <w:rPr>
          <w:rFonts w:hint="eastAsia"/>
          <w:lang w:eastAsia="zh-CN"/>
        </w:rPr>
        <w:t xml:space="preserve">% gain on </w:t>
      </w:r>
      <w:r w:rsidR="00EF3B35">
        <w:rPr>
          <w:lang w:eastAsia="zh-CN"/>
        </w:rPr>
        <w:t>synthesized</w:t>
      </w:r>
      <w:r w:rsidR="00EF3B35">
        <w:rPr>
          <w:rFonts w:hint="eastAsia"/>
          <w:lang w:eastAsia="zh-CN"/>
        </w:rPr>
        <w:t xml:space="preserve"> view and coded and synthesized view</w:t>
      </w:r>
      <w:r w:rsidR="00C34DC2">
        <w:rPr>
          <w:rFonts w:hint="eastAsia"/>
          <w:lang w:eastAsia="zh-CN"/>
        </w:rPr>
        <w:t xml:space="preserve"> on 3 sequences</w:t>
      </w:r>
      <w:r w:rsidR="005238C2">
        <w:rPr>
          <w:rFonts w:hint="eastAsia"/>
          <w:lang w:eastAsia="zh-CN"/>
        </w:rPr>
        <w:t>.</w:t>
      </w:r>
    </w:p>
    <w:p w:rsidR="009E0141" w:rsidRPr="009E0141" w:rsidRDefault="009E0141" w:rsidP="009E0141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9B27E2"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872F7E">
        <w:rPr>
          <w:rFonts w:hint="eastAsia"/>
          <w:lang w:eastAsia="zh-CN"/>
        </w:rPr>
        <w:t xml:space="preserve"> with HTM-5.0.1</w:t>
      </w:r>
      <w:r w:rsidR="00153310">
        <w:rPr>
          <w:rFonts w:hint="eastAsia"/>
          <w:lang w:eastAsia="zh-CN"/>
        </w:rPr>
        <w:t xml:space="preserve"> (CTC)</w:t>
      </w:r>
    </w:p>
    <w:tbl>
      <w:tblPr>
        <w:tblW w:w="7349" w:type="dxa"/>
        <w:jc w:val="center"/>
        <w:tblInd w:w="97" w:type="dxa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</w:tblGrid>
      <w:tr w:rsidR="00D92D3A" w:rsidRPr="00844102" w:rsidTr="00D92D3A">
        <w:trPr>
          <w:trHeight w:val="289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</w:tr>
      <w:tr w:rsidR="00D92D3A" w:rsidRPr="00844102" w:rsidTr="00D92D3A">
        <w:trPr>
          <w:trHeight w:val="289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D92D3A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D92D3A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D92D3A" w:rsidRPr="00844102" w:rsidTr="00D92D3A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D92D3A" w:rsidRPr="00844102" w:rsidTr="00D92D3A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D92D3A" w:rsidRPr="00844102" w:rsidTr="00D92D3A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lastRenderedPageBreak/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D92D3A">
        <w:trPr>
          <w:trHeight w:val="303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D92D3A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D92D3A">
        <w:trPr>
          <w:trHeight w:val="303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D92D3A">
        <w:trPr>
          <w:trHeight w:val="289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84410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156F6C" w:rsidRDefault="00D92D3A" w:rsidP="00156F6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156F6C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</w:tbl>
    <w:p w:rsidR="00F73796" w:rsidRDefault="00B45554" w:rsidP="002D461A">
      <w:pPr>
        <w:jc w:val="both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9B27E2"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 xml:space="preserve"> show</w:t>
      </w:r>
      <w:r w:rsidR="00D92D3A">
        <w:rPr>
          <w:rFonts w:hint="eastAsia"/>
          <w:lang w:eastAsia="zh-CN"/>
        </w:rPr>
        <w:t>s</w:t>
      </w:r>
      <w:r>
        <w:rPr>
          <w:rFonts w:hint="eastAsia"/>
          <w:lang w:eastAsia="zh-CN"/>
        </w:rPr>
        <w:t xml:space="preserve"> the performance of proposed method in all intra case.</w:t>
      </w:r>
      <w:r w:rsidR="00D92D3A">
        <w:rPr>
          <w:rFonts w:hint="eastAsia"/>
          <w:lang w:eastAsia="zh-CN"/>
        </w:rPr>
        <w:t xml:space="preserve"> There is no </w:t>
      </w:r>
      <w:r w:rsidR="004872C3">
        <w:rPr>
          <w:rFonts w:hint="eastAsia"/>
          <w:lang w:eastAsia="zh-CN"/>
        </w:rPr>
        <w:t xml:space="preserve">influence on overall coding performance. </w:t>
      </w:r>
      <w:r w:rsidR="004872C3">
        <w:rPr>
          <w:lang w:eastAsia="zh-CN"/>
        </w:rPr>
        <w:t>H</w:t>
      </w:r>
      <w:r w:rsidR="004872C3">
        <w:rPr>
          <w:rFonts w:hint="eastAsia"/>
          <w:lang w:eastAsia="zh-CN"/>
        </w:rPr>
        <w:t xml:space="preserve">owever, as can be seen in Table </w:t>
      </w:r>
      <w:r w:rsidR="009B27E2">
        <w:rPr>
          <w:rFonts w:hint="eastAsia"/>
          <w:lang w:eastAsia="zh-CN"/>
        </w:rPr>
        <w:t>5</w:t>
      </w:r>
      <w:r w:rsidR="004872C3">
        <w:rPr>
          <w:rFonts w:hint="eastAsia"/>
          <w:lang w:eastAsia="zh-CN"/>
        </w:rPr>
        <w:t>, there is performance improvement on depth coding for all sequences, and the average coding gain is -0.</w:t>
      </w:r>
      <w:r w:rsidR="008741B2">
        <w:rPr>
          <w:rFonts w:hint="eastAsia"/>
          <w:lang w:eastAsia="zh-CN"/>
        </w:rPr>
        <w:t>9</w:t>
      </w:r>
      <w:r w:rsidR="004872C3">
        <w:rPr>
          <w:rFonts w:hint="eastAsia"/>
          <w:lang w:eastAsia="zh-CN"/>
        </w:rPr>
        <w:t>%</w:t>
      </w:r>
      <w:r w:rsidR="008741B2">
        <w:rPr>
          <w:rFonts w:hint="eastAsia"/>
          <w:lang w:eastAsia="zh-CN"/>
        </w:rPr>
        <w:t xml:space="preserve">, -0.8% and -0.6% on </w:t>
      </w:r>
      <w:r w:rsidR="001912C5">
        <w:rPr>
          <w:rFonts w:hint="eastAsia"/>
          <w:lang w:eastAsia="zh-CN"/>
        </w:rPr>
        <w:t>depth</w:t>
      </w:r>
      <w:r w:rsidR="008741B2">
        <w:rPr>
          <w:rFonts w:hint="eastAsia"/>
          <w:lang w:eastAsia="zh-CN"/>
        </w:rPr>
        <w:t xml:space="preserve"> 0, </w:t>
      </w:r>
      <w:r w:rsidR="001912C5">
        <w:rPr>
          <w:rFonts w:hint="eastAsia"/>
          <w:lang w:eastAsia="zh-CN"/>
        </w:rPr>
        <w:t>depth</w:t>
      </w:r>
      <w:r w:rsidR="008741B2">
        <w:rPr>
          <w:rFonts w:hint="eastAsia"/>
          <w:lang w:eastAsia="zh-CN"/>
        </w:rPr>
        <w:t xml:space="preserve"> 1 and </w:t>
      </w:r>
      <w:r w:rsidR="001912C5">
        <w:rPr>
          <w:rFonts w:hint="eastAsia"/>
          <w:lang w:eastAsia="zh-CN"/>
        </w:rPr>
        <w:t>depth</w:t>
      </w:r>
      <w:r w:rsidR="008741B2">
        <w:rPr>
          <w:rFonts w:hint="eastAsia"/>
          <w:lang w:eastAsia="zh-CN"/>
        </w:rPr>
        <w:t xml:space="preserve"> 2 respectively</w:t>
      </w:r>
      <w:r w:rsidR="004872C3">
        <w:rPr>
          <w:rFonts w:hint="eastAsia"/>
          <w:lang w:eastAsia="zh-CN"/>
        </w:rPr>
        <w:t>.</w:t>
      </w:r>
    </w:p>
    <w:p w:rsidR="00F73796" w:rsidRDefault="00F73796" w:rsidP="00F73796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9B27E2"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872F7E">
        <w:rPr>
          <w:rFonts w:hint="eastAsia"/>
          <w:lang w:eastAsia="zh-CN"/>
        </w:rPr>
        <w:t xml:space="preserve"> with HTM-5.0.1</w:t>
      </w:r>
      <w:r w:rsidR="00153310">
        <w:rPr>
          <w:rFonts w:hint="eastAsia"/>
          <w:lang w:eastAsia="zh-CN"/>
        </w:rPr>
        <w:t xml:space="preserve"> (all intra)</w:t>
      </w:r>
    </w:p>
    <w:tbl>
      <w:tblPr>
        <w:tblW w:w="7349" w:type="dxa"/>
        <w:jc w:val="center"/>
        <w:tblLook w:val="04A0"/>
      </w:tblPr>
      <w:tblGrid>
        <w:gridCol w:w="1307"/>
        <w:gridCol w:w="830"/>
        <w:gridCol w:w="830"/>
        <w:gridCol w:w="830"/>
        <w:gridCol w:w="999"/>
        <w:gridCol w:w="1138"/>
        <w:gridCol w:w="1415"/>
      </w:tblGrid>
      <w:tr w:rsidR="00D92D3A" w:rsidRPr="00844102" w:rsidTr="00B91FF1">
        <w:trPr>
          <w:trHeight w:val="289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</w:tr>
      <w:tr w:rsidR="00D92D3A" w:rsidRPr="00844102" w:rsidTr="00B91FF1">
        <w:trPr>
          <w:trHeight w:val="289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B91FF1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B91FF1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B91FF1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B91FF1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B91FF1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B91FF1">
        <w:trPr>
          <w:trHeight w:val="303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B91FF1">
        <w:trPr>
          <w:trHeight w:val="289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B91FF1">
        <w:trPr>
          <w:trHeight w:val="303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44102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D92D3A" w:rsidRPr="00844102" w:rsidTr="00B91FF1">
        <w:trPr>
          <w:trHeight w:val="289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844102" w:rsidRDefault="00D92D3A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844102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2D3A" w:rsidRPr="00D92D3A" w:rsidRDefault="00D92D3A" w:rsidP="00D92D3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D92D3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</w:tbl>
    <w:p w:rsidR="006A43B9" w:rsidRDefault="006A43B9" w:rsidP="006A43B9">
      <w:pPr>
        <w:rPr>
          <w:lang w:eastAsia="zh-CN"/>
        </w:rPr>
      </w:pPr>
    </w:p>
    <w:p w:rsidR="00195C58" w:rsidRDefault="00195C58" w:rsidP="00195C58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9B27E2"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: performance comparison of depth coding with HTM-5.0.1 (all intra)</w:t>
      </w:r>
    </w:p>
    <w:tbl>
      <w:tblPr>
        <w:tblStyle w:val="ad"/>
        <w:tblW w:w="0" w:type="auto"/>
        <w:jc w:val="center"/>
        <w:tblLook w:val="04A0"/>
      </w:tblPr>
      <w:tblGrid>
        <w:gridCol w:w="1777"/>
        <w:gridCol w:w="1777"/>
        <w:gridCol w:w="1777"/>
        <w:gridCol w:w="1777"/>
      </w:tblGrid>
      <w:tr w:rsidR="00E41102" w:rsidTr="009C60AD">
        <w:trPr>
          <w:trHeight w:val="289"/>
          <w:jc w:val="center"/>
        </w:trPr>
        <w:tc>
          <w:tcPr>
            <w:tcW w:w="1777" w:type="dxa"/>
            <w:tcBorders>
              <w:bottom w:val="single" w:sz="4" w:space="0" w:color="auto"/>
            </w:tcBorders>
          </w:tcPr>
          <w:p w:rsidR="00E41102" w:rsidRPr="00CE1B1F" w:rsidRDefault="00E41102" w:rsidP="006A43B9">
            <w:pPr>
              <w:rPr>
                <w:sz w:val="20"/>
                <w:lang w:eastAsia="zh-CN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E41102" w:rsidRPr="00CE1B1F" w:rsidRDefault="001912C5" w:rsidP="00CE1B1F">
            <w:pPr>
              <w:jc w:val="center"/>
              <w:rPr>
                <w:rFonts w:eastAsiaTheme="minorEastAsia"/>
                <w:sz w:val="20"/>
                <w:lang w:eastAsia="zh-CN"/>
              </w:rPr>
            </w:pPr>
            <w:r>
              <w:rPr>
                <w:rFonts w:eastAsiaTheme="minorEastAsia" w:hint="eastAsia"/>
                <w:sz w:val="20"/>
                <w:lang w:eastAsia="zh-CN"/>
              </w:rPr>
              <w:t>depth</w:t>
            </w:r>
            <w:r w:rsidR="00E41102" w:rsidRPr="00CE1B1F">
              <w:rPr>
                <w:rFonts w:eastAsiaTheme="minorEastAsia" w:hint="eastAsia"/>
                <w:sz w:val="20"/>
                <w:lang w:eastAsia="zh-CN"/>
              </w:rPr>
              <w:t xml:space="preserve"> 0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E41102" w:rsidRPr="00CE1B1F" w:rsidRDefault="001912C5" w:rsidP="00CE1B1F">
            <w:pPr>
              <w:jc w:val="center"/>
              <w:rPr>
                <w:rFonts w:eastAsiaTheme="minorEastAsia"/>
                <w:sz w:val="20"/>
                <w:lang w:eastAsia="zh-CN"/>
              </w:rPr>
            </w:pPr>
            <w:r>
              <w:rPr>
                <w:rFonts w:eastAsiaTheme="minorEastAsia" w:hint="eastAsia"/>
                <w:sz w:val="20"/>
                <w:lang w:eastAsia="zh-CN"/>
              </w:rPr>
              <w:t>depth</w:t>
            </w:r>
            <w:r w:rsidR="00E41102" w:rsidRPr="00CE1B1F">
              <w:rPr>
                <w:rFonts w:eastAsiaTheme="minorEastAsia" w:hint="eastAsia"/>
                <w:sz w:val="20"/>
                <w:lang w:eastAsia="zh-CN"/>
              </w:rPr>
              <w:t xml:space="preserve"> 1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E41102" w:rsidRPr="00CE1B1F" w:rsidRDefault="001912C5" w:rsidP="00CE1B1F">
            <w:pPr>
              <w:jc w:val="center"/>
              <w:rPr>
                <w:rFonts w:eastAsiaTheme="minorEastAsia"/>
                <w:sz w:val="20"/>
                <w:lang w:eastAsia="zh-CN"/>
              </w:rPr>
            </w:pPr>
            <w:r>
              <w:rPr>
                <w:rFonts w:eastAsiaTheme="minorEastAsia" w:hint="eastAsia"/>
                <w:sz w:val="20"/>
                <w:lang w:eastAsia="zh-CN"/>
              </w:rPr>
              <w:t>depth</w:t>
            </w:r>
            <w:r w:rsidR="00E41102" w:rsidRPr="00CE1B1F">
              <w:rPr>
                <w:rFonts w:eastAsiaTheme="minorEastAsia" w:hint="eastAsia"/>
                <w:sz w:val="20"/>
                <w:lang w:eastAsia="zh-CN"/>
              </w:rPr>
              <w:t xml:space="preserve"> 2</w:t>
            </w:r>
          </w:p>
        </w:tc>
      </w:tr>
      <w:tr w:rsidR="00E41102" w:rsidTr="009C60AD">
        <w:trPr>
          <w:trHeight w:val="289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102" w:rsidRPr="00CE1B1F" w:rsidRDefault="00E41102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CE1B1F">
              <w:rPr>
                <w:color w:val="000000"/>
                <w:sz w:val="20"/>
                <w:lang w:eastAsia="zh-CN"/>
              </w:rPr>
              <w:t>Balloons</w:t>
            </w:r>
          </w:p>
        </w:tc>
        <w:tc>
          <w:tcPr>
            <w:tcW w:w="1777" w:type="dxa"/>
            <w:tcBorders>
              <w:left w:val="single" w:sz="4" w:space="0" w:color="auto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-0.7%</w:t>
            </w:r>
          </w:p>
        </w:tc>
        <w:tc>
          <w:tcPr>
            <w:tcW w:w="1777" w:type="dxa"/>
            <w:tcBorders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-1.1%</w:t>
            </w:r>
          </w:p>
        </w:tc>
        <w:tc>
          <w:tcPr>
            <w:tcW w:w="1777" w:type="dxa"/>
            <w:tcBorders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-1.1%</w:t>
            </w:r>
          </w:p>
        </w:tc>
      </w:tr>
      <w:tr w:rsidR="00E41102" w:rsidTr="009C60AD">
        <w:trPr>
          <w:trHeight w:val="289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102" w:rsidRPr="00CE1B1F" w:rsidRDefault="00E41102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CE1B1F">
              <w:rPr>
                <w:color w:val="000000"/>
                <w:sz w:val="20"/>
                <w:lang w:eastAsia="zh-CN"/>
              </w:rPr>
              <w:t>Kendo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-0.7%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-1.0%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-0.3%</w:t>
            </w:r>
          </w:p>
        </w:tc>
      </w:tr>
      <w:tr w:rsidR="00E41102" w:rsidTr="009C60AD">
        <w:trPr>
          <w:trHeight w:val="289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102" w:rsidRPr="00CE1B1F" w:rsidRDefault="00E41102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CE1B1F">
              <w:rPr>
                <w:color w:val="000000"/>
                <w:sz w:val="20"/>
                <w:lang w:eastAsia="zh-CN"/>
              </w:rPr>
              <w:t>Newspapercc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-0.9%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-0.3%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-0.4%</w:t>
            </w:r>
          </w:p>
        </w:tc>
      </w:tr>
      <w:tr w:rsidR="00E41102" w:rsidTr="009C60AD">
        <w:trPr>
          <w:trHeight w:val="289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102" w:rsidRPr="00CE1B1F" w:rsidRDefault="00E41102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CE1B1F">
              <w:rPr>
                <w:color w:val="000000"/>
                <w:sz w:val="20"/>
                <w:lang w:eastAsia="zh-CN"/>
              </w:rPr>
              <w:t>GhostTownFly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-0.6%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-0.3%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0.0%</w:t>
            </w:r>
          </w:p>
        </w:tc>
      </w:tr>
      <w:tr w:rsidR="00E41102" w:rsidTr="009C60AD">
        <w:trPr>
          <w:trHeight w:val="289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102" w:rsidRPr="00CE1B1F" w:rsidRDefault="00E41102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CE1B1F">
              <w:rPr>
                <w:color w:val="000000"/>
                <w:sz w:val="20"/>
                <w:lang w:eastAsia="zh-CN"/>
              </w:rPr>
              <w:t>PoznanHall2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-1.9%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-2.0%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-1.3%</w:t>
            </w:r>
          </w:p>
        </w:tc>
      </w:tr>
      <w:tr w:rsidR="00E41102" w:rsidTr="009C60AD">
        <w:trPr>
          <w:trHeight w:val="289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1102" w:rsidRPr="00CE1B1F" w:rsidRDefault="00E41102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CE1B1F">
              <w:rPr>
                <w:color w:val="000000"/>
                <w:sz w:val="20"/>
                <w:lang w:eastAsia="zh-CN"/>
              </w:rPr>
              <w:t>PoznanStreet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-0.8%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-0.8%</w:t>
            </w:r>
          </w:p>
        </w:tc>
        <w:tc>
          <w:tcPr>
            <w:tcW w:w="1777" w:type="dxa"/>
            <w:tcBorders>
              <w:top w:val="nil"/>
              <w:bottom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-1.4%</w:t>
            </w:r>
          </w:p>
        </w:tc>
      </w:tr>
      <w:tr w:rsidR="00E41102" w:rsidTr="009C60AD">
        <w:trPr>
          <w:trHeight w:val="289"/>
          <w:jc w:val="center"/>
        </w:trPr>
        <w:tc>
          <w:tcPr>
            <w:tcW w:w="1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102" w:rsidRPr="00CE1B1F" w:rsidRDefault="00E41102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CE1B1F">
              <w:rPr>
                <w:color w:val="000000"/>
                <w:sz w:val="20"/>
                <w:lang w:eastAsia="zh-CN"/>
              </w:rPr>
              <w:t>UndoDancer</w:t>
            </w:r>
          </w:p>
        </w:tc>
        <w:tc>
          <w:tcPr>
            <w:tcW w:w="1777" w:type="dxa"/>
            <w:tcBorders>
              <w:top w:val="nil"/>
              <w:left w:val="single" w:sz="4" w:space="0" w:color="auto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-0.5%</w:t>
            </w:r>
          </w:p>
        </w:tc>
        <w:tc>
          <w:tcPr>
            <w:tcW w:w="1777" w:type="dxa"/>
            <w:tcBorders>
              <w:top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777" w:type="dxa"/>
            <w:tcBorders>
              <w:top w:val="nil"/>
            </w:tcBorders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color w:val="000000"/>
                <w:sz w:val="20"/>
                <w:lang w:eastAsia="zh-CN"/>
              </w:rPr>
              <w:t>-0.1%</w:t>
            </w:r>
          </w:p>
        </w:tc>
      </w:tr>
      <w:tr w:rsidR="00E41102" w:rsidTr="009C60AD">
        <w:trPr>
          <w:trHeight w:val="289"/>
          <w:jc w:val="center"/>
        </w:trPr>
        <w:tc>
          <w:tcPr>
            <w:tcW w:w="1777" w:type="dxa"/>
            <w:tcBorders>
              <w:top w:val="single" w:sz="4" w:space="0" w:color="auto"/>
            </w:tcBorders>
            <w:vAlign w:val="bottom"/>
          </w:tcPr>
          <w:p w:rsidR="00E41102" w:rsidRPr="00CE1B1F" w:rsidRDefault="00CE1B1F" w:rsidP="005837E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Theme="minorEastAsia"/>
                <w:b/>
                <w:color w:val="000000"/>
                <w:sz w:val="20"/>
                <w:lang w:eastAsia="zh-CN"/>
              </w:rPr>
            </w:pPr>
            <w:r w:rsidRPr="00CE1B1F">
              <w:rPr>
                <w:rFonts w:eastAsiaTheme="minorEastAsia" w:hint="eastAsia"/>
                <w:b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777" w:type="dxa"/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b/>
                <w:color w:val="000000"/>
                <w:sz w:val="20"/>
                <w:lang w:eastAsia="zh-CN"/>
              </w:rPr>
              <w:t>-0.9%</w:t>
            </w:r>
          </w:p>
        </w:tc>
        <w:tc>
          <w:tcPr>
            <w:tcW w:w="1777" w:type="dxa"/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b/>
                <w:color w:val="000000"/>
                <w:sz w:val="20"/>
                <w:lang w:eastAsia="zh-CN"/>
              </w:rPr>
              <w:t>-0.8%</w:t>
            </w:r>
          </w:p>
        </w:tc>
        <w:tc>
          <w:tcPr>
            <w:tcW w:w="1777" w:type="dxa"/>
            <w:vAlign w:val="bottom"/>
          </w:tcPr>
          <w:p w:rsidR="00E41102" w:rsidRPr="00CE1B1F" w:rsidRDefault="00E41102" w:rsidP="00CE1B1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color w:val="000000"/>
                <w:sz w:val="20"/>
                <w:lang w:eastAsia="zh-CN"/>
              </w:rPr>
            </w:pPr>
            <w:r w:rsidRPr="00CE1B1F">
              <w:rPr>
                <w:rFonts w:hint="eastAsia"/>
                <w:b/>
                <w:color w:val="000000"/>
                <w:sz w:val="20"/>
                <w:lang w:eastAsia="zh-CN"/>
              </w:rPr>
              <w:t>-0.6%</w:t>
            </w:r>
          </w:p>
        </w:tc>
      </w:tr>
    </w:tbl>
    <w:p w:rsidR="00195C58" w:rsidRPr="00E41102" w:rsidRDefault="00195C58" w:rsidP="006A43B9">
      <w:pPr>
        <w:rPr>
          <w:lang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E33B07" w:rsidRDefault="0015765F" w:rsidP="005702E7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>[1]</w:t>
      </w:r>
      <w:r w:rsidR="00E33B07">
        <w:rPr>
          <w:rStyle w:val="ab"/>
          <w:rFonts w:hint="eastAsia"/>
          <w:lang w:eastAsia="zh-CN"/>
        </w:rPr>
        <w:t xml:space="preserve"> </w:t>
      </w:r>
      <w:r w:rsidR="00E31FFE">
        <w:rPr>
          <w:rStyle w:val="ab"/>
          <w:rFonts w:hint="eastAsia"/>
          <w:lang w:eastAsia="zh-CN"/>
        </w:rPr>
        <w:t>G</w:t>
      </w:r>
      <w:r w:rsidR="00E33B07">
        <w:rPr>
          <w:rStyle w:val="ab"/>
          <w:rFonts w:hint="eastAsia"/>
          <w:lang w:eastAsia="zh-CN"/>
        </w:rPr>
        <w:t xml:space="preserve">. </w:t>
      </w:r>
      <w:r w:rsidR="00E31FFE">
        <w:rPr>
          <w:rStyle w:val="ab"/>
          <w:rFonts w:hint="eastAsia"/>
          <w:lang w:eastAsia="zh-CN"/>
        </w:rPr>
        <w:t>Tech</w:t>
      </w:r>
      <w:r w:rsidR="00E33B07">
        <w:rPr>
          <w:rStyle w:val="ab"/>
          <w:rFonts w:hint="eastAsia"/>
          <w:lang w:eastAsia="zh-CN"/>
        </w:rPr>
        <w:t xml:space="preserve">, </w:t>
      </w:r>
      <w:r w:rsidR="00E31FFE">
        <w:rPr>
          <w:rStyle w:val="ab"/>
          <w:rFonts w:hint="eastAsia"/>
          <w:lang w:eastAsia="zh-CN"/>
        </w:rPr>
        <w:t>Y</w:t>
      </w:r>
      <w:r w:rsidR="00E33B07">
        <w:rPr>
          <w:rStyle w:val="ab"/>
          <w:rFonts w:hint="eastAsia"/>
          <w:lang w:eastAsia="zh-CN"/>
        </w:rPr>
        <w:t xml:space="preserve">. </w:t>
      </w:r>
      <w:r w:rsidR="00E31FFE">
        <w:rPr>
          <w:rStyle w:val="ab"/>
          <w:rFonts w:hint="eastAsia"/>
          <w:lang w:eastAsia="zh-CN"/>
        </w:rPr>
        <w:t>Chen</w:t>
      </w:r>
      <w:r w:rsidR="005702E7">
        <w:rPr>
          <w:rStyle w:val="ab"/>
          <w:rFonts w:hint="eastAsia"/>
          <w:lang w:eastAsia="zh-CN"/>
        </w:rPr>
        <w:t>, S</w:t>
      </w:r>
      <w:r w:rsidR="00E33B07">
        <w:rPr>
          <w:rStyle w:val="ab"/>
          <w:rFonts w:hint="eastAsia"/>
          <w:lang w:eastAsia="zh-CN"/>
        </w:rPr>
        <w:t xml:space="preserve">. </w:t>
      </w:r>
      <w:r w:rsidR="00E31FFE">
        <w:rPr>
          <w:rStyle w:val="ab"/>
          <w:rFonts w:hint="eastAsia"/>
          <w:lang w:eastAsia="zh-CN"/>
        </w:rPr>
        <w:t>Yea</w:t>
      </w:r>
      <w:r w:rsidR="00E33B07">
        <w:rPr>
          <w:rStyle w:val="ab"/>
          <w:rFonts w:hint="eastAsia"/>
          <w:lang w:eastAsia="zh-CN"/>
        </w:rPr>
        <w:t xml:space="preserve">, </w:t>
      </w:r>
      <w:r w:rsidR="00E33B07">
        <w:rPr>
          <w:rStyle w:val="ab"/>
          <w:lang w:eastAsia="zh-CN"/>
        </w:rPr>
        <w:t>“</w:t>
      </w:r>
      <w:r w:rsidR="00E31FFE" w:rsidRPr="00E31FFE">
        <w:rPr>
          <w:rStyle w:val="ab"/>
          <w:lang w:eastAsia="zh-CN"/>
        </w:rPr>
        <w:t>3D-HEVC Test Model 2</w:t>
      </w:r>
      <w:r w:rsidR="00E33B07">
        <w:rPr>
          <w:rStyle w:val="ab"/>
          <w:lang w:eastAsia="zh-CN"/>
        </w:rPr>
        <w:t>”</w:t>
      </w:r>
      <w:r w:rsidR="009F5832" w:rsidRPr="000B783A">
        <w:rPr>
          <w:rStyle w:val="ab"/>
        </w:rPr>
        <w:t>,</w:t>
      </w:r>
      <w:r w:rsidR="009F5832" w:rsidRPr="000B783A">
        <w:rPr>
          <w:rStyle w:val="ab"/>
          <w:rFonts w:hint="eastAsia"/>
          <w:lang w:eastAsia="ja-JP"/>
        </w:rPr>
        <w:t xml:space="preserve"> </w:t>
      </w:r>
      <w:r w:rsidR="009F5832" w:rsidRPr="0041250E">
        <w:rPr>
          <w:szCs w:val="22"/>
        </w:rPr>
        <w:t>Doc</w:t>
      </w:r>
      <w:r w:rsidR="009F5832" w:rsidRPr="001F783C">
        <w:rPr>
          <w:rFonts w:hint="eastAsia"/>
          <w:szCs w:val="22"/>
        </w:rPr>
        <w:t>.</w:t>
      </w:r>
      <w:r w:rsidR="009F5832">
        <w:rPr>
          <w:rFonts w:hint="eastAsia"/>
          <w:szCs w:val="22"/>
          <w:lang w:eastAsia="zh-CN"/>
        </w:rPr>
        <w:t xml:space="preserve"> </w:t>
      </w:r>
      <w:r w:rsidR="00E31FFE">
        <w:rPr>
          <w:rStyle w:val="ab"/>
          <w:rFonts w:hint="eastAsia"/>
          <w:lang w:eastAsia="zh-CN"/>
        </w:rPr>
        <w:t>JCT3V-B1005_d0</w:t>
      </w:r>
      <w:r w:rsidR="009F5832">
        <w:rPr>
          <w:rStyle w:val="ab"/>
        </w:rPr>
        <w:t>,</w:t>
      </w:r>
      <w:r w:rsidR="00E31FFE">
        <w:rPr>
          <w:rStyle w:val="ab"/>
        </w:rPr>
        <w:t xml:space="preserve"> </w:t>
      </w:r>
      <w:r w:rsidR="00E31FFE" w:rsidRPr="008A6414">
        <w:rPr>
          <w:szCs w:val="22"/>
        </w:rPr>
        <w:t>Shanghai, C</w:t>
      </w:r>
      <w:r w:rsidR="00E31FFE">
        <w:rPr>
          <w:rFonts w:hint="eastAsia"/>
          <w:szCs w:val="22"/>
          <w:lang w:eastAsia="zh-CN"/>
        </w:rPr>
        <w:t>hina,</w:t>
      </w:r>
      <w:r w:rsidR="00E31FFE" w:rsidRPr="008A6414">
        <w:rPr>
          <w:szCs w:val="22"/>
        </w:rPr>
        <w:t xml:space="preserve"> Oct. 2012</w:t>
      </w:r>
      <w:r w:rsidR="00E31FFE">
        <w:rPr>
          <w:rFonts w:hint="eastAsia"/>
          <w:szCs w:val="22"/>
          <w:lang w:eastAsia="zh-CN"/>
        </w:rPr>
        <w:t>.</w:t>
      </w:r>
    </w:p>
    <w:p w:rsidR="0015765F" w:rsidRDefault="00E33B07" w:rsidP="0015765F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>[</w:t>
      </w:r>
      <w:r w:rsidR="00755A17">
        <w:rPr>
          <w:rStyle w:val="ab"/>
          <w:rFonts w:hint="eastAsia"/>
          <w:lang w:eastAsia="zh-CN"/>
        </w:rPr>
        <w:t>2</w:t>
      </w:r>
      <w:r>
        <w:rPr>
          <w:rStyle w:val="ab"/>
          <w:rFonts w:hint="eastAsia"/>
          <w:lang w:eastAsia="zh-CN"/>
        </w:rPr>
        <w:t xml:space="preserve">] </w:t>
      </w:r>
      <w:r w:rsidR="0015765F">
        <w:rPr>
          <w:rFonts w:hint="eastAsia"/>
          <w:lang w:eastAsia="zh-CN"/>
        </w:rPr>
        <w:t xml:space="preserve">D. </w:t>
      </w:r>
      <w:r w:rsidR="0015765F" w:rsidRPr="0097504A">
        <w:rPr>
          <w:rStyle w:val="ab"/>
          <w:lang w:eastAsia="ja-JP"/>
        </w:rPr>
        <w:t>Rusanovskyy</w:t>
      </w:r>
      <w:r w:rsidR="0015765F">
        <w:rPr>
          <w:rStyle w:val="ab"/>
          <w:rFonts w:hint="eastAsia"/>
          <w:lang w:eastAsia="zh-CN"/>
        </w:rPr>
        <w:t xml:space="preserve">, K. </w:t>
      </w:r>
      <w:r w:rsidR="0015765F" w:rsidRPr="006B5D49">
        <w:rPr>
          <w:szCs w:val="22"/>
          <w:lang w:val="de-DE"/>
        </w:rPr>
        <w:t>Müller</w:t>
      </w:r>
      <w:r w:rsidR="0015765F">
        <w:rPr>
          <w:rFonts w:hint="eastAsia"/>
          <w:szCs w:val="22"/>
          <w:lang w:val="de-DE" w:eastAsia="zh-CN"/>
        </w:rPr>
        <w:t xml:space="preserve">, A. </w:t>
      </w:r>
      <w:r w:rsidR="0015765F" w:rsidRPr="006B5D49">
        <w:rPr>
          <w:szCs w:val="22"/>
          <w:lang w:val="de-DE"/>
        </w:rPr>
        <w:t>Vetro</w:t>
      </w:r>
      <w:r w:rsidR="0015765F">
        <w:rPr>
          <w:rStyle w:val="ab"/>
          <w:rFonts w:hint="eastAsia"/>
          <w:lang w:eastAsia="zh-CN"/>
        </w:rPr>
        <w:t>,</w:t>
      </w:r>
      <w:r w:rsidR="0015765F" w:rsidRPr="0097504A">
        <w:rPr>
          <w:rStyle w:val="ab"/>
          <w:lang w:eastAsia="ja-JP"/>
        </w:rPr>
        <w:t xml:space="preserve"> </w:t>
      </w:r>
      <w:r w:rsidR="0015765F" w:rsidRPr="000B783A">
        <w:rPr>
          <w:rStyle w:val="ab"/>
        </w:rPr>
        <w:t>“</w:t>
      </w:r>
      <w:r w:rsidR="0015765F" w:rsidRPr="002B2929">
        <w:rPr>
          <w:rStyle w:val="ab"/>
        </w:rPr>
        <w:t>Common Test Conditions of 3DV Core Experiments</w:t>
      </w:r>
      <w:r w:rsidR="0015765F" w:rsidRPr="000B783A">
        <w:rPr>
          <w:rStyle w:val="ab"/>
        </w:rPr>
        <w:t>”,</w:t>
      </w:r>
      <w:r w:rsidR="0015765F" w:rsidRPr="000B783A">
        <w:rPr>
          <w:rStyle w:val="ab"/>
          <w:rFonts w:hint="eastAsia"/>
          <w:lang w:eastAsia="ja-JP"/>
        </w:rPr>
        <w:t xml:space="preserve"> </w:t>
      </w:r>
      <w:r w:rsidR="0015765F" w:rsidRPr="0041250E">
        <w:rPr>
          <w:szCs w:val="22"/>
        </w:rPr>
        <w:t>Doc</w:t>
      </w:r>
      <w:r w:rsidR="0015765F" w:rsidRPr="001F783C">
        <w:rPr>
          <w:rFonts w:hint="eastAsia"/>
          <w:szCs w:val="22"/>
        </w:rPr>
        <w:t>.</w:t>
      </w:r>
      <w:r w:rsidR="0015765F">
        <w:rPr>
          <w:rFonts w:hint="eastAsia"/>
          <w:szCs w:val="22"/>
          <w:lang w:eastAsia="zh-CN"/>
        </w:rPr>
        <w:t xml:space="preserve"> </w:t>
      </w:r>
      <w:r w:rsidR="0015765F">
        <w:rPr>
          <w:rStyle w:val="ab"/>
          <w:rFonts w:hint="eastAsia"/>
          <w:lang w:eastAsia="zh-CN"/>
        </w:rPr>
        <w:t>JCT3V-B1100</w:t>
      </w:r>
      <w:r w:rsidR="0015765F">
        <w:rPr>
          <w:rStyle w:val="ab"/>
        </w:rPr>
        <w:t xml:space="preserve">, </w:t>
      </w:r>
      <w:r w:rsidR="0015765F" w:rsidRPr="008A6414">
        <w:rPr>
          <w:szCs w:val="22"/>
        </w:rPr>
        <w:t>Shanghai, C</w:t>
      </w:r>
      <w:r w:rsidR="00833745">
        <w:rPr>
          <w:rFonts w:hint="eastAsia"/>
          <w:szCs w:val="22"/>
          <w:lang w:eastAsia="zh-CN"/>
        </w:rPr>
        <w:t>hina,</w:t>
      </w:r>
      <w:r w:rsidR="0015765F" w:rsidRPr="008A6414">
        <w:rPr>
          <w:szCs w:val="22"/>
        </w:rPr>
        <w:t xml:space="preserve"> Oct. 2012</w:t>
      </w:r>
      <w:r w:rsidR="0015765F">
        <w:rPr>
          <w:rFonts w:hint="eastAsia"/>
          <w:szCs w:val="22"/>
          <w:lang w:eastAsia="zh-CN"/>
        </w:rPr>
        <w:t>.</w:t>
      </w:r>
    </w:p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lastRenderedPageBreak/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patent rights relating to the technology described in this contribution and, conditioned on reciprocity, is prepared to grant licenses under reasonable and non-discriminatory terms as necessary for 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 w:eastAsia="zh-CN"/>
        </w:rPr>
      </w:pPr>
    </w:p>
    <w:p w:rsidR="00590E26" w:rsidRDefault="00590E26" w:rsidP="009234A5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zh-CN"/>
        </w:rPr>
        <w:t>W</w:t>
      </w:r>
      <w:r>
        <w:rPr>
          <w:rFonts w:hint="eastAsia"/>
          <w:szCs w:val="22"/>
          <w:lang w:val="en-CA" w:eastAsia="zh-CN"/>
        </w:rPr>
        <w:t>orking Draft:</w:t>
      </w:r>
    </w:p>
    <w:p w:rsidR="00590E26" w:rsidRDefault="00590E26" w:rsidP="009234A5">
      <w:pPr>
        <w:jc w:val="both"/>
        <w:rPr>
          <w:szCs w:val="22"/>
          <w:lang w:val="en-CA" w:eastAsia="zh-CN"/>
        </w:rPr>
      </w:pPr>
    </w:p>
    <w:p w:rsidR="003939FE" w:rsidRPr="00F60F40" w:rsidRDefault="003939FE" w:rsidP="003939FE">
      <w:r w:rsidRPr="00F60F40">
        <w:rPr>
          <w:b/>
        </w:rPr>
        <w:t xml:space="preserve">sdc_pred_mode </w:t>
      </w:r>
      <w:r w:rsidRPr="00F60F40">
        <w:t xml:space="preserve">shall be one of the values shown in </w:t>
      </w:r>
      <w:r w:rsidR="00E06E2F" w:rsidRPr="00F60F40">
        <w:fldChar w:fldCharType="begin" w:fldLock="1"/>
      </w:r>
      <w:r w:rsidRPr="00F60F40">
        <w:instrText xml:space="preserve"> REF _Ref342859264 \h </w:instrText>
      </w:r>
      <w:r w:rsidR="00E06E2F" w:rsidRPr="00F60F40">
        <w:fldChar w:fldCharType="separate"/>
      </w:r>
      <w:r w:rsidRPr="00F60F40">
        <w:t>Table G</w:t>
      </w:r>
      <w:r w:rsidRPr="00F60F40">
        <w:noBreakHyphen/>
      </w:r>
      <w:r>
        <w:rPr>
          <w:noProof/>
        </w:rPr>
        <w:t>3</w:t>
      </w:r>
      <w:r w:rsidR="00E06E2F" w:rsidRPr="00F60F40">
        <w:fldChar w:fldCharType="end"/>
      </w:r>
      <w:r w:rsidRPr="00F60F40">
        <w:t xml:space="preserve">. sdc_pred_mode specifies the intra prediction mode used for simplified depth coding. </w:t>
      </w:r>
    </w:p>
    <w:p w:rsidR="003939FE" w:rsidRPr="00DE48CB" w:rsidRDefault="003939FE" w:rsidP="003939FE">
      <w:pPr>
        <w:pStyle w:val="aa"/>
        <w:spacing w:after="120"/>
        <w:rPr>
          <w:strike/>
          <w:lang w:val="en-GB"/>
        </w:rPr>
      </w:pPr>
      <w:r w:rsidRPr="00DE48CB">
        <w:rPr>
          <w:strike/>
        </w:rPr>
        <w:t>Table G</w:t>
      </w:r>
      <w:r w:rsidRPr="00DE48CB">
        <w:rPr>
          <w:strike/>
        </w:rPr>
        <w:noBreakHyphen/>
      </w:r>
      <w:r w:rsidR="00E06E2F" w:rsidRPr="00DE48CB">
        <w:rPr>
          <w:strike/>
        </w:rPr>
        <w:fldChar w:fldCharType="begin" w:fldLock="1"/>
      </w:r>
      <w:r w:rsidRPr="00DE48CB">
        <w:rPr>
          <w:strike/>
        </w:rPr>
        <w:instrText xml:space="preserve"> SEQ Table \* ARABIC \s 1 </w:instrText>
      </w:r>
      <w:r w:rsidR="00E06E2F" w:rsidRPr="00DE48CB">
        <w:rPr>
          <w:strike/>
        </w:rPr>
        <w:fldChar w:fldCharType="separate"/>
      </w:r>
      <w:r w:rsidRPr="00DE48CB">
        <w:rPr>
          <w:strike/>
          <w:noProof/>
        </w:rPr>
        <w:t>3</w:t>
      </w:r>
      <w:r w:rsidR="00E06E2F" w:rsidRPr="00DE48CB">
        <w:rPr>
          <w:strike/>
        </w:rPr>
        <w:fldChar w:fldCharType="end"/>
      </w:r>
      <w:r w:rsidRPr="00DE48CB">
        <w:rPr>
          <w:strike/>
          <w:lang w:eastAsia="ko-KR"/>
        </w:rPr>
        <w:t xml:space="preserve"> </w:t>
      </w:r>
      <w:r w:rsidRPr="00DE48CB">
        <w:rPr>
          <w:strike/>
        </w:rPr>
        <w:t xml:space="preserve">– </w:t>
      </w:r>
      <w:r w:rsidRPr="00DE48CB">
        <w:rPr>
          <w:strike/>
          <w:lang w:val="en-GB"/>
        </w:rPr>
        <w:t xml:space="preserve">Interpretation of sdc_pred_mode 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1546"/>
        <w:gridCol w:w="4101"/>
      </w:tblGrid>
      <w:tr w:rsidR="003939FE" w:rsidRPr="00DE48CB" w:rsidTr="00B7368E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strike/>
              </w:rPr>
            </w:pPr>
            <w:r w:rsidRPr="00DE48CB">
              <w:rPr>
                <w:b/>
                <w:strike/>
              </w:rPr>
              <w:t>sdc_pred_mode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strike/>
              </w:rPr>
            </w:pPr>
            <w:r w:rsidRPr="00DE48CB">
              <w:rPr>
                <w:strike/>
              </w:rPr>
              <w:t>Associated Intra Prediction Mode</w:t>
            </w:r>
          </w:p>
        </w:tc>
      </w:tr>
      <w:tr w:rsidR="003939FE" w:rsidRPr="00DE48CB" w:rsidTr="00B7368E">
        <w:trPr>
          <w:cantSplit/>
          <w:trHeight w:val="292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strike/>
              </w:rPr>
            </w:pPr>
            <w:r w:rsidRPr="00DE48CB">
              <w:rPr>
                <w:strike/>
              </w:rPr>
              <w:t>0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strike/>
              </w:rPr>
            </w:pPr>
            <w:r w:rsidRPr="00DE48CB">
              <w:rPr>
                <w:strike/>
                <w:lang w:eastAsia="ko-KR"/>
              </w:rPr>
              <w:t>Intra_DC</w:t>
            </w:r>
          </w:p>
        </w:tc>
      </w:tr>
      <w:tr w:rsidR="003939FE" w:rsidRPr="00DE48CB" w:rsidTr="00B7368E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strike/>
              </w:rPr>
            </w:pPr>
            <w:r w:rsidRPr="00DE48CB">
              <w:rPr>
                <w:strike/>
              </w:rPr>
              <w:t>1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strike/>
              </w:rPr>
            </w:pPr>
            <w:r w:rsidRPr="00DE48CB">
              <w:rPr>
                <w:strike/>
                <w:lang w:eastAsia="ko-KR"/>
              </w:rPr>
              <w:t>Intra_DepthPartition( 35 )</w:t>
            </w:r>
            <w:r w:rsidRPr="00DE48CB" w:rsidDel="00381822">
              <w:rPr>
                <w:strike/>
                <w:lang w:eastAsia="ko-KR"/>
              </w:rPr>
              <w:t xml:space="preserve"> </w:t>
            </w:r>
          </w:p>
        </w:tc>
      </w:tr>
      <w:tr w:rsidR="003939FE" w:rsidRPr="00DE48CB" w:rsidTr="00B7368E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strike/>
              </w:rPr>
            </w:pPr>
            <w:r w:rsidRPr="00DE48CB">
              <w:rPr>
                <w:strike/>
              </w:rPr>
              <w:t>2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strike/>
              </w:rPr>
            </w:pPr>
            <w:r w:rsidRPr="00DE48CB">
              <w:rPr>
                <w:strike/>
                <w:lang w:eastAsia="ko-KR"/>
              </w:rPr>
              <w:t>Intra_DepthPartition( 41 )</w:t>
            </w:r>
            <w:r w:rsidRPr="00DE48CB" w:rsidDel="00381822">
              <w:rPr>
                <w:strike/>
              </w:rPr>
              <w:t xml:space="preserve"> </w:t>
            </w:r>
          </w:p>
        </w:tc>
      </w:tr>
      <w:tr w:rsidR="003939FE" w:rsidRPr="00DE48CB" w:rsidTr="00B7368E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strike/>
              </w:rPr>
            </w:pPr>
            <w:r w:rsidRPr="00DE48CB">
              <w:rPr>
                <w:strike/>
              </w:rPr>
              <w:t>3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strike/>
              </w:rPr>
            </w:pPr>
            <w:r w:rsidRPr="00DE48CB">
              <w:rPr>
                <w:strike/>
                <w:lang w:eastAsia="ko-KR"/>
              </w:rPr>
              <w:t>Intra_Planar</w:t>
            </w:r>
          </w:p>
        </w:tc>
      </w:tr>
    </w:tbl>
    <w:p w:rsidR="003939FE" w:rsidRPr="00F60F40" w:rsidRDefault="003939FE" w:rsidP="003939FE">
      <w:pPr>
        <w:pStyle w:val="aa"/>
        <w:spacing w:after="120"/>
        <w:rPr>
          <w:lang w:val="en-GB"/>
        </w:rPr>
      </w:pPr>
      <w:r w:rsidRPr="00F60F40">
        <w:t>Table G</w:t>
      </w:r>
      <w:r w:rsidRPr="00F60F40">
        <w:noBreakHyphen/>
      </w:r>
      <w:r w:rsidR="00E06E2F" w:rsidRPr="00F60F40">
        <w:fldChar w:fldCharType="begin" w:fldLock="1"/>
      </w:r>
      <w:r w:rsidRPr="00F60F40">
        <w:instrText xml:space="preserve"> SEQ Table \* ARABIC \s 1 </w:instrText>
      </w:r>
      <w:r w:rsidR="00E06E2F" w:rsidRPr="00F60F40">
        <w:fldChar w:fldCharType="separate"/>
      </w:r>
      <w:r>
        <w:rPr>
          <w:noProof/>
        </w:rPr>
        <w:t>3</w:t>
      </w:r>
      <w:r w:rsidR="00E06E2F" w:rsidRPr="00F60F40">
        <w:fldChar w:fldCharType="end"/>
      </w:r>
      <w:r>
        <w:rPr>
          <w:lang w:eastAsia="ko-KR"/>
        </w:rPr>
        <w:t xml:space="preserve"> </w:t>
      </w:r>
      <w:r w:rsidRPr="00F60F40">
        <w:t>–</w:t>
      </w:r>
      <w:r>
        <w:t xml:space="preserve"> </w:t>
      </w:r>
      <w:r w:rsidRPr="00F60F40">
        <w:rPr>
          <w:lang w:val="en-GB"/>
        </w:rPr>
        <w:t>Interpretation of sdc_pred_mode</w:t>
      </w:r>
      <w:r>
        <w:rPr>
          <w:lang w:val="en-GB"/>
        </w:rPr>
        <w:t xml:space="preserve"> 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1546"/>
        <w:gridCol w:w="4101"/>
      </w:tblGrid>
      <w:tr w:rsidR="003939FE" w:rsidRPr="00F60F40" w:rsidTr="00B7368E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F60F40" w:rsidRDefault="003939FE" w:rsidP="00B7368E">
            <w:pPr>
              <w:pStyle w:val="3S0"/>
            </w:pPr>
            <w:r w:rsidRPr="00F60F40">
              <w:rPr>
                <w:b/>
              </w:rPr>
              <w:t>sdc_pred_mode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F60F40" w:rsidRDefault="003939FE" w:rsidP="00B7368E">
            <w:pPr>
              <w:pStyle w:val="3S0"/>
            </w:pPr>
            <w:r w:rsidRPr="00F60F40">
              <w:t>Associated Intra Prediction Mode</w:t>
            </w:r>
          </w:p>
        </w:tc>
      </w:tr>
      <w:tr w:rsidR="003939FE" w:rsidRPr="00F60F40" w:rsidTr="00B7368E">
        <w:trPr>
          <w:cantSplit/>
          <w:trHeight w:val="292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highlight w:val="yellow"/>
              </w:rPr>
            </w:pPr>
            <w:r w:rsidRPr="00DE48CB">
              <w:rPr>
                <w:highlight w:val="yellow"/>
              </w:rPr>
              <w:t>0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3939FE">
            <w:pPr>
              <w:pStyle w:val="3S0"/>
              <w:rPr>
                <w:highlight w:val="yellow"/>
              </w:rPr>
            </w:pPr>
            <w:r w:rsidRPr="00DE48CB">
              <w:rPr>
                <w:highlight w:val="yellow"/>
                <w:lang w:eastAsia="ko-KR"/>
              </w:rPr>
              <w:t xml:space="preserve">Intra_ Planar </w:t>
            </w:r>
          </w:p>
        </w:tc>
      </w:tr>
      <w:tr w:rsidR="003939FE" w:rsidRPr="00F60F40" w:rsidTr="00B7368E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F60F40" w:rsidRDefault="003939FE" w:rsidP="00B7368E">
            <w:pPr>
              <w:pStyle w:val="3S0"/>
            </w:pPr>
            <w:r w:rsidRPr="00F60F40">
              <w:t>1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F60F40" w:rsidRDefault="003939FE" w:rsidP="00B7368E">
            <w:pPr>
              <w:pStyle w:val="3S0"/>
            </w:pPr>
            <w:r w:rsidRPr="00F60F40">
              <w:rPr>
                <w:lang w:eastAsia="ko-KR"/>
              </w:rPr>
              <w:t>Intra_DepthPartition( 35 )</w:t>
            </w:r>
            <w:r w:rsidRPr="00F60F40" w:rsidDel="00381822">
              <w:rPr>
                <w:lang w:eastAsia="ko-KR"/>
              </w:rPr>
              <w:t xml:space="preserve"> </w:t>
            </w:r>
          </w:p>
        </w:tc>
      </w:tr>
      <w:tr w:rsidR="003939FE" w:rsidRPr="00F60F40" w:rsidTr="00B7368E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F60F40" w:rsidRDefault="003939FE" w:rsidP="00B7368E">
            <w:pPr>
              <w:pStyle w:val="3S0"/>
            </w:pPr>
            <w:r w:rsidRPr="00F60F40">
              <w:t>2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F60F40" w:rsidRDefault="003939FE" w:rsidP="00B7368E">
            <w:pPr>
              <w:pStyle w:val="3S0"/>
            </w:pPr>
            <w:r w:rsidRPr="00F60F40">
              <w:rPr>
                <w:lang w:eastAsia="ko-KR"/>
              </w:rPr>
              <w:t>Intra_DepthPartition( 41 )</w:t>
            </w:r>
            <w:r w:rsidRPr="00F60F40" w:rsidDel="00381822">
              <w:t xml:space="preserve"> </w:t>
            </w:r>
          </w:p>
        </w:tc>
      </w:tr>
      <w:tr w:rsidR="003939FE" w:rsidRPr="00F60F40" w:rsidTr="00B7368E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B7368E">
            <w:pPr>
              <w:pStyle w:val="3S0"/>
              <w:rPr>
                <w:highlight w:val="yellow"/>
              </w:rPr>
            </w:pPr>
            <w:r w:rsidRPr="00DE48CB">
              <w:rPr>
                <w:highlight w:val="yellow"/>
              </w:rPr>
              <w:t>3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9FE" w:rsidRPr="00DE48CB" w:rsidRDefault="003939FE" w:rsidP="003939FE">
            <w:pPr>
              <w:pStyle w:val="3S0"/>
              <w:rPr>
                <w:highlight w:val="yellow"/>
              </w:rPr>
            </w:pPr>
            <w:r w:rsidRPr="00DE48CB">
              <w:rPr>
                <w:highlight w:val="yellow"/>
                <w:lang w:eastAsia="ko-KR"/>
              </w:rPr>
              <w:t>Intra_ DC</w:t>
            </w:r>
          </w:p>
        </w:tc>
      </w:tr>
    </w:tbl>
    <w:p w:rsidR="000914C9" w:rsidRPr="00734A23" w:rsidRDefault="000914C9" w:rsidP="000914C9">
      <w:pPr>
        <w:pStyle w:val="3D0"/>
        <w:rPr>
          <w:highlight w:val="cyan"/>
        </w:rPr>
      </w:pPr>
      <w:r w:rsidRPr="00734A23">
        <w:rPr>
          <w:highlight w:val="cyan"/>
        </w:rPr>
        <w:t>If sdc_flag[ xB ][ yB ] is equal to 1, IntraPredMode[ xB ][ yB ] is derived as follows.</w:t>
      </w:r>
    </w:p>
    <w:p w:rsidR="000914C9" w:rsidRPr="000914C9" w:rsidRDefault="000914C9" w:rsidP="000914C9">
      <w:pPr>
        <w:pStyle w:val="3D1"/>
        <w:rPr>
          <w:highlight w:val="yellow"/>
        </w:rPr>
      </w:pPr>
      <w:r w:rsidRPr="000914C9">
        <w:rPr>
          <w:highlight w:val="yellow"/>
        </w:rPr>
        <w:t xml:space="preserve">If sdc_pred_mode[ xB ][ yB ] is equal to 0, IntraPredMode[ xB ][ yB ] is set equal to </w:t>
      </w:r>
      <w:r w:rsidRPr="000914C9">
        <w:rPr>
          <w:rFonts w:eastAsiaTheme="minorEastAsia" w:hint="eastAsia"/>
          <w:highlight w:val="yellow"/>
          <w:lang w:eastAsia="zh-CN"/>
        </w:rPr>
        <w:t>0</w:t>
      </w:r>
      <w:r w:rsidRPr="000914C9">
        <w:rPr>
          <w:highlight w:val="yellow"/>
        </w:rPr>
        <w:t>.</w:t>
      </w:r>
    </w:p>
    <w:p w:rsidR="000914C9" w:rsidRPr="00734A23" w:rsidRDefault="000914C9" w:rsidP="000914C9">
      <w:pPr>
        <w:pStyle w:val="3D1"/>
        <w:rPr>
          <w:highlight w:val="cyan"/>
        </w:rPr>
      </w:pPr>
      <w:r w:rsidRPr="00734A23">
        <w:rPr>
          <w:highlight w:val="cyan"/>
        </w:rPr>
        <w:t>Otherwise, if sdc_pred_mode[ xB ][ yB ] is equal to 1, IntraPredMode[ xB ][ yB ] is set equal to 35.</w:t>
      </w:r>
    </w:p>
    <w:p w:rsidR="000914C9" w:rsidRPr="00734A23" w:rsidRDefault="000914C9" w:rsidP="000914C9">
      <w:pPr>
        <w:pStyle w:val="3D1"/>
        <w:rPr>
          <w:highlight w:val="cyan"/>
        </w:rPr>
      </w:pPr>
      <w:r w:rsidRPr="00734A23">
        <w:rPr>
          <w:highlight w:val="cyan"/>
        </w:rPr>
        <w:t>Otherwise, if  sdc_pred_mode[ xB ][ yB ] is equal to 2, IntraPredMode[ xB ][ yB ] is set equal to 41.</w:t>
      </w:r>
    </w:p>
    <w:p w:rsidR="000914C9" w:rsidRPr="000914C9" w:rsidRDefault="000914C9" w:rsidP="000914C9">
      <w:pPr>
        <w:pStyle w:val="3D1"/>
        <w:rPr>
          <w:highlight w:val="yellow"/>
        </w:rPr>
      </w:pPr>
      <w:r w:rsidRPr="000914C9">
        <w:rPr>
          <w:highlight w:val="yellow"/>
        </w:rPr>
        <w:t>Otherwise, if sdc_pred_mode</w:t>
      </w:r>
      <w:r w:rsidRPr="000914C9" w:rsidDel="00A6679D">
        <w:rPr>
          <w:highlight w:val="yellow"/>
        </w:rPr>
        <w:t xml:space="preserve"> </w:t>
      </w:r>
      <w:r w:rsidRPr="000914C9">
        <w:rPr>
          <w:highlight w:val="yellow"/>
        </w:rPr>
        <w:t xml:space="preserve">[ xB ][ yB ] is equal to 3, IntraPredMode[ xB ][ yB ] is set equal to </w:t>
      </w:r>
      <w:r w:rsidRPr="000914C9">
        <w:rPr>
          <w:rFonts w:eastAsiaTheme="minorEastAsia" w:hint="eastAsia"/>
          <w:highlight w:val="yellow"/>
          <w:lang w:eastAsia="zh-CN"/>
        </w:rPr>
        <w:t>1</w:t>
      </w:r>
      <w:r w:rsidRPr="000914C9">
        <w:rPr>
          <w:highlight w:val="yellow"/>
        </w:rPr>
        <w:t>.</w:t>
      </w:r>
    </w:p>
    <w:p w:rsidR="00590E26" w:rsidRPr="000914C9" w:rsidRDefault="00590E26" w:rsidP="009234A5">
      <w:pPr>
        <w:jc w:val="both"/>
        <w:rPr>
          <w:szCs w:val="22"/>
          <w:lang w:val="en-GB" w:eastAsia="zh-CN"/>
        </w:rPr>
      </w:pPr>
    </w:p>
    <w:sectPr w:rsidR="00590E26" w:rsidRPr="000914C9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B96" w:rsidRDefault="004E6B96">
      <w:r>
        <w:separator/>
      </w:r>
    </w:p>
  </w:endnote>
  <w:endnote w:type="continuationSeparator" w:id="1">
    <w:p w:rsidR="004E6B96" w:rsidRDefault="004E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Dotum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770" w:rsidRDefault="0041577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06E2F">
      <w:rPr>
        <w:rStyle w:val="a5"/>
      </w:rPr>
      <w:fldChar w:fldCharType="begin"/>
    </w:r>
    <w:r>
      <w:rPr>
        <w:rStyle w:val="a5"/>
      </w:rPr>
      <w:instrText xml:space="preserve"> PAGE </w:instrText>
    </w:r>
    <w:r w:rsidR="00E06E2F">
      <w:rPr>
        <w:rStyle w:val="a5"/>
      </w:rPr>
      <w:fldChar w:fldCharType="separate"/>
    </w:r>
    <w:r w:rsidR="003E27CD">
      <w:rPr>
        <w:rStyle w:val="a5"/>
        <w:noProof/>
      </w:rPr>
      <w:t>2</w:t>
    </w:r>
    <w:r w:rsidR="00E06E2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E06E2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E06E2F">
      <w:rPr>
        <w:rStyle w:val="a5"/>
      </w:rPr>
      <w:fldChar w:fldCharType="separate"/>
    </w:r>
    <w:r w:rsidR="002C23A8">
      <w:rPr>
        <w:rStyle w:val="a5"/>
        <w:noProof/>
      </w:rPr>
      <w:t>2013-01-10</w:t>
    </w:r>
    <w:r w:rsidR="00E06E2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B96" w:rsidRDefault="004E6B96">
      <w:r>
        <w:separator/>
      </w:r>
    </w:p>
  </w:footnote>
  <w:footnote w:type="continuationSeparator" w:id="1">
    <w:p w:rsidR="004E6B96" w:rsidRDefault="004E6B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3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1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2">
    <w:nsid w:val="76F27275"/>
    <w:multiLevelType w:val="hybridMultilevel"/>
    <w:tmpl w:val="62E8DDC8"/>
    <w:lvl w:ilvl="0" w:tplc="869C9FC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8"/>
  </w:num>
  <w:num w:numId="13">
    <w:abstractNumId w:val="2"/>
  </w:num>
  <w:num w:numId="14">
    <w:abstractNumId w:val="13"/>
  </w:num>
  <w:num w:numId="15">
    <w:abstractNumId w:val="9"/>
  </w:num>
  <w:num w:numId="16">
    <w:abstractNumId w:val="21"/>
  </w:num>
  <w:num w:numId="17">
    <w:abstractNumId w:val="6"/>
  </w:num>
  <w:num w:numId="18">
    <w:abstractNumId w:val="10"/>
  </w:num>
  <w:num w:numId="19">
    <w:abstractNumId w:val="17"/>
  </w:num>
  <w:num w:numId="20">
    <w:abstractNumId w:val="20"/>
  </w:num>
  <w:num w:numId="21">
    <w:abstractNumId w:val="3"/>
  </w:num>
  <w:num w:numId="22">
    <w:abstractNumId w:val="5"/>
  </w:num>
  <w:num w:numId="23">
    <w:abstractNumId w:val="8"/>
  </w:num>
  <w:num w:numId="24">
    <w:abstractNumId w:val="22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117D2"/>
    <w:rsid w:val="00011A9D"/>
    <w:rsid w:val="00011D3D"/>
    <w:rsid w:val="00026EBF"/>
    <w:rsid w:val="00032372"/>
    <w:rsid w:val="000434A7"/>
    <w:rsid w:val="000458BC"/>
    <w:rsid w:val="00045C41"/>
    <w:rsid w:val="00046C03"/>
    <w:rsid w:val="000540AD"/>
    <w:rsid w:val="00057C59"/>
    <w:rsid w:val="0006048A"/>
    <w:rsid w:val="00061385"/>
    <w:rsid w:val="00063598"/>
    <w:rsid w:val="00072E91"/>
    <w:rsid w:val="0007614F"/>
    <w:rsid w:val="0008095C"/>
    <w:rsid w:val="00080AB2"/>
    <w:rsid w:val="0008290E"/>
    <w:rsid w:val="000849FB"/>
    <w:rsid w:val="00084D5B"/>
    <w:rsid w:val="00085B12"/>
    <w:rsid w:val="00086E21"/>
    <w:rsid w:val="000914C9"/>
    <w:rsid w:val="000927EF"/>
    <w:rsid w:val="00096438"/>
    <w:rsid w:val="000974DD"/>
    <w:rsid w:val="00097FEC"/>
    <w:rsid w:val="000A64E1"/>
    <w:rsid w:val="000B1C6B"/>
    <w:rsid w:val="000B4FF9"/>
    <w:rsid w:val="000B645C"/>
    <w:rsid w:val="000C09AC"/>
    <w:rsid w:val="000C3F04"/>
    <w:rsid w:val="000C59D5"/>
    <w:rsid w:val="000C71AE"/>
    <w:rsid w:val="000C7FB7"/>
    <w:rsid w:val="000E00F3"/>
    <w:rsid w:val="000E14E0"/>
    <w:rsid w:val="000E7024"/>
    <w:rsid w:val="000F158C"/>
    <w:rsid w:val="000F2972"/>
    <w:rsid w:val="000F4304"/>
    <w:rsid w:val="00102F3D"/>
    <w:rsid w:val="001042EB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3310"/>
    <w:rsid w:val="00155D2C"/>
    <w:rsid w:val="00156F6C"/>
    <w:rsid w:val="00157373"/>
    <w:rsid w:val="0015765F"/>
    <w:rsid w:val="00160734"/>
    <w:rsid w:val="00163F2D"/>
    <w:rsid w:val="001645BA"/>
    <w:rsid w:val="001704A1"/>
    <w:rsid w:val="00171371"/>
    <w:rsid w:val="00172A83"/>
    <w:rsid w:val="00175A24"/>
    <w:rsid w:val="001863C6"/>
    <w:rsid w:val="00187E58"/>
    <w:rsid w:val="00187F33"/>
    <w:rsid w:val="001912C5"/>
    <w:rsid w:val="00195C58"/>
    <w:rsid w:val="001A297E"/>
    <w:rsid w:val="001A368E"/>
    <w:rsid w:val="001A4429"/>
    <w:rsid w:val="001A67A3"/>
    <w:rsid w:val="001A7329"/>
    <w:rsid w:val="001B1194"/>
    <w:rsid w:val="001B4D65"/>
    <w:rsid w:val="001B4E28"/>
    <w:rsid w:val="001C063E"/>
    <w:rsid w:val="001C0D44"/>
    <w:rsid w:val="001C1FEE"/>
    <w:rsid w:val="001C34C3"/>
    <w:rsid w:val="001C3525"/>
    <w:rsid w:val="001D0229"/>
    <w:rsid w:val="001D0583"/>
    <w:rsid w:val="001D1BD2"/>
    <w:rsid w:val="001D2984"/>
    <w:rsid w:val="001D4904"/>
    <w:rsid w:val="001D71B0"/>
    <w:rsid w:val="001D7D0A"/>
    <w:rsid w:val="001E02BE"/>
    <w:rsid w:val="001E3B37"/>
    <w:rsid w:val="001E4101"/>
    <w:rsid w:val="001E6FAB"/>
    <w:rsid w:val="001F0223"/>
    <w:rsid w:val="001F2594"/>
    <w:rsid w:val="001F55E1"/>
    <w:rsid w:val="002055A6"/>
    <w:rsid w:val="00206460"/>
    <w:rsid w:val="002069B4"/>
    <w:rsid w:val="00207749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42C9B"/>
    <w:rsid w:val="00262716"/>
    <w:rsid w:val="00263398"/>
    <w:rsid w:val="00264C6D"/>
    <w:rsid w:val="00264E8F"/>
    <w:rsid w:val="0027439D"/>
    <w:rsid w:val="00274685"/>
    <w:rsid w:val="00275BCF"/>
    <w:rsid w:val="002806A6"/>
    <w:rsid w:val="002821C1"/>
    <w:rsid w:val="0028344F"/>
    <w:rsid w:val="00292257"/>
    <w:rsid w:val="00292E6D"/>
    <w:rsid w:val="002A021B"/>
    <w:rsid w:val="002A54E0"/>
    <w:rsid w:val="002A7A20"/>
    <w:rsid w:val="002B1595"/>
    <w:rsid w:val="002B191D"/>
    <w:rsid w:val="002B2929"/>
    <w:rsid w:val="002B4FEC"/>
    <w:rsid w:val="002B5E00"/>
    <w:rsid w:val="002B7EBE"/>
    <w:rsid w:val="002C23A8"/>
    <w:rsid w:val="002C2C9F"/>
    <w:rsid w:val="002C44B8"/>
    <w:rsid w:val="002D0AF6"/>
    <w:rsid w:val="002D461A"/>
    <w:rsid w:val="002D4B62"/>
    <w:rsid w:val="002E2692"/>
    <w:rsid w:val="002E278D"/>
    <w:rsid w:val="002E3A52"/>
    <w:rsid w:val="002E62E6"/>
    <w:rsid w:val="002E6975"/>
    <w:rsid w:val="002E7AE4"/>
    <w:rsid w:val="002F164D"/>
    <w:rsid w:val="002F1C5A"/>
    <w:rsid w:val="00300B84"/>
    <w:rsid w:val="0030269B"/>
    <w:rsid w:val="003038E2"/>
    <w:rsid w:val="00306206"/>
    <w:rsid w:val="00311A9D"/>
    <w:rsid w:val="00317812"/>
    <w:rsid w:val="00317D85"/>
    <w:rsid w:val="00323186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30FE"/>
    <w:rsid w:val="00357BAB"/>
    <w:rsid w:val="00364277"/>
    <w:rsid w:val="003706CC"/>
    <w:rsid w:val="003726DF"/>
    <w:rsid w:val="00377710"/>
    <w:rsid w:val="00377868"/>
    <w:rsid w:val="00377A49"/>
    <w:rsid w:val="00380C3A"/>
    <w:rsid w:val="00381957"/>
    <w:rsid w:val="003830E8"/>
    <w:rsid w:val="003926F7"/>
    <w:rsid w:val="00392E32"/>
    <w:rsid w:val="003939FE"/>
    <w:rsid w:val="00395C5A"/>
    <w:rsid w:val="003A2A82"/>
    <w:rsid w:val="003A2D8E"/>
    <w:rsid w:val="003B73DE"/>
    <w:rsid w:val="003C20E4"/>
    <w:rsid w:val="003C4525"/>
    <w:rsid w:val="003C5EA6"/>
    <w:rsid w:val="003C5ED6"/>
    <w:rsid w:val="003D2374"/>
    <w:rsid w:val="003D5337"/>
    <w:rsid w:val="003E17FB"/>
    <w:rsid w:val="003E27CD"/>
    <w:rsid w:val="003E6F90"/>
    <w:rsid w:val="003E7FC4"/>
    <w:rsid w:val="003F5D0F"/>
    <w:rsid w:val="003F7CE4"/>
    <w:rsid w:val="00401CFB"/>
    <w:rsid w:val="00406AAD"/>
    <w:rsid w:val="00413C57"/>
    <w:rsid w:val="00414101"/>
    <w:rsid w:val="00415770"/>
    <w:rsid w:val="00416059"/>
    <w:rsid w:val="00421169"/>
    <w:rsid w:val="00422F2B"/>
    <w:rsid w:val="00431338"/>
    <w:rsid w:val="00433DDB"/>
    <w:rsid w:val="00434FCB"/>
    <w:rsid w:val="00437619"/>
    <w:rsid w:val="004408F6"/>
    <w:rsid w:val="0044708A"/>
    <w:rsid w:val="00454882"/>
    <w:rsid w:val="004562DF"/>
    <w:rsid w:val="004672DC"/>
    <w:rsid w:val="0047299B"/>
    <w:rsid w:val="00474B40"/>
    <w:rsid w:val="004777B8"/>
    <w:rsid w:val="0047787F"/>
    <w:rsid w:val="00481FCD"/>
    <w:rsid w:val="004825F0"/>
    <w:rsid w:val="004872C3"/>
    <w:rsid w:val="004877A4"/>
    <w:rsid w:val="004A082F"/>
    <w:rsid w:val="004A106D"/>
    <w:rsid w:val="004A2A63"/>
    <w:rsid w:val="004A429C"/>
    <w:rsid w:val="004A64EB"/>
    <w:rsid w:val="004B07EA"/>
    <w:rsid w:val="004B210C"/>
    <w:rsid w:val="004B3094"/>
    <w:rsid w:val="004C0974"/>
    <w:rsid w:val="004C5FDF"/>
    <w:rsid w:val="004D1664"/>
    <w:rsid w:val="004D405F"/>
    <w:rsid w:val="004E270B"/>
    <w:rsid w:val="004E3029"/>
    <w:rsid w:val="004E4F4F"/>
    <w:rsid w:val="004E6789"/>
    <w:rsid w:val="004E6AB2"/>
    <w:rsid w:val="004E6B96"/>
    <w:rsid w:val="004F1722"/>
    <w:rsid w:val="004F4FB8"/>
    <w:rsid w:val="004F61E3"/>
    <w:rsid w:val="00500C8A"/>
    <w:rsid w:val="0050590B"/>
    <w:rsid w:val="0051015C"/>
    <w:rsid w:val="0051353E"/>
    <w:rsid w:val="00516CF1"/>
    <w:rsid w:val="00520321"/>
    <w:rsid w:val="005206C6"/>
    <w:rsid w:val="005238C2"/>
    <w:rsid w:val="005250C5"/>
    <w:rsid w:val="005252CB"/>
    <w:rsid w:val="00526623"/>
    <w:rsid w:val="00531AE9"/>
    <w:rsid w:val="00532615"/>
    <w:rsid w:val="005413D0"/>
    <w:rsid w:val="00542089"/>
    <w:rsid w:val="00550A66"/>
    <w:rsid w:val="005515E0"/>
    <w:rsid w:val="00553A9C"/>
    <w:rsid w:val="005602C0"/>
    <w:rsid w:val="00562C15"/>
    <w:rsid w:val="00567968"/>
    <w:rsid w:val="00567EC7"/>
    <w:rsid w:val="00570013"/>
    <w:rsid w:val="005702E7"/>
    <w:rsid w:val="005801A2"/>
    <w:rsid w:val="00582EEF"/>
    <w:rsid w:val="0058329E"/>
    <w:rsid w:val="0058792C"/>
    <w:rsid w:val="005902DD"/>
    <w:rsid w:val="00590E26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7B6B"/>
    <w:rsid w:val="005C385F"/>
    <w:rsid w:val="005C5A79"/>
    <w:rsid w:val="005D65FF"/>
    <w:rsid w:val="005D79E8"/>
    <w:rsid w:val="005E1AC6"/>
    <w:rsid w:val="005E201C"/>
    <w:rsid w:val="005F0682"/>
    <w:rsid w:val="005F2EA0"/>
    <w:rsid w:val="005F3867"/>
    <w:rsid w:val="005F6F1B"/>
    <w:rsid w:val="00600539"/>
    <w:rsid w:val="0060412C"/>
    <w:rsid w:val="00606F32"/>
    <w:rsid w:val="00614A45"/>
    <w:rsid w:val="00616FD9"/>
    <w:rsid w:val="006237B4"/>
    <w:rsid w:val="006247EB"/>
    <w:rsid w:val="00624B33"/>
    <w:rsid w:val="006266A4"/>
    <w:rsid w:val="00630AA2"/>
    <w:rsid w:val="00631EB8"/>
    <w:rsid w:val="0063609A"/>
    <w:rsid w:val="00642E48"/>
    <w:rsid w:val="00646707"/>
    <w:rsid w:val="0064741C"/>
    <w:rsid w:val="00650959"/>
    <w:rsid w:val="00652C04"/>
    <w:rsid w:val="006543AC"/>
    <w:rsid w:val="00662E58"/>
    <w:rsid w:val="00664DCF"/>
    <w:rsid w:val="0066523E"/>
    <w:rsid w:val="00672F09"/>
    <w:rsid w:val="00673C62"/>
    <w:rsid w:val="00676701"/>
    <w:rsid w:val="00686697"/>
    <w:rsid w:val="00693222"/>
    <w:rsid w:val="006A0AFE"/>
    <w:rsid w:val="006A43B9"/>
    <w:rsid w:val="006A45EA"/>
    <w:rsid w:val="006B29E0"/>
    <w:rsid w:val="006C3E60"/>
    <w:rsid w:val="006C5D39"/>
    <w:rsid w:val="006D2FFB"/>
    <w:rsid w:val="006E075E"/>
    <w:rsid w:val="006E0E14"/>
    <w:rsid w:val="006E172B"/>
    <w:rsid w:val="006E2810"/>
    <w:rsid w:val="006E2C76"/>
    <w:rsid w:val="006E5417"/>
    <w:rsid w:val="006E5455"/>
    <w:rsid w:val="006E5A3B"/>
    <w:rsid w:val="006E6F96"/>
    <w:rsid w:val="006F4F6C"/>
    <w:rsid w:val="006F6E11"/>
    <w:rsid w:val="00700082"/>
    <w:rsid w:val="00712D7D"/>
    <w:rsid w:val="00712F60"/>
    <w:rsid w:val="00720789"/>
    <w:rsid w:val="00720E3B"/>
    <w:rsid w:val="0072450A"/>
    <w:rsid w:val="00727726"/>
    <w:rsid w:val="007304A6"/>
    <w:rsid w:val="00730D93"/>
    <w:rsid w:val="007320D6"/>
    <w:rsid w:val="007366EE"/>
    <w:rsid w:val="007371F5"/>
    <w:rsid w:val="0074553D"/>
    <w:rsid w:val="00745F6B"/>
    <w:rsid w:val="0075135C"/>
    <w:rsid w:val="0075585E"/>
    <w:rsid w:val="00755A17"/>
    <w:rsid w:val="00770571"/>
    <w:rsid w:val="007717F3"/>
    <w:rsid w:val="00772B5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1395"/>
    <w:rsid w:val="007C4830"/>
    <w:rsid w:val="007D210C"/>
    <w:rsid w:val="007D2F54"/>
    <w:rsid w:val="007D3BD4"/>
    <w:rsid w:val="007D4BB8"/>
    <w:rsid w:val="007D67A2"/>
    <w:rsid w:val="007E57AC"/>
    <w:rsid w:val="007F1F8B"/>
    <w:rsid w:val="007F67A1"/>
    <w:rsid w:val="00811609"/>
    <w:rsid w:val="008121F1"/>
    <w:rsid w:val="008123C6"/>
    <w:rsid w:val="008206C8"/>
    <w:rsid w:val="008250D5"/>
    <w:rsid w:val="00833745"/>
    <w:rsid w:val="00833E7C"/>
    <w:rsid w:val="00844102"/>
    <w:rsid w:val="008466D0"/>
    <w:rsid w:val="00862B99"/>
    <w:rsid w:val="00863EFA"/>
    <w:rsid w:val="008669F2"/>
    <w:rsid w:val="00867288"/>
    <w:rsid w:val="00872F7E"/>
    <w:rsid w:val="008741B2"/>
    <w:rsid w:val="0087481F"/>
    <w:rsid w:val="00874A6C"/>
    <w:rsid w:val="00876C65"/>
    <w:rsid w:val="00891887"/>
    <w:rsid w:val="00891DF9"/>
    <w:rsid w:val="008A1611"/>
    <w:rsid w:val="008A1838"/>
    <w:rsid w:val="008A352C"/>
    <w:rsid w:val="008A4B4C"/>
    <w:rsid w:val="008B241F"/>
    <w:rsid w:val="008B399D"/>
    <w:rsid w:val="008B639B"/>
    <w:rsid w:val="008B6E9B"/>
    <w:rsid w:val="008C08CA"/>
    <w:rsid w:val="008C1F1D"/>
    <w:rsid w:val="008C239F"/>
    <w:rsid w:val="008D2B0F"/>
    <w:rsid w:val="008D46E9"/>
    <w:rsid w:val="008D4DE3"/>
    <w:rsid w:val="008E480C"/>
    <w:rsid w:val="008E78CE"/>
    <w:rsid w:val="008F0C22"/>
    <w:rsid w:val="008F1CC8"/>
    <w:rsid w:val="008F57ED"/>
    <w:rsid w:val="00901922"/>
    <w:rsid w:val="00907757"/>
    <w:rsid w:val="0092024B"/>
    <w:rsid w:val="009212B0"/>
    <w:rsid w:val="009234A5"/>
    <w:rsid w:val="00924D55"/>
    <w:rsid w:val="0093300A"/>
    <w:rsid w:val="009336F7"/>
    <w:rsid w:val="00933C17"/>
    <w:rsid w:val="009374A7"/>
    <w:rsid w:val="00940DA4"/>
    <w:rsid w:val="00941E41"/>
    <w:rsid w:val="00942849"/>
    <w:rsid w:val="0094578F"/>
    <w:rsid w:val="00950406"/>
    <w:rsid w:val="0095188C"/>
    <w:rsid w:val="00953CAF"/>
    <w:rsid w:val="00954A9C"/>
    <w:rsid w:val="00961C83"/>
    <w:rsid w:val="009728D1"/>
    <w:rsid w:val="0097661A"/>
    <w:rsid w:val="00980194"/>
    <w:rsid w:val="0098551D"/>
    <w:rsid w:val="00986E33"/>
    <w:rsid w:val="0099518F"/>
    <w:rsid w:val="00995736"/>
    <w:rsid w:val="009A08DE"/>
    <w:rsid w:val="009A1013"/>
    <w:rsid w:val="009A1AD0"/>
    <w:rsid w:val="009A523D"/>
    <w:rsid w:val="009A64FE"/>
    <w:rsid w:val="009B27E2"/>
    <w:rsid w:val="009B29E2"/>
    <w:rsid w:val="009C2692"/>
    <w:rsid w:val="009C5CB3"/>
    <w:rsid w:val="009C5D02"/>
    <w:rsid w:val="009C60AD"/>
    <w:rsid w:val="009E0141"/>
    <w:rsid w:val="009E1708"/>
    <w:rsid w:val="009E1B83"/>
    <w:rsid w:val="009E22FF"/>
    <w:rsid w:val="009E30DD"/>
    <w:rsid w:val="009E35E7"/>
    <w:rsid w:val="009E7B06"/>
    <w:rsid w:val="009F0836"/>
    <w:rsid w:val="009F1EAF"/>
    <w:rsid w:val="009F496B"/>
    <w:rsid w:val="009F5832"/>
    <w:rsid w:val="009F7338"/>
    <w:rsid w:val="00A01439"/>
    <w:rsid w:val="00A0145B"/>
    <w:rsid w:val="00A02E61"/>
    <w:rsid w:val="00A05CFF"/>
    <w:rsid w:val="00A10BF2"/>
    <w:rsid w:val="00A13EF2"/>
    <w:rsid w:val="00A14A8A"/>
    <w:rsid w:val="00A210AA"/>
    <w:rsid w:val="00A24813"/>
    <w:rsid w:val="00A269B7"/>
    <w:rsid w:val="00A2758E"/>
    <w:rsid w:val="00A4428F"/>
    <w:rsid w:val="00A502AC"/>
    <w:rsid w:val="00A518C6"/>
    <w:rsid w:val="00A56B97"/>
    <w:rsid w:val="00A6093D"/>
    <w:rsid w:val="00A626A8"/>
    <w:rsid w:val="00A637AE"/>
    <w:rsid w:val="00A73340"/>
    <w:rsid w:val="00A76A6D"/>
    <w:rsid w:val="00A81A85"/>
    <w:rsid w:val="00A83253"/>
    <w:rsid w:val="00A8408F"/>
    <w:rsid w:val="00A84E73"/>
    <w:rsid w:val="00A85B09"/>
    <w:rsid w:val="00A85E06"/>
    <w:rsid w:val="00A901B4"/>
    <w:rsid w:val="00A97E8A"/>
    <w:rsid w:val="00AA6E84"/>
    <w:rsid w:val="00AB11BF"/>
    <w:rsid w:val="00AB2494"/>
    <w:rsid w:val="00AB5886"/>
    <w:rsid w:val="00AB6B30"/>
    <w:rsid w:val="00AC0C0A"/>
    <w:rsid w:val="00AC2C35"/>
    <w:rsid w:val="00AD2C58"/>
    <w:rsid w:val="00AE2F7D"/>
    <w:rsid w:val="00AE341B"/>
    <w:rsid w:val="00AE4FCB"/>
    <w:rsid w:val="00AF3224"/>
    <w:rsid w:val="00AF4AF1"/>
    <w:rsid w:val="00B07116"/>
    <w:rsid w:val="00B07CA7"/>
    <w:rsid w:val="00B1279A"/>
    <w:rsid w:val="00B14FF8"/>
    <w:rsid w:val="00B20709"/>
    <w:rsid w:val="00B22B5A"/>
    <w:rsid w:val="00B347DF"/>
    <w:rsid w:val="00B45554"/>
    <w:rsid w:val="00B51321"/>
    <w:rsid w:val="00B5222E"/>
    <w:rsid w:val="00B61C96"/>
    <w:rsid w:val="00B63BD3"/>
    <w:rsid w:val="00B71649"/>
    <w:rsid w:val="00B7240B"/>
    <w:rsid w:val="00B73A2A"/>
    <w:rsid w:val="00B77C94"/>
    <w:rsid w:val="00B84250"/>
    <w:rsid w:val="00B91FF1"/>
    <w:rsid w:val="00B94461"/>
    <w:rsid w:val="00B94B06"/>
    <w:rsid w:val="00B94C28"/>
    <w:rsid w:val="00B95E13"/>
    <w:rsid w:val="00B97AC7"/>
    <w:rsid w:val="00BA7E5C"/>
    <w:rsid w:val="00BB2F22"/>
    <w:rsid w:val="00BB3B1C"/>
    <w:rsid w:val="00BB3BB7"/>
    <w:rsid w:val="00BB6579"/>
    <w:rsid w:val="00BC10BA"/>
    <w:rsid w:val="00BC4B7B"/>
    <w:rsid w:val="00BC5AFD"/>
    <w:rsid w:val="00BC5D6A"/>
    <w:rsid w:val="00BC6EB5"/>
    <w:rsid w:val="00BD14A4"/>
    <w:rsid w:val="00BD1E0F"/>
    <w:rsid w:val="00BE06CA"/>
    <w:rsid w:val="00BE5858"/>
    <w:rsid w:val="00BE5CD7"/>
    <w:rsid w:val="00BE722F"/>
    <w:rsid w:val="00BE7F0B"/>
    <w:rsid w:val="00BF3088"/>
    <w:rsid w:val="00BF7877"/>
    <w:rsid w:val="00C02D2F"/>
    <w:rsid w:val="00C038F2"/>
    <w:rsid w:val="00C04F43"/>
    <w:rsid w:val="00C0609D"/>
    <w:rsid w:val="00C115AB"/>
    <w:rsid w:val="00C14A5E"/>
    <w:rsid w:val="00C21FE0"/>
    <w:rsid w:val="00C220BB"/>
    <w:rsid w:val="00C235CD"/>
    <w:rsid w:val="00C238BF"/>
    <w:rsid w:val="00C243AC"/>
    <w:rsid w:val="00C262AD"/>
    <w:rsid w:val="00C27E9C"/>
    <w:rsid w:val="00C3008D"/>
    <w:rsid w:val="00C30249"/>
    <w:rsid w:val="00C3208D"/>
    <w:rsid w:val="00C34DC2"/>
    <w:rsid w:val="00C35AB4"/>
    <w:rsid w:val="00C3723B"/>
    <w:rsid w:val="00C45CFC"/>
    <w:rsid w:val="00C4730A"/>
    <w:rsid w:val="00C606C9"/>
    <w:rsid w:val="00C7087B"/>
    <w:rsid w:val="00C76741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2235"/>
    <w:rsid w:val="00CB0175"/>
    <w:rsid w:val="00CB77D4"/>
    <w:rsid w:val="00CC0F75"/>
    <w:rsid w:val="00CC2AAE"/>
    <w:rsid w:val="00CC5A42"/>
    <w:rsid w:val="00CD0EAB"/>
    <w:rsid w:val="00CD14C8"/>
    <w:rsid w:val="00CD6597"/>
    <w:rsid w:val="00CE008D"/>
    <w:rsid w:val="00CE0A4C"/>
    <w:rsid w:val="00CE1B1F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246C9"/>
    <w:rsid w:val="00D26AE2"/>
    <w:rsid w:val="00D30AA2"/>
    <w:rsid w:val="00D375DD"/>
    <w:rsid w:val="00D3767F"/>
    <w:rsid w:val="00D40263"/>
    <w:rsid w:val="00D41EE7"/>
    <w:rsid w:val="00D43B8D"/>
    <w:rsid w:val="00D446EC"/>
    <w:rsid w:val="00D50CAC"/>
    <w:rsid w:val="00D51BF0"/>
    <w:rsid w:val="00D55942"/>
    <w:rsid w:val="00D74771"/>
    <w:rsid w:val="00D807BF"/>
    <w:rsid w:val="00D83CCC"/>
    <w:rsid w:val="00D92D3A"/>
    <w:rsid w:val="00D96156"/>
    <w:rsid w:val="00D976A1"/>
    <w:rsid w:val="00DA7887"/>
    <w:rsid w:val="00DB2C26"/>
    <w:rsid w:val="00DB3890"/>
    <w:rsid w:val="00DB5CFD"/>
    <w:rsid w:val="00DC537E"/>
    <w:rsid w:val="00DC7E3D"/>
    <w:rsid w:val="00DD1EC2"/>
    <w:rsid w:val="00DE48CB"/>
    <w:rsid w:val="00DE4C65"/>
    <w:rsid w:val="00DE6B43"/>
    <w:rsid w:val="00DF45C3"/>
    <w:rsid w:val="00DF53BA"/>
    <w:rsid w:val="00E0047A"/>
    <w:rsid w:val="00E03294"/>
    <w:rsid w:val="00E0536D"/>
    <w:rsid w:val="00E06E2F"/>
    <w:rsid w:val="00E07370"/>
    <w:rsid w:val="00E0740F"/>
    <w:rsid w:val="00E11923"/>
    <w:rsid w:val="00E2128C"/>
    <w:rsid w:val="00E21F20"/>
    <w:rsid w:val="00E262D4"/>
    <w:rsid w:val="00E26E9B"/>
    <w:rsid w:val="00E27128"/>
    <w:rsid w:val="00E30349"/>
    <w:rsid w:val="00E31FFE"/>
    <w:rsid w:val="00E33B07"/>
    <w:rsid w:val="00E36250"/>
    <w:rsid w:val="00E41102"/>
    <w:rsid w:val="00E45825"/>
    <w:rsid w:val="00E463CF"/>
    <w:rsid w:val="00E54511"/>
    <w:rsid w:val="00E570E0"/>
    <w:rsid w:val="00E61DAC"/>
    <w:rsid w:val="00E66278"/>
    <w:rsid w:val="00E66D9B"/>
    <w:rsid w:val="00E72B80"/>
    <w:rsid w:val="00E730BB"/>
    <w:rsid w:val="00E73AB8"/>
    <w:rsid w:val="00E744D3"/>
    <w:rsid w:val="00E757DE"/>
    <w:rsid w:val="00E75FE3"/>
    <w:rsid w:val="00E76791"/>
    <w:rsid w:val="00E773AE"/>
    <w:rsid w:val="00E80323"/>
    <w:rsid w:val="00E80672"/>
    <w:rsid w:val="00E86C4C"/>
    <w:rsid w:val="00E92F53"/>
    <w:rsid w:val="00E9686C"/>
    <w:rsid w:val="00E97F4A"/>
    <w:rsid w:val="00EA6089"/>
    <w:rsid w:val="00EA6D01"/>
    <w:rsid w:val="00EA7A79"/>
    <w:rsid w:val="00EA7B39"/>
    <w:rsid w:val="00EB7AB1"/>
    <w:rsid w:val="00EC1142"/>
    <w:rsid w:val="00EC2A22"/>
    <w:rsid w:val="00EC58B7"/>
    <w:rsid w:val="00ED06FD"/>
    <w:rsid w:val="00ED2635"/>
    <w:rsid w:val="00ED4582"/>
    <w:rsid w:val="00EE44B9"/>
    <w:rsid w:val="00EE547F"/>
    <w:rsid w:val="00EF140B"/>
    <w:rsid w:val="00EF3B35"/>
    <w:rsid w:val="00EF48CC"/>
    <w:rsid w:val="00F009AB"/>
    <w:rsid w:val="00F01BD2"/>
    <w:rsid w:val="00F01FA4"/>
    <w:rsid w:val="00F03994"/>
    <w:rsid w:val="00F04052"/>
    <w:rsid w:val="00F21D75"/>
    <w:rsid w:val="00F24DE8"/>
    <w:rsid w:val="00F31316"/>
    <w:rsid w:val="00F37908"/>
    <w:rsid w:val="00F4672D"/>
    <w:rsid w:val="00F549E8"/>
    <w:rsid w:val="00F55EE1"/>
    <w:rsid w:val="00F56C10"/>
    <w:rsid w:val="00F73032"/>
    <w:rsid w:val="00F73796"/>
    <w:rsid w:val="00F848FC"/>
    <w:rsid w:val="00F855B0"/>
    <w:rsid w:val="00F9282A"/>
    <w:rsid w:val="00F96BAD"/>
    <w:rsid w:val="00F96C54"/>
    <w:rsid w:val="00FA05E1"/>
    <w:rsid w:val="00FA1CDB"/>
    <w:rsid w:val="00FA44E6"/>
    <w:rsid w:val="00FB0AB1"/>
    <w:rsid w:val="00FB0E84"/>
    <w:rsid w:val="00FB2652"/>
    <w:rsid w:val="00FB3150"/>
    <w:rsid w:val="00FB5B3B"/>
    <w:rsid w:val="00FB6943"/>
    <w:rsid w:val="00FB748B"/>
    <w:rsid w:val="00FC708E"/>
    <w:rsid w:val="00FD01C2"/>
    <w:rsid w:val="00FD3A6E"/>
    <w:rsid w:val="00FE0224"/>
    <w:rsid w:val="00FE4268"/>
    <w:rsid w:val="00FF0CE3"/>
    <w:rsid w:val="00FF6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uiPriority w:val="35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S0">
    <w:name w:val="3S0"/>
    <w:basedOn w:val="a"/>
    <w:link w:val="3S0Char"/>
    <w:qFormat/>
    <w:rsid w:val="003939F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3939FE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0914C9"/>
    <w:pPr>
      <w:numPr>
        <w:numId w:val="2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0914C9"/>
    <w:pPr>
      <w:numPr>
        <w:ilvl w:val="1"/>
      </w:numPr>
    </w:pPr>
  </w:style>
  <w:style w:type="character" w:customStyle="1" w:styleId="3D0Char">
    <w:name w:val="3D0 Char"/>
    <w:basedOn w:val="a0"/>
    <w:link w:val="3D0"/>
    <w:rsid w:val="000914C9"/>
    <w:rPr>
      <w:rFonts w:eastAsia="Malgun Gothic"/>
      <w:lang w:val="en-GB" w:eastAsia="en-US"/>
    </w:rPr>
  </w:style>
  <w:style w:type="paragraph" w:customStyle="1" w:styleId="3D2">
    <w:name w:val="3D2"/>
    <w:basedOn w:val="3D1"/>
    <w:qFormat/>
    <w:rsid w:val="000914C9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character" w:customStyle="1" w:styleId="3D1Char">
    <w:name w:val="3D1 Char"/>
    <w:basedOn w:val="3D0Char"/>
    <w:link w:val="3D1"/>
    <w:rsid w:val="000914C9"/>
  </w:style>
  <w:style w:type="paragraph" w:customStyle="1" w:styleId="3D3">
    <w:name w:val="3D3"/>
    <w:basedOn w:val="3D2"/>
    <w:qFormat/>
    <w:rsid w:val="000914C9"/>
    <w:pPr>
      <w:numPr>
        <w:ilvl w:val="3"/>
      </w:numPr>
      <w:tabs>
        <w:tab w:val="clear" w:pos="1411"/>
        <w:tab w:val="num" w:pos="360"/>
      </w:tabs>
    </w:pPr>
  </w:style>
  <w:style w:type="paragraph" w:customStyle="1" w:styleId="3D4">
    <w:name w:val="3D4"/>
    <w:basedOn w:val="3D3"/>
    <w:qFormat/>
    <w:rsid w:val="000914C9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0914C9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0914C9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0914C9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0914C9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4</Pages>
  <Words>1026</Words>
  <Characters>5854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6867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100</cp:revision>
  <dcterms:created xsi:type="dcterms:W3CDTF">2013-01-05T02:48:00Z</dcterms:created>
  <dcterms:modified xsi:type="dcterms:W3CDTF">2013-01-10T01:08:00Z</dcterms:modified>
</cp:coreProperties>
</file>