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634804" w14:paraId="35DF1517" w14:textId="77777777" w:rsidTr="00E21F20">
        <w:tc>
          <w:tcPr>
            <w:tcW w:w="6858" w:type="dxa"/>
          </w:tcPr>
          <w:p w14:paraId="107A2954" w14:textId="77777777" w:rsidR="006C5D39" w:rsidRPr="00634804" w:rsidRDefault="00EF77E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634804"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B62F986" wp14:editId="2F0B57C2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Df1CTPgAAAA&#10;CAEAAA8AAAAAAAAAAAAAAAAAYK0AAGRycy9kb3ducmV2LnhtbFBLBQYAAAAABAAEAPMAAABtrgAA&#10;AAA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634804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61326B4A" wp14:editId="664AF07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34804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63F7E55D" wp14:editId="3826FC5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634804">
              <w:rPr>
                <w:b/>
                <w:szCs w:val="22"/>
              </w:rPr>
              <w:t xml:space="preserve">Joint </w:t>
            </w:r>
            <w:r w:rsidR="006C5D39" w:rsidRPr="00634804">
              <w:rPr>
                <w:b/>
                <w:szCs w:val="22"/>
              </w:rPr>
              <w:t>Collaborative</w:t>
            </w:r>
            <w:r w:rsidR="00E61DAC" w:rsidRPr="00634804">
              <w:rPr>
                <w:b/>
                <w:szCs w:val="22"/>
              </w:rPr>
              <w:t xml:space="preserve"> Team </w:t>
            </w:r>
            <w:r w:rsidR="006C5D39" w:rsidRPr="00634804">
              <w:rPr>
                <w:b/>
                <w:szCs w:val="22"/>
              </w:rPr>
              <w:t xml:space="preserve">on </w:t>
            </w:r>
            <w:r w:rsidR="00E21F20" w:rsidRPr="00634804">
              <w:rPr>
                <w:b/>
                <w:szCs w:val="22"/>
              </w:rPr>
              <w:t>3D Video Coding Extension Development</w:t>
            </w:r>
          </w:p>
          <w:p w14:paraId="39904612" w14:textId="77777777" w:rsidR="00E61DAC" w:rsidRPr="00634804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634804">
              <w:rPr>
                <w:b/>
                <w:szCs w:val="22"/>
              </w:rPr>
              <w:t xml:space="preserve">of </w:t>
            </w:r>
            <w:r w:rsidR="007F1F8B" w:rsidRPr="00634804">
              <w:rPr>
                <w:b/>
                <w:szCs w:val="22"/>
              </w:rPr>
              <w:t>ITU-T SG</w:t>
            </w:r>
            <w:r w:rsidR="005E1AC6" w:rsidRPr="00634804">
              <w:rPr>
                <w:b/>
                <w:szCs w:val="22"/>
              </w:rPr>
              <w:t> </w:t>
            </w:r>
            <w:r w:rsidR="007F1F8B" w:rsidRPr="00634804">
              <w:rPr>
                <w:b/>
                <w:szCs w:val="22"/>
              </w:rPr>
              <w:t>16 WP</w:t>
            </w:r>
            <w:r w:rsidR="005E1AC6" w:rsidRPr="00634804">
              <w:rPr>
                <w:b/>
                <w:szCs w:val="22"/>
              </w:rPr>
              <w:t> </w:t>
            </w:r>
            <w:r w:rsidR="007F1F8B" w:rsidRPr="00634804">
              <w:rPr>
                <w:b/>
                <w:szCs w:val="22"/>
              </w:rPr>
              <w:t>3 and ISO/IEC JTC</w:t>
            </w:r>
            <w:r w:rsidR="005E1AC6" w:rsidRPr="00634804">
              <w:rPr>
                <w:b/>
                <w:szCs w:val="22"/>
              </w:rPr>
              <w:t> </w:t>
            </w:r>
            <w:r w:rsidR="007F1F8B" w:rsidRPr="00634804">
              <w:rPr>
                <w:b/>
                <w:szCs w:val="22"/>
              </w:rPr>
              <w:t>1/SC</w:t>
            </w:r>
            <w:r w:rsidR="005E1AC6" w:rsidRPr="00634804">
              <w:rPr>
                <w:b/>
                <w:szCs w:val="22"/>
              </w:rPr>
              <w:t> </w:t>
            </w:r>
            <w:r w:rsidR="007F1F8B" w:rsidRPr="00634804">
              <w:rPr>
                <w:b/>
                <w:szCs w:val="22"/>
              </w:rPr>
              <w:t>29/WG</w:t>
            </w:r>
            <w:r w:rsidR="005E1AC6" w:rsidRPr="00634804">
              <w:rPr>
                <w:b/>
                <w:szCs w:val="22"/>
              </w:rPr>
              <w:t> </w:t>
            </w:r>
            <w:r w:rsidR="007F1F8B" w:rsidRPr="00634804">
              <w:rPr>
                <w:b/>
                <w:szCs w:val="22"/>
              </w:rPr>
              <w:t>11</w:t>
            </w:r>
          </w:p>
          <w:p w14:paraId="6EDCF01C" w14:textId="2EAAB402" w:rsidR="00E61DAC" w:rsidRPr="00634804" w:rsidRDefault="001E06C7" w:rsidP="00AD0CFB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634804">
              <w:rPr>
                <w:szCs w:val="22"/>
              </w:rPr>
              <w:t>2nd Meeting: Shanghai, CN, 13–19 Oct. 2012</w:t>
            </w:r>
          </w:p>
        </w:tc>
        <w:tc>
          <w:tcPr>
            <w:tcW w:w="2718" w:type="dxa"/>
          </w:tcPr>
          <w:p w14:paraId="2CF45EA1" w14:textId="66900541" w:rsidR="008A4B4C" w:rsidRPr="00634804" w:rsidRDefault="001E06C7" w:rsidP="00C04E0A">
            <w:pPr>
              <w:tabs>
                <w:tab w:val="left" w:pos="7200"/>
              </w:tabs>
            </w:pPr>
            <w:r w:rsidRPr="00634804">
              <w:t>Document: JCT3V-</w:t>
            </w:r>
            <w:r w:rsidR="00C04E0A" w:rsidRPr="00C04E0A">
              <w:t>B0180</w:t>
            </w:r>
          </w:p>
        </w:tc>
      </w:tr>
    </w:tbl>
    <w:p w14:paraId="4A38DB96" w14:textId="77777777" w:rsidR="00E61DAC" w:rsidRPr="00634804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634804" w14:paraId="13C14DEF" w14:textId="77777777">
        <w:tc>
          <w:tcPr>
            <w:tcW w:w="1458" w:type="dxa"/>
          </w:tcPr>
          <w:p w14:paraId="024CE73B" w14:textId="77777777" w:rsidR="00E61DAC" w:rsidRPr="00634804" w:rsidRDefault="00E61DAC">
            <w:pPr>
              <w:spacing w:before="60" w:after="60"/>
              <w:rPr>
                <w:i/>
                <w:szCs w:val="22"/>
              </w:rPr>
            </w:pPr>
            <w:r w:rsidRPr="00634804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14:paraId="5B4F7ED3" w14:textId="53F28CA9" w:rsidR="00E61DAC" w:rsidRPr="00634804" w:rsidRDefault="001E06C7" w:rsidP="00E4324C">
            <w:pPr>
              <w:spacing w:before="60" w:after="60"/>
              <w:rPr>
                <w:b/>
                <w:szCs w:val="22"/>
              </w:rPr>
            </w:pPr>
            <w:r w:rsidRPr="00634804">
              <w:rPr>
                <w:b/>
                <w:szCs w:val="22"/>
              </w:rPr>
              <w:t>AHG9</w:t>
            </w:r>
            <w:r w:rsidR="002878F8" w:rsidRPr="00634804">
              <w:rPr>
                <w:b/>
                <w:szCs w:val="22"/>
              </w:rPr>
              <w:t xml:space="preserve">: </w:t>
            </w:r>
            <w:r w:rsidR="00D478A3" w:rsidRPr="00634804">
              <w:rPr>
                <w:b/>
                <w:szCs w:val="22"/>
              </w:rPr>
              <w:t>Accuracy of 2D metrics for 3D video quality assessment</w:t>
            </w:r>
          </w:p>
        </w:tc>
      </w:tr>
      <w:tr w:rsidR="00E61DAC" w:rsidRPr="00634804" w14:paraId="01796A6B" w14:textId="77777777">
        <w:tc>
          <w:tcPr>
            <w:tcW w:w="1458" w:type="dxa"/>
          </w:tcPr>
          <w:p w14:paraId="79D775CE" w14:textId="77777777" w:rsidR="00E61DAC" w:rsidRPr="00634804" w:rsidRDefault="00E61DAC">
            <w:pPr>
              <w:spacing w:before="60" w:after="60"/>
              <w:rPr>
                <w:i/>
                <w:szCs w:val="22"/>
              </w:rPr>
            </w:pPr>
            <w:r w:rsidRPr="00634804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14:paraId="59CF5193" w14:textId="77777777" w:rsidR="00E61DAC" w:rsidRPr="00634804" w:rsidRDefault="00E61DAC" w:rsidP="00CA2510">
            <w:pPr>
              <w:spacing w:before="60" w:after="60"/>
              <w:rPr>
                <w:szCs w:val="22"/>
              </w:rPr>
            </w:pPr>
            <w:r w:rsidRPr="00634804">
              <w:rPr>
                <w:szCs w:val="22"/>
              </w:rPr>
              <w:t>Input Document</w:t>
            </w:r>
          </w:p>
        </w:tc>
      </w:tr>
      <w:tr w:rsidR="00E61DAC" w:rsidRPr="00634804" w14:paraId="5FDC0A8D" w14:textId="77777777">
        <w:tc>
          <w:tcPr>
            <w:tcW w:w="1458" w:type="dxa"/>
          </w:tcPr>
          <w:p w14:paraId="29F44192" w14:textId="77777777" w:rsidR="00E61DAC" w:rsidRPr="00634804" w:rsidRDefault="00E61DAC">
            <w:pPr>
              <w:spacing w:before="60" w:after="60"/>
              <w:rPr>
                <w:i/>
                <w:szCs w:val="22"/>
              </w:rPr>
            </w:pPr>
            <w:r w:rsidRPr="00634804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14:paraId="1A844872" w14:textId="77777777" w:rsidR="00E61DAC" w:rsidRPr="00634804" w:rsidRDefault="00CA2510" w:rsidP="005E1AC6">
            <w:pPr>
              <w:spacing w:before="60" w:after="60"/>
              <w:rPr>
                <w:szCs w:val="22"/>
              </w:rPr>
            </w:pPr>
            <w:r w:rsidRPr="00634804">
              <w:rPr>
                <w:szCs w:val="22"/>
              </w:rPr>
              <w:t>For discussion</w:t>
            </w:r>
          </w:p>
        </w:tc>
      </w:tr>
      <w:tr w:rsidR="00E61DAC" w:rsidRPr="00634804" w14:paraId="41140ED7" w14:textId="77777777">
        <w:tc>
          <w:tcPr>
            <w:tcW w:w="1458" w:type="dxa"/>
          </w:tcPr>
          <w:p w14:paraId="178DB035" w14:textId="77777777" w:rsidR="00E61DAC" w:rsidRPr="00634804" w:rsidRDefault="00E61DAC">
            <w:pPr>
              <w:spacing w:before="60" w:after="60"/>
              <w:rPr>
                <w:i/>
                <w:szCs w:val="22"/>
              </w:rPr>
            </w:pPr>
            <w:r w:rsidRPr="00634804">
              <w:rPr>
                <w:i/>
                <w:szCs w:val="22"/>
              </w:rPr>
              <w:t>Author(s) or</w:t>
            </w:r>
            <w:r w:rsidRPr="00634804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14:paraId="31ADAF7B" w14:textId="77777777" w:rsidR="00E61DAC" w:rsidRPr="00634804" w:rsidRDefault="00CA2510">
            <w:pPr>
              <w:spacing w:before="60" w:after="60"/>
              <w:rPr>
                <w:szCs w:val="22"/>
              </w:rPr>
            </w:pPr>
            <w:r w:rsidRPr="00634804">
              <w:rPr>
                <w:szCs w:val="22"/>
              </w:rPr>
              <w:t>Philippe Hanhart</w:t>
            </w:r>
          </w:p>
          <w:p w14:paraId="6F31CD6F" w14:textId="77777777" w:rsidR="00CA2510" w:rsidRPr="00634804" w:rsidRDefault="00CA2510" w:rsidP="00CA2510">
            <w:pPr>
              <w:spacing w:before="60" w:after="60"/>
              <w:rPr>
                <w:szCs w:val="22"/>
              </w:rPr>
            </w:pPr>
            <w:proofErr w:type="spellStart"/>
            <w:r w:rsidRPr="00634804">
              <w:rPr>
                <w:szCs w:val="22"/>
              </w:rPr>
              <w:t>Touradj</w:t>
            </w:r>
            <w:proofErr w:type="spellEnd"/>
            <w:r w:rsidRPr="00634804">
              <w:rPr>
                <w:szCs w:val="22"/>
              </w:rPr>
              <w:t xml:space="preserve"> </w:t>
            </w:r>
            <w:proofErr w:type="spellStart"/>
            <w:r w:rsidRPr="00634804">
              <w:rPr>
                <w:szCs w:val="22"/>
              </w:rPr>
              <w:t>Ebrahimi</w:t>
            </w:r>
            <w:proofErr w:type="spellEnd"/>
          </w:p>
        </w:tc>
        <w:tc>
          <w:tcPr>
            <w:tcW w:w="900" w:type="dxa"/>
          </w:tcPr>
          <w:p w14:paraId="64A30DAA" w14:textId="6DF5E3D7" w:rsidR="00E61DAC" w:rsidRPr="00634804" w:rsidRDefault="00E61DAC">
            <w:pPr>
              <w:spacing w:before="60" w:after="60"/>
              <w:rPr>
                <w:szCs w:val="22"/>
              </w:rPr>
            </w:pPr>
            <w:r w:rsidRPr="00634804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14:paraId="5E5013CA" w14:textId="0D329CDC" w:rsidR="00E61DAC" w:rsidRPr="00634804" w:rsidRDefault="00CA2510" w:rsidP="00CA2510">
            <w:pPr>
              <w:spacing w:before="60" w:after="60"/>
              <w:rPr>
                <w:szCs w:val="22"/>
              </w:rPr>
            </w:pPr>
            <w:r w:rsidRPr="00634804">
              <w:rPr>
                <w:szCs w:val="22"/>
              </w:rPr>
              <w:t>philippe.hanhart@epfl.ch</w:t>
            </w:r>
          </w:p>
        </w:tc>
      </w:tr>
      <w:tr w:rsidR="00E61DAC" w:rsidRPr="00661D97" w14:paraId="08B0EA09" w14:textId="77777777">
        <w:tc>
          <w:tcPr>
            <w:tcW w:w="1458" w:type="dxa"/>
          </w:tcPr>
          <w:p w14:paraId="398A1B82" w14:textId="77777777" w:rsidR="00E61DAC" w:rsidRPr="00634804" w:rsidRDefault="00E61DAC">
            <w:pPr>
              <w:spacing w:before="60" w:after="60"/>
              <w:rPr>
                <w:i/>
                <w:szCs w:val="22"/>
              </w:rPr>
            </w:pPr>
            <w:r w:rsidRPr="00634804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14:paraId="024E160F" w14:textId="77777777" w:rsidR="00E61DAC" w:rsidRPr="00C04E0A" w:rsidRDefault="00CA2510">
            <w:pPr>
              <w:spacing w:before="60" w:after="60"/>
              <w:rPr>
                <w:szCs w:val="22"/>
                <w:lang w:val="fr-CH"/>
              </w:rPr>
            </w:pPr>
            <w:r w:rsidRPr="00C04E0A">
              <w:rPr>
                <w:szCs w:val="22"/>
                <w:lang w:val="fr-CH"/>
              </w:rPr>
              <w:t>Ecole Polytechnique Fédérale de Lausanne (EPFL), COST Action IC1003 - QUALINET</w:t>
            </w:r>
          </w:p>
        </w:tc>
      </w:tr>
    </w:tbl>
    <w:p w14:paraId="060F11AC" w14:textId="77777777" w:rsidR="00E61DAC" w:rsidRPr="00634804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634804">
        <w:rPr>
          <w:szCs w:val="22"/>
        </w:rPr>
        <w:t>_____________________________</w:t>
      </w:r>
    </w:p>
    <w:p w14:paraId="0B25B903" w14:textId="77777777" w:rsidR="00275BCF" w:rsidRPr="00634804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634804">
        <w:t>Abstract</w:t>
      </w:r>
    </w:p>
    <w:p w14:paraId="413761E3" w14:textId="32D6BFC1" w:rsidR="00275BCF" w:rsidRPr="00634804" w:rsidRDefault="00174420" w:rsidP="00C97D78">
      <w:r w:rsidRPr="00634804">
        <w:t xml:space="preserve">In this </w:t>
      </w:r>
      <w:r w:rsidR="0058305D" w:rsidRPr="00634804">
        <w:t>contribution</w:t>
      </w:r>
      <w:r w:rsidRPr="00634804">
        <w:t>,</w:t>
      </w:r>
      <w:r w:rsidR="003D2E8F" w:rsidRPr="00634804">
        <w:t xml:space="preserve"> the </w:t>
      </w:r>
      <w:r w:rsidR="00554EA1" w:rsidRPr="00634804">
        <w:t xml:space="preserve">resolving power and classification errors of </w:t>
      </w:r>
      <w:r w:rsidR="00554EA1">
        <w:t xml:space="preserve">PSNR, SSIM, MS-SSIM, </w:t>
      </w:r>
      <w:proofErr w:type="spellStart"/>
      <w:r w:rsidR="00554EA1">
        <w:t>VIFp</w:t>
      </w:r>
      <w:proofErr w:type="spellEnd"/>
      <w:r w:rsidR="00554EA1">
        <w:t xml:space="preserve">, and VQM </w:t>
      </w:r>
      <w:r w:rsidR="00D31D13">
        <w:t>are</w:t>
      </w:r>
      <w:r w:rsidR="00554EA1">
        <w:t xml:space="preserve"> investigated following the </w:t>
      </w:r>
      <w:r w:rsidR="00554EA1" w:rsidRPr="00634804">
        <w:t xml:space="preserve">methodology described in </w:t>
      </w:r>
      <w:hyperlink w:anchor="J149" w:history="1">
        <w:r w:rsidR="00554EA1">
          <w:rPr>
            <w:rStyle w:val="Hyperlink"/>
            <w:color w:val="auto"/>
            <w:u w:val="none"/>
          </w:rPr>
          <w:t>ITU-T Recommendation J.149</w:t>
        </w:r>
      </w:hyperlink>
      <w:r w:rsidR="00554EA1">
        <w:rPr>
          <w:rStyle w:val="Hyperlink"/>
          <w:color w:val="auto"/>
          <w:u w:val="none"/>
        </w:rPr>
        <w:t xml:space="preserve">. </w:t>
      </w:r>
      <w:r w:rsidR="00F5427A">
        <w:rPr>
          <w:rStyle w:val="Hyperlink"/>
          <w:color w:val="auto"/>
          <w:u w:val="none"/>
        </w:rPr>
        <w:t>A</w:t>
      </w:r>
      <w:r w:rsidR="00F5427A" w:rsidRPr="00F5427A">
        <w:rPr>
          <w:rStyle w:val="Hyperlink"/>
          <w:color w:val="auto"/>
          <w:u w:val="none"/>
        </w:rPr>
        <w:t xml:space="preserve"> set of subjective data, which has been collected during the formal evaluation </w:t>
      </w:r>
      <w:r w:rsidR="00F5427A">
        <w:rPr>
          <w:rStyle w:val="Hyperlink"/>
          <w:color w:val="auto"/>
          <w:u w:val="none"/>
        </w:rPr>
        <w:t>of the 3DVC proposals on</w:t>
      </w:r>
      <w:r w:rsidR="00F5427A" w:rsidRPr="00F5427A">
        <w:rPr>
          <w:rStyle w:val="Hyperlink"/>
          <w:color w:val="auto"/>
          <w:u w:val="none"/>
        </w:rPr>
        <w:t xml:space="preserve"> the </w:t>
      </w:r>
      <w:r w:rsidR="00F5427A">
        <w:rPr>
          <w:rStyle w:val="Hyperlink"/>
          <w:color w:val="auto"/>
          <w:u w:val="none"/>
        </w:rPr>
        <w:t xml:space="preserve">2-view configuration, is used as </w:t>
      </w:r>
      <w:r w:rsidR="00F5427A" w:rsidRPr="00F5427A">
        <w:rPr>
          <w:rStyle w:val="Hyperlink"/>
          <w:color w:val="auto"/>
          <w:u w:val="none"/>
        </w:rPr>
        <w:t>ground truth</w:t>
      </w:r>
      <w:r w:rsidR="00F5427A">
        <w:rPr>
          <w:rStyle w:val="Hyperlink"/>
          <w:color w:val="auto"/>
          <w:u w:val="none"/>
        </w:rPr>
        <w:t>.</w:t>
      </w:r>
      <w:r w:rsidR="00F5427A" w:rsidRPr="00F5427A">
        <w:rPr>
          <w:rStyle w:val="Hyperlink"/>
          <w:color w:val="auto"/>
          <w:u w:val="none"/>
        </w:rPr>
        <w:t xml:space="preserve"> </w:t>
      </w:r>
      <w:r w:rsidR="00F722A7" w:rsidRPr="00634804">
        <w:t xml:space="preserve">It is reported </w:t>
      </w:r>
      <w:r w:rsidR="008403D0" w:rsidRPr="00634804">
        <w:t xml:space="preserve">that </w:t>
      </w:r>
      <w:r w:rsidR="001508D6">
        <w:t>MS-SSIM has a higher resolving power than the other considered metrics</w:t>
      </w:r>
      <w:r w:rsidR="00665D59">
        <w:t>. Therefore, it is suggested to consider MS-SSIM as an alternative to PSNR</w:t>
      </w:r>
      <w:r w:rsidR="005648D8">
        <w:t xml:space="preserve"> </w:t>
      </w:r>
      <w:r w:rsidR="005648D8" w:rsidRPr="005648D8">
        <w:t>in the Core Experiments</w:t>
      </w:r>
      <w:r w:rsidR="00665D59">
        <w:t>.</w:t>
      </w:r>
    </w:p>
    <w:p w14:paraId="5C60B499" w14:textId="77777777" w:rsidR="00745F6B" w:rsidRPr="00634804" w:rsidRDefault="00CA2510" w:rsidP="00E11923">
      <w:pPr>
        <w:pStyle w:val="Heading1"/>
      </w:pPr>
      <w:r w:rsidRPr="00634804">
        <w:t>Introduction</w:t>
      </w:r>
    </w:p>
    <w:p w14:paraId="6F22DEAC" w14:textId="5E970AFE" w:rsidR="00C10E4E" w:rsidRPr="00634804" w:rsidRDefault="00CA2510" w:rsidP="00D979DA">
      <w:r w:rsidRPr="00634804">
        <w:t xml:space="preserve">In </w:t>
      </w:r>
      <w:hyperlink w:anchor="M24807" w:history="1">
        <w:r w:rsidR="00A0106D" w:rsidRPr="00634804">
          <w:rPr>
            <w:rStyle w:val="Hyperlink"/>
            <w:color w:val="auto"/>
            <w:u w:val="none"/>
          </w:rPr>
          <w:t>M24807</w:t>
        </w:r>
      </w:hyperlink>
      <w:r w:rsidRPr="00634804">
        <w:t xml:space="preserve">, </w:t>
      </w:r>
      <w:r w:rsidR="00C10E4E" w:rsidRPr="00634804">
        <w:t>the correlation between different state-of-the-art 2D quality metrics and the perceived quality of stereo pair</w:t>
      </w:r>
      <w:r w:rsidR="00262ED8">
        <w:t>s</w:t>
      </w:r>
      <w:r w:rsidR="00C10E4E" w:rsidRPr="00634804">
        <w:t xml:space="preserve"> formed from a decoded view and a synthesized view was investigated. It was reported that some of the considered metrics, such as </w:t>
      </w:r>
      <w:proofErr w:type="spellStart"/>
      <w:r w:rsidR="00C10E4E" w:rsidRPr="00634804">
        <w:t>VIFp</w:t>
      </w:r>
      <w:proofErr w:type="spellEnd"/>
      <w:r w:rsidR="00C10E4E" w:rsidRPr="00634804">
        <w:t xml:space="preserve">, VQM, MS-SSIM, and SSIM, are more correlated with perceived quality than PSNR when the objective quality assessment is based on the synthesized view. In </w:t>
      </w:r>
      <w:hyperlink w:anchor="JCT3VA0150" w:history="1">
        <w:r w:rsidR="00C10E4E" w:rsidRPr="00634804">
          <w:rPr>
            <w:rStyle w:val="Hyperlink"/>
            <w:color w:val="auto"/>
            <w:u w:val="none"/>
            <w:lang w:eastAsia="zh-TW"/>
          </w:rPr>
          <w:t>JCT3V-A0150</w:t>
        </w:r>
      </w:hyperlink>
      <w:r w:rsidR="00C10E4E" w:rsidRPr="00634804">
        <w:rPr>
          <w:lang w:eastAsia="zh-TW"/>
        </w:rPr>
        <w:t xml:space="preserve">, </w:t>
      </w:r>
      <w:r w:rsidR="00C10E4E" w:rsidRPr="00634804">
        <w:t xml:space="preserve">a similar methodology was used to assess the performance of state-of-the-art 2D quality metrics on stereo pairs formed from two synthesized views. It was reported that the metrics identified in </w:t>
      </w:r>
      <w:hyperlink w:anchor="M24807" w:history="1">
        <w:r w:rsidR="00C10E4E" w:rsidRPr="00634804">
          <w:rPr>
            <w:rStyle w:val="Hyperlink"/>
            <w:color w:val="auto"/>
            <w:u w:val="none"/>
          </w:rPr>
          <w:t>M24807</w:t>
        </w:r>
      </w:hyperlink>
      <w:r w:rsidR="00C10E4E" w:rsidRPr="00634804">
        <w:rPr>
          <w:rStyle w:val="Hyperlink"/>
          <w:color w:val="auto"/>
          <w:u w:val="none"/>
        </w:rPr>
        <w:t xml:space="preserve"> are </w:t>
      </w:r>
      <w:r w:rsidR="00C10E4E" w:rsidRPr="00634804">
        <w:t xml:space="preserve">more correlated with perceived quality than PSNR for quality assessment of synthesized views. In this contribution, </w:t>
      </w:r>
      <w:r w:rsidR="0029524D">
        <w:t xml:space="preserve">the performance of </w:t>
      </w:r>
      <w:r w:rsidR="00C10E4E" w:rsidRPr="00634804">
        <w:t xml:space="preserve">SSIM, MS-SSIM, </w:t>
      </w:r>
      <w:proofErr w:type="spellStart"/>
      <w:r w:rsidR="00C10E4E" w:rsidRPr="00634804">
        <w:t>VIFp</w:t>
      </w:r>
      <w:proofErr w:type="spellEnd"/>
      <w:r w:rsidR="00C10E4E" w:rsidRPr="00634804">
        <w:t xml:space="preserve">, and VQM </w:t>
      </w:r>
      <w:r w:rsidR="0029524D">
        <w:t>in predicting subjective quality is</w:t>
      </w:r>
      <w:r w:rsidR="0029524D" w:rsidRPr="00634804">
        <w:t xml:space="preserve"> </w:t>
      </w:r>
      <w:r w:rsidR="00C10E4E" w:rsidRPr="00634804">
        <w:t xml:space="preserve">further investigated following the </w:t>
      </w:r>
      <w:r w:rsidR="00727874" w:rsidRPr="00634804">
        <w:t>methodology</w:t>
      </w:r>
      <w:r w:rsidR="00C10E4E" w:rsidRPr="00634804">
        <w:t xml:space="preserve"> described in </w:t>
      </w:r>
      <w:hyperlink w:anchor="J149" w:history="1">
        <w:r w:rsidR="00554EA1">
          <w:rPr>
            <w:rStyle w:val="Hyperlink"/>
            <w:color w:val="auto"/>
            <w:u w:val="none"/>
          </w:rPr>
          <w:t>ITU-T Recommendation J.149</w:t>
        </w:r>
      </w:hyperlink>
      <w:r w:rsidR="00727874" w:rsidRPr="00634804">
        <w:t xml:space="preserve">. This methodology </w:t>
      </w:r>
      <w:r w:rsidR="00EA7F22">
        <w:t xml:space="preserve">defines a new accuracy measure, called resolving power, to evaluate and compare the performance of different </w:t>
      </w:r>
      <w:r w:rsidR="00926A65">
        <w:t>metri</w:t>
      </w:r>
      <w:r w:rsidR="00EA7F22">
        <w:t>cs</w:t>
      </w:r>
      <w:r w:rsidR="00727874" w:rsidRPr="00634804">
        <w:t xml:space="preserve">. </w:t>
      </w:r>
      <w:r w:rsidR="00A70905">
        <w:rPr>
          <w:rStyle w:val="Hyperlink"/>
          <w:color w:val="auto"/>
          <w:u w:val="none"/>
        </w:rPr>
        <w:t>As in the previous contributions, a</w:t>
      </w:r>
      <w:r w:rsidR="00A70905" w:rsidRPr="00F5427A">
        <w:rPr>
          <w:rStyle w:val="Hyperlink"/>
          <w:color w:val="auto"/>
          <w:u w:val="none"/>
        </w:rPr>
        <w:t xml:space="preserve"> set of subjective data</w:t>
      </w:r>
      <w:r w:rsidR="005974F3">
        <w:rPr>
          <w:rStyle w:val="Hyperlink"/>
          <w:color w:val="auto"/>
          <w:u w:val="none"/>
        </w:rPr>
        <w:t>,</w:t>
      </w:r>
      <w:r w:rsidR="00A70905" w:rsidRPr="00F5427A">
        <w:rPr>
          <w:rStyle w:val="Hyperlink"/>
          <w:color w:val="auto"/>
          <w:u w:val="none"/>
        </w:rPr>
        <w:t xml:space="preserve"> collected during the formal evaluation </w:t>
      </w:r>
      <w:r w:rsidR="00A70905">
        <w:rPr>
          <w:rStyle w:val="Hyperlink"/>
          <w:color w:val="auto"/>
          <w:u w:val="none"/>
        </w:rPr>
        <w:t>of the 3DVC proposals on</w:t>
      </w:r>
      <w:r w:rsidR="00A70905" w:rsidRPr="00F5427A">
        <w:rPr>
          <w:rStyle w:val="Hyperlink"/>
          <w:color w:val="auto"/>
          <w:u w:val="none"/>
        </w:rPr>
        <w:t xml:space="preserve"> the </w:t>
      </w:r>
      <w:r w:rsidR="00A70905">
        <w:rPr>
          <w:rStyle w:val="Hyperlink"/>
          <w:color w:val="auto"/>
          <w:u w:val="none"/>
        </w:rPr>
        <w:t xml:space="preserve">2-view configuration, is used as </w:t>
      </w:r>
      <w:r w:rsidR="00A70905" w:rsidRPr="00F5427A">
        <w:rPr>
          <w:rStyle w:val="Hyperlink"/>
          <w:color w:val="auto"/>
          <w:u w:val="none"/>
        </w:rPr>
        <w:t>ground truth</w:t>
      </w:r>
      <w:r w:rsidR="00A70905">
        <w:rPr>
          <w:rStyle w:val="Hyperlink"/>
          <w:color w:val="auto"/>
          <w:u w:val="none"/>
        </w:rPr>
        <w:t xml:space="preserve">. </w:t>
      </w:r>
      <w:r w:rsidR="00727874" w:rsidRPr="00634804">
        <w:t xml:space="preserve">It is reported that MS-SSIM </w:t>
      </w:r>
      <w:r w:rsidR="00402AD0">
        <w:t>has a higher resolving power</w:t>
      </w:r>
      <w:r w:rsidR="00E858E7" w:rsidRPr="00634804">
        <w:t xml:space="preserve"> than the other considered metrics.</w:t>
      </w:r>
    </w:p>
    <w:p w14:paraId="7EEAC63D" w14:textId="77777777" w:rsidR="00CA2510" w:rsidRPr="00634804" w:rsidRDefault="00CA2510" w:rsidP="00F77B83">
      <w:pPr>
        <w:pStyle w:val="Heading1"/>
      </w:pPr>
      <w:bookmarkStart w:id="0" w:name="_Ref195778740"/>
      <w:r w:rsidRPr="00634804">
        <w:t>Objective quality assessment</w:t>
      </w:r>
      <w:bookmarkEnd w:id="0"/>
    </w:p>
    <w:p w14:paraId="70ECAB4B" w14:textId="3B2F567C" w:rsidR="00CA2510" w:rsidRPr="00634804" w:rsidRDefault="009B3C93" w:rsidP="00CA2510">
      <w:r w:rsidRPr="00634804">
        <w:t>T</w:t>
      </w:r>
      <w:r w:rsidR="00CA2510" w:rsidRPr="00634804">
        <w:t xml:space="preserve">he </w:t>
      </w:r>
      <w:r w:rsidR="00554671" w:rsidRPr="00634804">
        <w:t>accuracy</w:t>
      </w:r>
      <w:r w:rsidR="00CA2510" w:rsidRPr="00634804">
        <w:t xml:space="preserve"> of the following objective metrics (OM) is assessed:</w:t>
      </w:r>
    </w:p>
    <w:p w14:paraId="42744525" w14:textId="77777777" w:rsidR="00CA2510" w:rsidRPr="00634804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634804">
        <w:t>PSNR: Peak Signal to Noise Ratio,</w:t>
      </w:r>
    </w:p>
    <w:p w14:paraId="018D81AC" w14:textId="545FE6A2" w:rsidR="00CA2510" w:rsidRPr="00634804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634804">
        <w:t>SSIM: Structural Similarity Index</w:t>
      </w:r>
      <w:r w:rsidR="00EA3098" w:rsidRPr="00634804">
        <w:t xml:space="preserve"> (</w:t>
      </w:r>
      <w:hyperlink w:anchor="Wang2004" w:history="1">
        <w:r w:rsidR="00EA3098" w:rsidRPr="00634804">
          <w:rPr>
            <w:rStyle w:val="Hyperlink"/>
            <w:color w:val="auto"/>
            <w:u w:val="none"/>
            <w:lang w:eastAsia="zh-TW"/>
          </w:rPr>
          <w:t xml:space="preserve">Wang </w:t>
        </w:r>
        <w:r w:rsidR="00EA3098" w:rsidRPr="00634804">
          <w:rPr>
            <w:rStyle w:val="Hyperlink"/>
            <w:i/>
            <w:color w:val="auto"/>
            <w:u w:val="none"/>
            <w:lang w:eastAsia="zh-TW"/>
          </w:rPr>
          <w:t>et al.</w:t>
        </w:r>
        <w:r w:rsidR="00EA3098" w:rsidRPr="00634804">
          <w:rPr>
            <w:rStyle w:val="Hyperlink"/>
            <w:color w:val="auto"/>
            <w:u w:val="none"/>
            <w:lang w:eastAsia="zh-TW"/>
          </w:rPr>
          <w:t>, 2004</w:t>
        </w:r>
      </w:hyperlink>
      <w:r w:rsidR="00EA3098" w:rsidRPr="00634804">
        <w:t>)</w:t>
      </w:r>
      <w:r w:rsidRPr="00634804">
        <w:t>,</w:t>
      </w:r>
    </w:p>
    <w:p w14:paraId="2CB4662C" w14:textId="710FFFD0" w:rsidR="00CA2510" w:rsidRPr="00634804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634804">
        <w:t>MS-SSIM: Multi-Scale Structural Similarity Index</w:t>
      </w:r>
      <w:r w:rsidR="00EA3098" w:rsidRPr="00634804">
        <w:t xml:space="preserve"> (</w:t>
      </w:r>
      <w:hyperlink w:anchor="Wang2003" w:history="1">
        <w:r w:rsidR="00EA3098" w:rsidRPr="00634804">
          <w:rPr>
            <w:rStyle w:val="Hyperlink"/>
            <w:color w:val="auto"/>
            <w:u w:val="none"/>
            <w:lang w:eastAsia="zh-TW"/>
          </w:rPr>
          <w:t xml:space="preserve">Wang </w:t>
        </w:r>
        <w:r w:rsidR="00EA3098" w:rsidRPr="00634804">
          <w:rPr>
            <w:rStyle w:val="Hyperlink"/>
            <w:i/>
            <w:color w:val="auto"/>
            <w:u w:val="none"/>
            <w:lang w:eastAsia="zh-TW"/>
          </w:rPr>
          <w:t>et al.</w:t>
        </w:r>
        <w:r w:rsidR="00EA3098" w:rsidRPr="00634804">
          <w:rPr>
            <w:rStyle w:val="Hyperlink"/>
            <w:color w:val="auto"/>
            <w:u w:val="none"/>
            <w:lang w:eastAsia="zh-TW"/>
          </w:rPr>
          <w:t>, 2003</w:t>
        </w:r>
      </w:hyperlink>
      <w:r w:rsidR="00EA3098" w:rsidRPr="00634804">
        <w:t>)</w:t>
      </w:r>
      <w:r w:rsidRPr="00634804">
        <w:t>,</w:t>
      </w:r>
    </w:p>
    <w:p w14:paraId="35007554" w14:textId="073DD21E" w:rsidR="00CA2510" w:rsidRPr="00634804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proofErr w:type="spellStart"/>
      <w:r w:rsidRPr="00634804">
        <w:t>VIFp</w:t>
      </w:r>
      <w:proofErr w:type="spellEnd"/>
      <w:r w:rsidRPr="00634804">
        <w:t>: Visual Information Fidelity</w:t>
      </w:r>
      <w:r w:rsidR="00EA3098" w:rsidRPr="00634804">
        <w:t xml:space="preserve"> (</w:t>
      </w:r>
      <w:hyperlink w:anchor="Sheikh2006" w:history="1">
        <w:r w:rsidR="00EA3098" w:rsidRPr="00634804">
          <w:rPr>
            <w:rStyle w:val="Hyperlink"/>
            <w:color w:val="auto"/>
            <w:u w:val="none"/>
          </w:rPr>
          <w:t xml:space="preserve">Sheikh and </w:t>
        </w:r>
        <w:proofErr w:type="spellStart"/>
        <w:r w:rsidR="00EA3098" w:rsidRPr="00634804">
          <w:rPr>
            <w:rStyle w:val="Hyperlink"/>
            <w:color w:val="auto"/>
            <w:u w:val="none"/>
          </w:rPr>
          <w:t>Bovik</w:t>
        </w:r>
        <w:proofErr w:type="spellEnd"/>
        <w:r w:rsidR="00EA3098" w:rsidRPr="00634804">
          <w:rPr>
            <w:rStyle w:val="Hyperlink"/>
            <w:color w:val="auto"/>
            <w:u w:val="none"/>
          </w:rPr>
          <w:t>, 2006</w:t>
        </w:r>
      </w:hyperlink>
      <w:r w:rsidR="00EA3098" w:rsidRPr="00634804">
        <w:t>)</w:t>
      </w:r>
      <w:r w:rsidRPr="00634804">
        <w:t>, pixel domain version,</w:t>
      </w:r>
    </w:p>
    <w:p w14:paraId="58CC58C6" w14:textId="72120106" w:rsidR="00CA2510" w:rsidRPr="00634804" w:rsidRDefault="00CA2510" w:rsidP="00CA2510">
      <w:pPr>
        <w:numPr>
          <w:ilvl w:val="0"/>
          <w:numId w:val="27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634804">
        <w:t xml:space="preserve">VQM: Video Quality Metric </w:t>
      </w:r>
      <w:r w:rsidR="00EA3098" w:rsidRPr="00634804">
        <w:t>(</w:t>
      </w:r>
      <w:hyperlink w:anchor="J144" w:history="1">
        <w:r w:rsidR="00EA3098" w:rsidRPr="00634804">
          <w:rPr>
            <w:rStyle w:val="Hyperlink"/>
            <w:color w:val="auto"/>
            <w:u w:val="none"/>
          </w:rPr>
          <w:t>ITU</w:t>
        </w:r>
        <w:r w:rsidR="0094119E" w:rsidRPr="00634804">
          <w:rPr>
            <w:rStyle w:val="Hyperlink"/>
            <w:color w:val="auto"/>
            <w:u w:val="none"/>
          </w:rPr>
          <w:t>-T Recommendation</w:t>
        </w:r>
        <w:r w:rsidR="00EA3098" w:rsidRPr="00634804">
          <w:rPr>
            <w:rStyle w:val="Hyperlink"/>
            <w:color w:val="auto"/>
            <w:u w:val="none"/>
          </w:rPr>
          <w:t xml:space="preserve"> J.144, </w:t>
        </w:r>
        <w:r w:rsidR="00DA66BF" w:rsidRPr="00634804">
          <w:rPr>
            <w:rStyle w:val="Hyperlink"/>
            <w:color w:val="auto"/>
            <w:u w:val="none"/>
          </w:rPr>
          <w:t>2004</w:t>
        </w:r>
      </w:hyperlink>
      <w:r w:rsidR="00EA3098" w:rsidRPr="00634804">
        <w:t>)</w:t>
      </w:r>
      <w:r w:rsidR="00D03E17" w:rsidRPr="00634804">
        <w:t xml:space="preserve">, </w:t>
      </w:r>
      <w:r w:rsidRPr="00634804">
        <w:t>NTI</w:t>
      </w:r>
      <w:r w:rsidR="00D03E17" w:rsidRPr="00634804">
        <w:t>A General Model, no calibration</w:t>
      </w:r>
      <w:r w:rsidRPr="00634804">
        <w:t>.</w:t>
      </w:r>
    </w:p>
    <w:p w14:paraId="11AF1E6A" w14:textId="64979131" w:rsidR="00AD0CFB" w:rsidRPr="00634804" w:rsidRDefault="00AD0CFB" w:rsidP="00AD0CFB">
      <w:r w:rsidRPr="00634804">
        <w:t xml:space="preserve">All above metrics, except for VQM, were designed for quality assessment of still images. Thus, the metrics are computed on each frame and the resulting values are averaged </w:t>
      </w:r>
      <w:r w:rsidR="00554671" w:rsidRPr="00634804">
        <w:t>across</w:t>
      </w:r>
      <w:r w:rsidRPr="00634804">
        <w:t xml:space="preserve"> the frames to produce a global index for the entire video sequence.</w:t>
      </w:r>
    </w:p>
    <w:p w14:paraId="110AA70B" w14:textId="3A459D59" w:rsidR="00226EBF" w:rsidRPr="00634804" w:rsidRDefault="00226EBF" w:rsidP="00226EBF">
      <w:r w:rsidRPr="00634804">
        <w:t>In the 2-view configuration, as considered in the 3DVC Call for Proposals (</w:t>
      </w:r>
      <w:proofErr w:type="spellStart"/>
      <w:r w:rsidRPr="00634804">
        <w:t>CfP</w:t>
      </w:r>
      <w:proofErr w:type="spellEnd"/>
      <w:r w:rsidRPr="00634804">
        <w:t>) (</w:t>
      </w:r>
      <w:hyperlink w:anchor="N12036" w:history="1">
        <w:r w:rsidRPr="00634804">
          <w:rPr>
            <w:rStyle w:val="Hyperlink"/>
            <w:color w:val="auto"/>
            <w:u w:val="none"/>
          </w:rPr>
          <w:t>N12036</w:t>
        </w:r>
      </w:hyperlink>
      <w:r w:rsidRPr="00634804">
        <w:t>), a pair of cameras is used to produce the input views at the encoder side, as depicted in Figure 1.</w:t>
      </w:r>
      <w:r w:rsidR="00830BD4" w:rsidRPr="00634804">
        <w:t xml:space="preserve"> At the decoder </w:t>
      </w:r>
      <w:r w:rsidR="00830BD4" w:rsidRPr="00634804">
        <w:lastRenderedPageBreak/>
        <w:t>side, the displayed stereo pair is formed from the decoded right view and a synthesized view, located in-between the input views.</w:t>
      </w:r>
    </w:p>
    <w:p w14:paraId="111ABC17" w14:textId="0D378E35" w:rsidR="00830BD4" w:rsidRPr="00634804" w:rsidRDefault="00830BD4" w:rsidP="00830BD4">
      <w:pPr>
        <w:jc w:val="center"/>
      </w:pPr>
      <w:r w:rsidRPr="00634804">
        <w:rPr>
          <w:noProof/>
        </w:rPr>
        <w:drawing>
          <wp:inline distT="0" distB="0" distL="0" distR="0" wp14:anchorId="36CF2CEE" wp14:editId="4B977A31">
            <wp:extent cx="4171315" cy="1055370"/>
            <wp:effectExtent l="0" t="0" r="0" b="11430"/>
            <wp:docPr id="40" name="Picture 40" descr="Philippe:Documents:EPFL:PhD:MPEG:Quality evaluation:2-view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hilippe:Documents:EPFL:PhD:MPEG:Quality evaluation:2-view.pd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31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48554" w14:textId="6FD5F909" w:rsidR="00830BD4" w:rsidRPr="00634804" w:rsidRDefault="00830BD4" w:rsidP="00830BD4">
      <w:pPr>
        <w:jc w:val="center"/>
      </w:pPr>
      <w:bookmarkStart w:id="1" w:name="_Ref189560067"/>
      <w:bookmarkStart w:id="2" w:name="_Ref189560053"/>
      <w:r w:rsidRPr="00634804">
        <w:rPr>
          <w:i/>
          <w:sz w:val="20"/>
        </w:rPr>
        <w:t xml:space="preserve">Figure </w:t>
      </w:r>
      <w:r w:rsidRPr="00634804">
        <w:rPr>
          <w:i/>
          <w:sz w:val="20"/>
        </w:rPr>
        <w:fldChar w:fldCharType="begin"/>
      </w:r>
      <w:r w:rsidRPr="00634804">
        <w:rPr>
          <w:i/>
          <w:sz w:val="20"/>
        </w:rPr>
        <w:instrText xml:space="preserve"> SEQ Figure \* ARABIC </w:instrText>
      </w:r>
      <w:r w:rsidRPr="00634804">
        <w:rPr>
          <w:i/>
          <w:sz w:val="20"/>
        </w:rPr>
        <w:fldChar w:fldCharType="separate"/>
      </w:r>
      <w:r w:rsidRPr="00634804">
        <w:rPr>
          <w:i/>
          <w:sz w:val="20"/>
        </w:rPr>
        <w:t>1</w:t>
      </w:r>
      <w:r w:rsidRPr="00634804">
        <w:rPr>
          <w:i/>
          <w:sz w:val="20"/>
        </w:rPr>
        <w:fldChar w:fldCharType="end"/>
      </w:r>
      <w:bookmarkEnd w:id="1"/>
      <w:r w:rsidRPr="00634804">
        <w:rPr>
          <w:i/>
          <w:sz w:val="20"/>
        </w:rPr>
        <w:t xml:space="preserve"> – Advanced stereoscopic processing with 2-view configuration</w:t>
      </w:r>
      <w:bookmarkEnd w:id="2"/>
    </w:p>
    <w:p w14:paraId="062E8C2C" w14:textId="747A3CF1" w:rsidR="00AD0CFB" w:rsidRPr="00634804" w:rsidRDefault="00AD0CFB" w:rsidP="00AD0CFB">
      <w:r w:rsidRPr="00634804">
        <w:t xml:space="preserve">In every objective metric, </w:t>
      </w:r>
      <w:r w:rsidR="00877C2C" w:rsidRPr="00634804">
        <w:t>three</w:t>
      </w:r>
      <w:r w:rsidRPr="00634804">
        <w:t xml:space="preserve"> different objective video quality models (VQRs) are considered:</w:t>
      </w:r>
    </w:p>
    <w:p w14:paraId="42C42849" w14:textId="296F7DFD" w:rsidR="00AD0CFB" w:rsidRPr="00634804" w:rsidRDefault="00AD0CFB" w:rsidP="009C1BF7">
      <w:pPr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 w:rsidRPr="00634804">
        <w:t>Quality of the decoded view, calculated between the decoded view and the original view</w:t>
      </w:r>
      <w:r w:rsidR="009C1BF7" w:rsidRPr="00634804">
        <w:t xml:space="preserve"> </w:t>
      </w:r>
      <m:oMath>
        <m:r>
          <w:rPr>
            <w:rFonts w:ascii="Cambria Math" w:hAnsi="Cambria Math"/>
          </w:rPr>
          <m:t>OM(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)</m:t>
        </m:r>
      </m:oMath>
    </w:p>
    <w:p w14:paraId="0F0A3353" w14:textId="47F2214F" w:rsidR="00AD0CFB" w:rsidRPr="00634804" w:rsidRDefault="00AD0CFB" w:rsidP="009C1BF7">
      <w:pPr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 w:rsidRPr="00634804">
        <w:t>Quality of the synthesized view, calculated between the synthesized view at the decoder side and the synthesized view at the encoder side</w:t>
      </w:r>
      <w:r w:rsidR="009C1BF7" w:rsidRPr="00634804">
        <w:t xml:space="preserve"> </w:t>
      </w:r>
      <m:oMath>
        <m:r>
          <w:rPr>
            <w:rFonts w:ascii="Cambria Math" w:hAnsi="Cambria Math"/>
          </w:rPr>
          <m:t>OM(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S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)</m:t>
        </m:r>
      </m:oMath>
    </w:p>
    <w:p w14:paraId="74FF2B65" w14:textId="474508B5" w:rsidR="00A02A67" w:rsidRPr="00634804" w:rsidRDefault="00AD0CFB" w:rsidP="009C1BF7">
      <w:pPr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 w:rsidRPr="00634804">
        <w:t>Average quality of the decoded view and the synthesized view, comput</w:t>
      </w:r>
      <w:r w:rsidR="00877C2C" w:rsidRPr="00634804">
        <w:t>ed as the mean value of a) and b</w:t>
      </w:r>
      <w:r w:rsidRPr="00634804">
        <w:t>)</w:t>
      </w:r>
    </w:p>
    <w:p w14:paraId="7C30C5DD" w14:textId="10039D0C" w:rsidR="00A02A67" w:rsidRPr="00634804" w:rsidRDefault="00A02A67" w:rsidP="00A02A67">
      <w:pPr>
        <w:pStyle w:val="Heading1"/>
      </w:pPr>
      <w:r w:rsidRPr="00634804">
        <w:t>Metric accuracy</w:t>
      </w:r>
    </w:p>
    <w:p w14:paraId="18800703" w14:textId="38F837F3" w:rsidR="00900E84" w:rsidRDefault="0002014D" w:rsidP="00D979DA">
      <w:r w:rsidRPr="00634804">
        <w:t xml:space="preserve">In </w:t>
      </w:r>
      <w:hyperlink w:anchor="J149" w:history="1">
        <w:r w:rsidR="00F24F8B" w:rsidRPr="00634804">
          <w:rPr>
            <w:rStyle w:val="Hyperlink"/>
            <w:color w:val="auto"/>
            <w:u w:val="none"/>
          </w:rPr>
          <w:t>(ITU-T Recommendation J.149, 2004)</w:t>
        </w:r>
      </w:hyperlink>
      <w:r w:rsidRPr="00634804">
        <w:t xml:space="preserve">, </w:t>
      </w:r>
      <w:r w:rsidR="00DA098B">
        <w:t>t</w:t>
      </w:r>
      <w:r w:rsidRPr="00634804">
        <w:t xml:space="preserve">he resolving power </w:t>
      </w:r>
      <w:r w:rsidR="005974F3">
        <w:t xml:space="preserve">of a metric </w:t>
      </w:r>
      <w:r w:rsidR="005974F3" w:rsidRPr="00B81BA1">
        <w:rPr>
          <w:i/>
        </w:rPr>
        <w:t>OM</w:t>
      </w:r>
      <w:r w:rsidR="005974F3">
        <w:t xml:space="preserve"> is defined as</w:t>
      </w:r>
      <w:r w:rsidRPr="00634804">
        <w:t xml:space="preserve"> the</w:t>
      </w:r>
      <w:r w:rsidR="00D9395E">
        <w:t xml:space="preserve"> difference in the metric values,</w:t>
      </w:r>
      <w:r w:rsidRPr="00634804">
        <w:t xml:space="preserve"> </w:t>
      </w:r>
      <m:oMath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OM</m:t>
        </m:r>
      </m:oMath>
      <w:r w:rsidR="00D9395E">
        <w:t>,</w:t>
      </w:r>
      <w:r w:rsidRPr="00634804">
        <w:t xml:space="preserve"> above which the conditional subjective-score distributions have means that are statistically different</w:t>
      </w:r>
      <w:r w:rsidR="00F35ED5">
        <w:t xml:space="preserve"> at a certain </w:t>
      </w:r>
      <w:r w:rsidR="003456D9">
        <w:t xml:space="preserve">confidence or </w:t>
      </w:r>
      <w:r w:rsidR="00F35ED5">
        <w:t>significance</w:t>
      </w:r>
      <w:r w:rsidR="00446697">
        <w:t xml:space="preserve"> or probability</w:t>
      </w:r>
      <w:r w:rsidR="003456D9">
        <w:t xml:space="preserve">, </w:t>
      </w:r>
      <m:oMath>
        <m:r>
          <w:rPr>
            <w:rFonts w:ascii="Cambria Math" w:hAnsi="Cambria Math"/>
          </w:rPr>
          <m:t>p</m:t>
        </m:r>
      </m:oMath>
      <w:r w:rsidR="003456D9">
        <w:t>,</w:t>
      </w:r>
      <w:r w:rsidR="00F35ED5">
        <w:t xml:space="preserve"> level</w:t>
      </w:r>
      <w:r w:rsidRPr="00634804">
        <w:t>.</w:t>
      </w:r>
      <w:r w:rsidR="00931191" w:rsidRPr="00634804">
        <w:t xml:space="preserve"> </w:t>
      </w:r>
      <w:r w:rsidR="00900E84" w:rsidRPr="00634804">
        <w:t xml:space="preserve">The algorithm uses a one-tailed Z-test to determine the probability </w:t>
      </w:r>
      <m:oMath>
        <m:r>
          <w:rPr>
            <w:rFonts w:ascii="Cambria Math" w:hAnsi="Cambria Math"/>
          </w:rPr>
          <m:t>p</m:t>
        </m:r>
      </m:oMath>
      <w:r w:rsidR="00900E84" w:rsidRPr="00634804">
        <w:t xml:space="preserve"> that</w:t>
      </w:r>
      <w:r w:rsidR="00900E84">
        <w:t xml:space="preserve">, given </w:t>
      </w:r>
      <w:r w:rsidR="003456D9">
        <w:t>a</w:t>
      </w:r>
      <w:r w:rsidR="0053648E">
        <w:t xml:space="preserve"> pair of</w:t>
      </w:r>
      <w:r w:rsidR="00900E84">
        <w:t xml:space="preserve"> objective scores, </w:t>
      </w:r>
      <w:proofErr w:type="spellStart"/>
      <w:r w:rsidR="00900E84" w:rsidRPr="00B81BA1">
        <w:rPr>
          <w:i/>
        </w:rPr>
        <w:t>O</w:t>
      </w:r>
      <w:r w:rsidR="003B37B3" w:rsidRPr="00B81BA1">
        <w:rPr>
          <w:i/>
        </w:rPr>
        <w:t>M</w:t>
      </w:r>
      <w:r w:rsidR="003B37B3" w:rsidRPr="00B81BA1">
        <w:rPr>
          <w:i/>
          <w:vertAlign w:val="subscript"/>
        </w:rPr>
        <w:t>i</w:t>
      </w:r>
      <w:proofErr w:type="spellEnd"/>
      <w:r w:rsidR="00136297">
        <w:t xml:space="preserve"> and </w:t>
      </w:r>
      <w:proofErr w:type="spellStart"/>
      <w:r w:rsidR="00136297" w:rsidRPr="00B81BA1">
        <w:rPr>
          <w:i/>
        </w:rPr>
        <w:t>OM</w:t>
      </w:r>
      <w:r w:rsidR="00136297" w:rsidRPr="00B81BA1">
        <w:rPr>
          <w:i/>
          <w:vertAlign w:val="subscript"/>
        </w:rPr>
        <w:t>j</w:t>
      </w:r>
      <w:proofErr w:type="spellEnd"/>
      <w:r w:rsidR="00900E84">
        <w:t>,</w:t>
      </w:r>
      <w:r w:rsidR="00900E84" w:rsidRPr="00634804">
        <w:t xml:space="preserve"> the greater </w:t>
      </w:r>
      <w:r w:rsidR="00DB0F64" w:rsidRPr="00B81BA1">
        <w:t>score</w:t>
      </w:r>
      <w:r w:rsidR="00900E84" w:rsidRPr="00DB0F64">
        <w:t xml:space="preserve"> </w:t>
      </w:r>
      <w:r w:rsidR="00900E84">
        <w:t>corresponds to</w:t>
      </w:r>
      <w:r w:rsidR="00900E84" w:rsidRPr="00634804">
        <w:t xml:space="preserve"> the greater true underlying </w:t>
      </w:r>
      <w:r w:rsidR="00136297">
        <w:t>subjective mean opinion score (</w:t>
      </w:r>
      <w:r w:rsidR="00900E84" w:rsidRPr="00634804">
        <w:t>MOS</w:t>
      </w:r>
      <w:r w:rsidR="00136297">
        <w:t>)</w:t>
      </w:r>
      <w:r w:rsidR="00900E84" w:rsidRPr="00634804">
        <w:t xml:space="preserve">. The details of the algorithm are described in </w:t>
      </w:r>
      <w:hyperlink w:anchor="J149" w:history="1">
        <w:r w:rsidR="00900E84" w:rsidRPr="00634804">
          <w:rPr>
            <w:rStyle w:val="Hyperlink"/>
            <w:color w:val="auto"/>
            <w:u w:val="none"/>
          </w:rPr>
          <w:t>(ITU-T Recommendation J.149, 2004)</w:t>
        </w:r>
      </w:hyperlink>
      <w:r w:rsidR="00900E84" w:rsidRPr="00634804">
        <w:t>.</w:t>
      </w:r>
    </w:p>
    <w:p w14:paraId="044BF4F8" w14:textId="6CC5EF90" w:rsidR="00F42EBB" w:rsidRDefault="00931191" w:rsidP="00D979DA">
      <w:r w:rsidRPr="00634804">
        <w:t xml:space="preserve">The resolving power can be </w:t>
      </w:r>
      <w:r w:rsidR="00900E84">
        <w:t>computed</w:t>
      </w:r>
      <w:r w:rsidR="00900E84" w:rsidRPr="00634804">
        <w:t xml:space="preserve"> </w:t>
      </w:r>
      <w:r w:rsidRPr="00634804">
        <w:t>either in the native scale of the objective metric or in a transformed scale</w:t>
      </w:r>
      <w:r w:rsidR="006433B5">
        <w:t>,</w:t>
      </w:r>
      <w:r w:rsidR="00F62CB8" w:rsidRPr="00634804">
        <w:t xml:space="preserve"> </w:t>
      </w:r>
      <w:r w:rsidR="0053353A" w:rsidRPr="00634804">
        <w:t xml:space="preserve">common to </w:t>
      </w:r>
      <w:r w:rsidR="006433B5">
        <w:t>different</w:t>
      </w:r>
      <w:r w:rsidR="00F62CB8" w:rsidRPr="00634804">
        <w:t xml:space="preserve"> metrics</w:t>
      </w:r>
      <w:r w:rsidR="006433B5">
        <w:t xml:space="preserve">. This </w:t>
      </w:r>
      <w:r w:rsidR="000359D0">
        <w:t>common</w:t>
      </w:r>
      <w:r w:rsidR="006433B5">
        <w:t xml:space="preserve"> scale</w:t>
      </w:r>
      <w:r w:rsidR="006A3AE2" w:rsidRPr="00634804">
        <w:t xml:space="preserve"> allows </w:t>
      </w:r>
      <w:r w:rsidR="00446697">
        <w:t xml:space="preserve">an easier </w:t>
      </w:r>
      <w:r w:rsidR="00F62CB8" w:rsidRPr="00634804">
        <w:t>compar</w:t>
      </w:r>
      <w:r w:rsidR="007651FF">
        <w:t>i</w:t>
      </w:r>
      <w:r w:rsidR="00446697">
        <w:t xml:space="preserve">son between </w:t>
      </w:r>
      <w:r w:rsidR="006A3AE2" w:rsidRPr="00634804">
        <w:t>metrics</w:t>
      </w:r>
      <w:r w:rsidR="00DB48E8">
        <w:t xml:space="preserve"> that</w:t>
      </w:r>
      <w:r w:rsidR="00F62CB8" w:rsidRPr="00634804">
        <w:t xml:space="preserve"> have different ranges</w:t>
      </w:r>
      <w:r w:rsidR="006A3AE2" w:rsidRPr="00634804">
        <w:t>. A common scale can be obtained by fitting the objective scores to the subjective data.</w:t>
      </w:r>
    </w:p>
    <w:p w14:paraId="4B7613B2" w14:textId="44051009" w:rsidR="0086228E" w:rsidRDefault="0086228E" w:rsidP="00D979DA">
      <w:r w:rsidRPr="00634804">
        <w:t xml:space="preserve">By plotting the probability </w:t>
      </w:r>
      <m:oMath>
        <m:r>
          <w:rPr>
            <w:rFonts w:ascii="Cambria Math" w:hAnsi="Cambria Math"/>
          </w:rPr>
          <m:t>p</m:t>
        </m:r>
      </m:oMath>
      <w:r>
        <w:t xml:space="preserve"> as a function of </w:t>
      </w:r>
      <m:oMath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OM</m:t>
        </m:r>
      </m:oMath>
      <w:r>
        <w:t xml:space="preserve">, </w:t>
      </w:r>
      <w:r w:rsidRPr="00634804">
        <w:t xml:space="preserve">one can determine the resolving power </w:t>
      </w:r>
      <w:r>
        <w:t xml:space="preserve">of each metric </w:t>
      </w:r>
      <w:r w:rsidRPr="00634804">
        <w:t xml:space="preserve">corresponding to a specific significance level (typically 0.68, 0.75, 0.90, or 0.95). By stacking curves corresponding to different metrics on the same graph, one can determine which metric </w:t>
      </w:r>
      <w:r w:rsidR="00FE726F">
        <w:t>reaches</w:t>
      </w:r>
      <w:r w:rsidRPr="00634804">
        <w:t xml:space="preserve"> the highest significance level for a fixed resolving power</w:t>
      </w:r>
      <w:r>
        <w:t xml:space="preserve"> (or </w:t>
      </w:r>
      <w:r w:rsidR="00C303F3">
        <w:t>vice versa</w:t>
      </w:r>
      <w:r>
        <w:t>, which metric has the smallest resolving power, i.e., the highest discriminability, for a fixed significance level)</w:t>
      </w:r>
      <w:r w:rsidR="00FE726F">
        <w:t>.</w:t>
      </w:r>
    </w:p>
    <w:p w14:paraId="36E1423E" w14:textId="1723A237" w:rsidR="00AD0CFB" w:rsidRPr="00634804" w:rsidRDefault="00F42EBB" w:rsidP="00D979DA">
      <w:r>
        <w:t xml:space="preserve">In this </w:t>
      </w:r>
      <w:r w:rsidR="009C7355">
        <w:t>contribution</w:t>
      </w:r>
      <w:r>
        <w:t>, a</w:t>
      </w:r>
      <w:r w:rsidR="0053353A" w:rsidRPr="00634804">
        <w:t xml:space="preserve">s in </w:t>
      </w:r>
      <w:r>
        <w:t xml:space="preserve">the </w:t>
      </w:r>
      <w:r w:rsidR="0053353A" w:rsidRPr="00634804">
        <w:t>previous contributions (</w:t>
      </w:r>
      <w:hyperlink w:anchor="M24807" w:history="1">
        <w:r w:rsidR="00C42E97" w:rsidRPr="00634804">
          <w:rPr>
            <w:rStyle w:val="Hyperlink"/>
            <w:color w:val="auto"/>
            <w:u w:val="none"/>
          </w:rPr>
          <w:t>M24807</w:t>
        </w:r>
      </w:hyperlink>
      <w:r w:rsidR="00C42E97" w:rsidRPr="00634804">
        <w:rPr>
          <w:rStyle w:val="Hyperlink"/>
          <w:color w:val="auto"/>
          <w:u w:val="none"/>
        </w:rPr>
        <w:t xml:space="preserve"> </w:t>
      </w:r>
      <w:r w:rsidR="0053353A" w:rsidRPr="00634804">
        <w:t xml:space="preserve">and </w:t>
      </w:r>
      <w:hyperlink w:anchor="JCT3VA0150" w:history="1">
        <w:r w:rsidR="00C42E97" w:rsidRPr="00634804">
          <w:rPr>
            <w:rStyle w:val="Hyperlink"/>
            <w:color w:val="auto"/>
            <w:u w:val="none"/>
            <w:lang w:eastAsia="zh-TW"/>
          </w:rPr>
          <w:t>JCT3V-A0150</w:t>
        </w:r>
      </w:hyperlink>
      <w:r w:rsidR="0053353A" w:rsidRPr="00634804">
        <w:t>),</w:t>
      </w:r>
      <w:r w:rsidR="00AD0CFB" w:rsidRPr="00634804">
        <w:t xml:space="preserve"> </w:t>
      </w:r>
      <w:r w:rsidR="0053353A" w:rsidRPr="00634804">
        <w:t xml:space="preserve">a </w:t>
      </w:r>
      <w:r w:rsidR="00AD0CFB" w:rsidRPr="00634804">
        <w:t xml:space="preserve">linear least squares regression is fitted </w:t>
      </w:r>
      <w:r w:rsidR="009C7355">
        <w:t xml:space="preserve">between the objective and subjective scores </w:t>
      </w:r>
      <w:r w:rsidR="00AD0CFB" w:rsidRPr="00634804">
        <w:t>for each sequence</w:t>
      </w:r>
      <w:r w:rsidR="00B81BA1">
        <w:t>.</w:t>
      </w:r>
    </w:p>
    <w:p w14:paraId="1621F8D6" w14:textId="6C730450" w:rsidR="0077346A" w:rsidRPr="00634804" w:rsidRDefault="00F42EBB" w:rsidP="00D979DA">
      <w:r>
        <w:t>Then, t</w:t>
      </w:r>
      <w:r w:rsidR="0053353A" w:rsidRPr="00634804">
        <w:t xml:space="preserve">he resolving power </w:t>
      </w:r>
      <w:r w:rsidRPr="00634804">
        <w:t>in the common scale</w:t>
      </w:r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  <m:r>
              <w:rPr>
                <w:rFonts w:ascii="Cambria Math" w:hAnsi="Cambria Math"/>
              </w:rPr>
              <m:t>MOS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>
        <w:t>,</w:t>
      </w:r>
      <w:r w:rsidRPr="00634804">
        <w:t xml:space="preserve"> </w:t>
      </w:r>
      <w:r w:rsidR="0053353A" w:rsidRPr="00634804">
        <w:t xml:space="preserve">is computed </w:t>
      </w:r>
      <w:proofErr w:type="gramStart"/>
      <w:r w:rsidR="00B81BA1">
        <w:t>for each content</w:t>
      </w:r>
      <w:proofErr w:type="gramEnd"/>
      <w:r w:rsidR="00B81BA1">
        <w:t xml:space="preserve"> separately</w:t>
      </w:r>
      <w:r w:rsidR="0053353A" w:rsidRPr="00634804">
        <w:t xml:space="preserve"> using the </w:t>
      </w:r>
      <w:proofErr w:type="spellStart"/>
      <w:r w:rsidR="0053353A" w:rsidRPr="00634804">
        <w:t>Matlab</w:t>
      </w:r>
      <w:proofErr w:type="spellEnd"/>
      <w:r w:rsidR="0053353A" w:rsidRPr="00634804">
        <w:t xml:space="preserve"> script provided in </w:t>
      </w:r>
      <w:hyperlink w:anchor="J149" w:history="1">
        <w:r w:rsidR="00F24F8B" w:rsidRPr="00634804">
          <w:rPr>
            <w:rStyle w:val="Hyperlink"/>
            <w:color w:val="auto"/>
            <w:u w:val="none"/>
          </w:rPr>
          <w:t>(ITU-T Recommendation J.149, 2004)</w:t>
        </w:r>
      </w:hyperlink>
      <w:r w:rsidR="0053353A" w:rsidRPr="00634804">
        <w:t xml:space="preserve">. </w:t>
      </w:r>
      <w:r w:rsidR="00AA152E">
        <w:t>Finally</w:t>
      </w:r>
      <w:r w:rsidR="00E5021D">
        <w:t>,</w:t>
      </w:r>
      <w:r w:rsidR="00AA152E">
        <w:t xml:space="preserve"> the</w:t>
      </w:r>
      <w:r w:rsidR="00E5021D">
        <w:t xml:space="preserve"> p-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  <m:r>
              <w:rPr>
                <w:rFonts w:ascii="Cambria Math" w:hAnsi="Cambria Math"/>
              </w:rPr>
              <m:t>MOS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="00E5021D">
        <w:t xml:space="preserve"> curves have been built to compare the different metrics.</w:t>
      </w:r>
      <w:r w:rsidR="00AA152E">
        <w:t xml:space="preserve"> </w:t>
      </w:r>
    </w:p>
    <w:p w14:paraId="12075AA1" w14:textId="49DE1212" w:rsidR="005A7D60" w:rsidRPr="00634804" w:rsidRDefault="005A7D60" w:rsidP="00D979DA">
      <w:r w:rsidRPr="00634804">
        <w:t>Since some metrics, such as PSNR, are very content dependent, the al</w:t>
      </w:r>
      <w:r w:rsidR="00A96B65" w:rsidRPr="00634804">
        <w:t xml:space="preserve">gorithm was run </w:t>
      </w:r>
      <w:proofErr w:type="gramStart"/>
      <w:r w:rsidR="00A96B65" w:rsidRPr="00634804">
        <w:t>on each content</w:t>
      </w:r>
      <w:proofErr w:type="gramEnd"/>
      <w:r w:rsidRPr="00634804">
        <w:t xml:space="preserve"> separately and the results were averaged across the </w:t>
      </w:r>
      <w:r w:rsidR="00786D44" w:rsidRPr="00634804">
        <w:t xml:space="preserve">different </w:t>
      </w:r>
      <w:r w:rsidRPr="00634804">
        <w:t xml:space="preserve">contents. </w:t>
      </w:r>
      <w:r w:rsidR="00786D44" w:rsidRPr="00634804">
        <w:t>As the al</w:t>
      </w:r>
      <w:r w:rsidR="00FD4C4B" w:rsidRPr="00634804">
        <w:t xml:space="preserve">gorithm considers 19 bins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  <m:r>
              <w:rPr>
                <w:rFonts w:ascii="Cambria Math" w:hAnsi="Cambria Math"/>
              </w:rPr>
              <m:t>MOS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="00FD4C4B" w:rsidRPr="00634804">
        <w:t>, intermediate values were interpolated using a linear interpolation.</w:t>
      </w:r>
    </w:p>
    <w:p w14:paraId="6D1A6C00" w14:textId="5004417B" w:rsidR="00A02A67" w:rsidRPr="00634804" w:rsidRDefault="00A02A67" w:rsidP="00A02A67">
      <w:pPr>
        <w:pStyle w:val="Heading1"/>
      </w:pPr>
      <w:r w:rsidRPr="00634804">
        <w:t>Metric classification errors</w:t>
      </w:r>
    </w:p>
    <w:p w14:paraId="24B85727" w14:textId="57FD89D9" w:rsidR="003C6FF1" w:rsidRPr="00634804" w:rsidRDefault="004228CE" w:rsidP="00885CAC">
      <w:hyperlink w:anchor="J149" w:history="1">
        <w:r w:rsidR="00885CAC" w:rsidRPr="00634804">
          <w:rPr>
            <w:rStyle w:val="Hyperlink"/>
            <w:color w:val="auto"/>
            <w:u w:val="none"/>
          </w:rPr>
          <w:t>(ITU-T Recommendation J.149, 2004)</w:t>
        </w:r>
      </w:hyperlink>
      <w:r w:rsidR="00885CAC">
        <w:rPr>
          <w:rStyle w:val="Hyperlink"/>
          <w:color w:val="auto"/>
          <w:u w:val="none"/>
        </w:rPr>
        <w:t xml:space="preserve"> </w:t>
      </w:r>
      <w:r w:rsidR="00885CAC">
        <w:t>also suggests a</w:t>
      </w:r>
      <w:r w:rsidR="00645C27" w:rsidRPr="00634804">
        <w:t>nother way to evaluate the performance of an objective metric</w:t>
      </w:r>
      <w:r w:rsidR="00885CAC">
        <w:t>:</w:t>
      </w:r>
      <w:r w:rsidR="00645C27" w:rsidRPr="00634804">
        <w:t xml:space="preserve"> </w:t>
      </w:r>
      <w:r w:rsidR="0079671F" w:rsidRPr="00634804">
        <w:t xml:space="preserve">the </w:t>
      </w:r>
      <w:r w:rsidR="00645C27" w:rsidRPr="00634804">
        <w:t xml:space="preserve">classification errors. A classification error is made when the objective metric and subjective </w:t>
      </w:r>
      <w:r w:rsidR="003C6FF1" w:rsidRPr="00634804">
        <w:t>test lead to different conclusions on a pair of videos</w:t>
      </w:r>
      <w:r w:rsidR="007D795F">
        <w:t>, A and B</w:t>
      </w:r>
      <w:r w:rsidR="003354B7">
        <w:t>, for example</w:t>
      </w:r>
      <w:r w:rsidR="003C6FF1" w:rsidRPr="00634804">
        <w:t>. Three types of error can happen:</w:t>
      </w:r>
    </w:p>
    <w:p w14:paraId="379266EE" w14:textId="23F39470" w:rsidR="00DC6612" w:rsidRPr="00634804" w:rsidRDefault="003C6FF1" w:rsidP="00DC6612">
      <w:pPr>
        <w:pStyle w:val="ListParagraph"/>
        <w:numPr>
          <w:ilvl w:val="0"/>
          <w:numId w:val="33"/>
        </w:numPr>
        <w:rPr>
          <w:lang w:val="en-US"/>
        </w:rPr>
      </w:pPr>
      <w:r w:rsidRPr="00634804">
        <w:rPr>
          <w:lang w:val="en-US"/>
        </w:rPr>
        <w:lastRenderedPageBreak/>
        <w:t xml:space="preserve">False Tie, the least offensive error, which occurs when the subjective </w:t>
      </w:r>
      <w:r w:rsidR="00DC6612" w:rsidRPr="00634804">
        <w:rPr>
          <w:lang w:val="en-US"/>
        </w:rPr>
        <w:t xml:space="preserve">test says that A and B are different while the objective scores say </w:t>
      </w:r>
      <w:r w:rsidR="007659DD" w:rsidRPr="00634804">
        <w:rPr>
          <w:lang w:val="en-US"/>
        </w:rPr>
        <w:t xml:space="preserve">that they </w:t>
      </w:r>
      <w:r w:rsidR="00DC6612" w:rsidRPr="00634804">
        <w:rPr>
          <w:lang w:val="en-US"/>
        </w:rPr>
        <w:t>are identical,</w:t>
      </w:r>
    </w:p>
    <w:p w14:paraId="2E4CAC90" w14:textId="40309C93" w:rsidR="004B32CF" w:rsidRPr="00634804" w:rsidRDefault="003C6FF1" w:rsidP="003C6FF1">
      <w:pPr>
        <w:pStyle w:val="ListParagraph"/>
        <w:numPr>
          <w:ilvl w:val="0"/>
          <w:numId w:val="33"/>
        </w:numPr>
        <w:rPr>
          <w:lang w:val="en-US"/>
        </w:rPr>
      </w:pPr>
      <w:r w:rsidRPr="00634804">
        <w:rPr>
          <w:lang w:val="en-US"/>
        </w:rPr>
        <w:t xml:space="preserve">False Differentiation, which occurs when the subjective </w:t>
      </w:r>
      <w:r w:rsidR="00DC6612" w:rsidRPr="00634804">
        <w:rPr>
          <w:lang w:val="en-US"/>
        </w:rPr>
        <w:t>test says that A and B</w:t>
      </w:r>
      <w:r w:rsidRPr="00634804">
        <w:rPr>
          <w:lang w:val="en-US"/>
        </w:rPr>
        <w:t xml:space="preserve"> are identical while the objective scores </w:t>
      </w:r>
      <w:r w:rsidR="00DC6612" w:rsidRPr="00634804">
        <w:rPr>
          <w:lang w:val="en-US"/>
        </w:rPr>
        <w:t xml:space="preserve">say </w:t>
      </w:r>
      <w:r w:rsidR="007659DD" w:rsidRPr="00634804">
        <w:rPr>
          <w:lang w:val="en-US"/>
        </w:rPr>
        <w:t xml:space="preserve">that they </w:t>
      </w:r>
      <w:r w:rsidRPr="00634804">
        <w:rPr>
          <w:lang w:val="en-US"/>
        </w:rPr>
        <w:t>are different,</w:t>
      </w:r>
    </w:p>
    <w:p w14:paraId="53A3981A" w14:textId="4EB2E60F" w:rsidR="00FD4C4B" w:rsidRPr="00634804" w:rsidRDefault="003C6FF1" w:rsidP="00AD0CFB">
      <w:pPr>
        <w:pStyle w:val="ListParagraph"/>
        <w:numPr>
          <w:ilvl w:val="0"/>
          <w:numId w:val="33"/>
        </w:numPr>
        <w:rPr>
          <w:lang w:val="en-US"/>
        </w:rPr>
      </w:pPr>
      <w:r w:rsidRPr="00634804">
        <w:rPr>
          <w:lang w:val="en-US"/>
        </w:rPr>
        <w:t xml:space="preserve">False Ranking, the most offensive error, which occurs when the subjective </w:t>
      </w:r>
      <w:r w:rsidR="00DC6612" w:rsidRPr="00634804">
        <w:rPr>
          <w:lang w:val="en-US"/>
        </w:rPr>
        <w:t>test</w:t>
      </w:r>
      <w:r w:rsidRPr="00634804">
        <w:rPr>
          <w:lang w:val="en-US"/>
        </w:rPr>
        <w:t xml:space="preserve"> say</w:t>
      </w:r>
      <w:r w:rsidR="00DC6612" w:rsidRPr="00634804">
        <w:rPr>
          <w:lang w:val="en-US"/>
        </w:rPr>
        <w:t>s</w:t>
      </w:r>
      <w:r w:rsidRPr="00634804">
        <w:rPr>
          <w:lang w:val="en-US"/>
        </w:rPr>
        <w:t xml:space="preserve"> that </w:t>
      </w:r>
      <w:r w:rsidR="00E4342C" w:rsidRPr="00634804">
        <w:rPr>
          <w:lang w:val="en-US"/>
        </w:rPr>
        <w:t xml:space="preserve">A </w:t>
      </w:r>
      <w:r w:rsidRPr="00634804">
        <w:rPr>
          <w:lang w:val="en-US"/>
        </w:rPr>
        <w:t xml:space="preserve">is better than </w:t>
      </w:r>
      <w:r w:rsidR="00E4342C" w:rsidRPr="00634804">
        <w:rPr>
          <w:lang w:val="en-US"/>
        </w:rPr>
        <w:t xml:space="preserve">B </w:t>
      </w:r>
      <w:r w:rsidRPr="00634804">
        <w:rPr>
          <w:lang w:val="en-US"/>
        </w:rPr>
        <w:t>while the objective scores say the opposite.</w:t>
      </w:r>
    </w:p>
    <w:p w14:paraId="4B62DDE8" w14:textId="6B1FDD66" w:rsidR="000C185A" w:rsidRPr="00634804" w:rsidRDefault="000C185A" w:rsidP="000C185A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overflowPunct/>
        <w:autoSpaceDE/>
        <w:autoSpaceDN/>
        <w:adjustRightInd/>
        <w:spacing w:after="120"/>
        <w:jc w:val="center"/>
        <w:textAlignment w:val="auto"/>
        <w:rPr>
          <w:rFonts w:eastAsia="MS Mincho"/>
          <w:b/>
          <w:sz w:val="24"/>
          <w:szCs w:val="24"/>
          <w:lang w:eastAsia="de-DE"/>
        </w:rPr>
      </w:pPr>
      <w:r w:rsidRPr="00634804">
        <w:rPr>
          <w:rFonts w:eastAsia="MS Mincho"/>
          <w:b/>
          <w:sz w:val="24"/>
          <w:szCs w:val="24"/>
          <w:lang w:eastAsia="de-DE"/>
        </w:rPr>
        <w:t>Table </w:t>
      </w:r>
      <w:r w:rsidRPr="00634804">
        <w:rPr>
          <w:rFonts w:eastAsia="MS Mincho"/>
          <w:b/>
          <w:sz w:val="24"/>
          <w:szCs w:val="24"/>
          <w:lang w:eastAsia="de-DE"/>
        </w:rPr>
        <w:fldChar w:fldCharType="begin"/>
      </w:r>
      <w:r w:rsidRPr="00634804">
        <w:rPr>
          <w:rFonts w:eastAsia="MS Mincho"/>
          <w:b/>
          <w:sz w:val="24"/>
          <w:szCs w:val="24"/>
          <w:lang w:eastAsia="de-DE"/>
        </w:rPr>
        <w:instrText xml:space="preserve"> SEQ Table \* ARABIC </w:instrText>
      </w:r>
      <w:r w:rsidRPr="00634804">
        <w:rPr>
          <w:rFonts w:eastAsia="MS Mincho"/>
          <w:b/>
          <w:sz w:val="24"/>
          <w:szCs w:val="24"/>
          <w:lang w:eastAsia="de-DE"/>
        </w:rPr>
        <w:fldChar w:fldCharType="separate"/>
      </w:r>
      <w:r w:rsidR="00F24F8B" w:rsidRPr="00634804">
        <w:rPr>
          <w:rFonts w:eastAsia="MS Mincho"/>
          <w:b/>
          <w:sz w:val="24"/>
          <w:szCs w:val="24"/>
          <w:lang w:eastAsia="de-DE"/>
        </w:rPr>
        <w:t>1</w:t>
      </w:r>
      <w:r w:rsidRPr="00634804">
        <w:rPr>
          <w:rFonts w:eastAsia="MS Mincho"/>
          <w:b/>
          <w:sz w:val="24"/>
          <w:szCs w:val="24"/>
          <w:lang w:eastAsia="de-DE"/>
        </w:rPr>
        <w:fldChar w:fldCharType="end"/>
      </w:r>
      <w:r w:rsidRPr="00634804">
        <w:rPr>
          <w:rFonts w:eastAsia="MS Mincho"/>
          <w:b/>
          <w:sz w:val="24"/>
          <w:szCs w:val="24"/>
          <w:lang w:eastAsia="de-DE"/>
        </w:rPr>
        <w:t>: Classification errors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850"/>
        <w:gridCol w:w="1884"/>
        <w:gridCol w:w="2214"/>
        <w:gridCol w:w="1884"/>
      </w:tblGrid>
      <w:tr w:rsidR="005216B7" w:rsidRPr="00634804" w14:paraId="36A0C263" w14:textId="77777777" w:rsidTr="005216B7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072C35F9" w14:textId="77777777" w:rsidR="005216B7" w:rsidRPr="00634804" w:rsidRDefault="005216B7" w:rsidP="00CC196F">
            <w:pPr>
              <w:spacing w:before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0CEDC07F" w14:textId="0B70F323" w:rsidR="005216B7" w:rsidRPr="00634804" w:rsidRDefault="005216B7" w:rsidP="00CC196F">
            <w:pPr>
              <w:spacing w:before="0"/>
            </w:pPr>
          </w:p>
        </w:tc>
        <w:tc>
          <w:tcPr>
            <w:tcW w:w="5982" w:type="dxa"/>
            <w:gridSpan w:val="3"/>
          </w:tcPr>
          <w:p w14:paraId="588D0FB7" w14:textId="17266549" w:rsidR="005216B7" w:rsidRPr="00634804" w:rsidRDefault="005216B7" w:rsidP="005216B7">
            <w:pPr>
              <w:spacing w:before="0"/>
              <w:jc w:val="center"/>
              <w:rPr>
                <w:b/>
              </w:rPr>
            </w:pPr>
            <w:r w:rsidRPr="00634804">
              <w:rPr>
                <w:b/>
              </w:rPr>
              <w:t>Subjective</w:t>
            </w:r>
          </w:p>
        </w:tc>
      </w:tr>
      <w:tr w:rsidR="005216B7" w:rsidRPr="00634804" w14:paraId="30F78DE1" w14:textId="77777777" w:rsidTr="005216B7">
        <w:trPr>
          <w:jc w:val="center"/>
        </w:trPr>
        <w:tc>
          <w:tcPr>
            <w:tcW w:w="534" w:type="dxa"/>
            <w:tcBorders>
              <w:top w:val="nil"/>
              <w:left w:val="nil"/>
              <w:right w:val="nil"/>
            </w:tcBorders>
          </w:tcPr>
          <w:p w14:paraId="3881D80C" w14:textId="77777777" w:rsidR="005216B7" w:rsidRPr="00634804" w:rsidRDefault="005216B7" w:rsidP="00CC196F">
            <w:pPr>
              <w:spacing w:before="0"/>
            </w:pPr>
          </w:p>
        </w:tc>
        <w:tc>
          <w:tcPr>
            <w:tcW w:w="850" w:type="dxa"/>
            <w:tcBorders>
              <w:top w:val="nil"/>
              <w:left w:val="nil"/>
            </w:tcBorders>
          </w:tcPr>
          <w:p w14:paraId="267FE13A" w14:textId="461F4409" w:rsidR="005216B7" w:rsidRPr="00634804" w:rsidRDefault="005216B7" w:rsidP="00CC196F">
            <w:pPr>
              <w:spacing w:before="0"/>
            </w:pPr>
          </w:p>
        </w:tc>
        <w:tc>
          <w:tcPr>
            <w:tcW w:w="1884" w:type="dxa"/>
          </w:tcPr>
          <w:p w14:paraId="12F02572" w14:textId="570F5BF9" w:rsidR="005216B7" w:rsidRPr="00634804" w:rsidRDefault="005216B7" w:rsidP="005216B7">
            <w:pPr>
              <w:spacing w:before="0"/>
              <w:jc w:val="center"/>
              <w:rPr>
                <w:b/>
              </w:rPr>
            </w:pPr>
            <w:r w:rsidRPr="00634804">
              <w:rPr>
                <w:b/>
              </w:rPr>
              <w:t>A &gt; B</w:t>
            </w:r>
          </w:p>
        </w:tc>
        <w:tc>
          <w:tcPr>
            <w:tcW w:w="2214" w:type="dxa"/>
          </w:tcPr>
          <w:p w14:paraId="21D942CF" w14:textId="0401B357" w:rsidR="005216B7" w:rsidRPr="00634804" w:rsidRDefault="005216B7" w:rsidP="005216B7">
            <w:pPr>
              <w:spacing w:before="0"/>
              <w:jc w:val="center"/>
              <w:rPr>
                <w:b/>
              </w:rPr>
            </w:pPr>
            <w:r w:rsidRPr="00634804">
              <w:rPr>
                <w:b/>
              </w:rPr>
              <w:t>A = B</w:t>
            </w:r>
          </w:p>
        </w:tc>
        <w:tc>
          <w:tcPr>
            <w:tcW w:w="1884" w:type="dxa"/>
          </w:tcPr>
          <w:p w14:paraId="26E4C21D" w14:textId="361FE2E3" w:rsidR="005216B7" w:rsidRPr="00634804" w:rsidRDefault="005216B7" w:rsidP="005216B7">
            <w:pPr>
              <w:spacing w:before="0"/>
              <w:jc w:val="center"/>
              <w:rPr>
                <w:b/>
              </w:rPr>
            </w:pPr>
            <w:r w:rsidRPr="00634804">
              <w:rPr>
                <w:b/>
              </w:rPr>
              <w:t>A &lt; B</w:t>
            </w:r>
          </w:p>
        </w:tc>
      </w:tr>
      <w:tr w:rsidR="005216B7" w:rsidRPr="00634804" w14:paraId="78515D98" w14:textId="77777777" w:rsidTr="005216B7">
        <w:trPr>
          <w:trHeight w:val="382"/>
          <w:jc w:val="center"/>
        </w:trPr>
        <w:tc>
          <w:tcPr>
            <w:tcW w:w="534" w:type="dxa"/>
            <w:vMerge w:val="restart"/>
            <w:textDirection w:val="btLr"/>
            <w:vAlign w:val="center"/>
          </w:tcPr>
          <w:p w14:paraId="000D89D7" w14:textId="54A91835" w:rsidR="005216B7" w:rsidRPr="00634804" w:rsidRDefault="005216B7" w:rsidP="005216B7">
            <w:pPr>
              <w:spacing w:before="0"/>
              <w:ind w:left="113" w:right="113"/>
              <w:jc w:val="center"/>
              <w:rPr>
                <w:b/>
              </w:rPr>
            </w:pPr>
            <w:r w:rsidRPr="00634804">
              <w:rPr>
                <w:b/>
              </w:rPr>
              <w:t>Objective</w:t>
            </w:r>
          </w:p>
        </w:tc>
        <w:tc>
          <w:tcPr>
            <w:tcW w:w="850" w:type="dxa"/>
            <w:vAlign w:val="center"/>
          </w:tcPr>
          <w:p w14:paraId="504E20D0" w14:textId="5EDDB6D8" w:rsidR="005216B7" w:rsidRPr="00634804" w:rsidRDefault="005216B7" w:rsidP="005216B7">
            <w:pPr>
              <w:spacing w:before="0"/>
              <w:rPr>
                <w:b/>
              </w:rPr>
            </w:pPr>
            <w:r w:rsidRPr="00634804">
              <w:rPr>
                <w:b/>
              </w:rPr>
              <w:t>A &gt; B</w:t>
            </w:r>
          </w:p>
        </w:tc>
        <w:tc>
          <w:tcPr>
            <w:tcW w:w="1884" w:type="dxa"/>
            <w:vAlign w:val="center"/>
          </w:tcPr>
          <w:p w14:paraId="604DA506" w14:textId="7C7FD971" w:rsidR="005216B7" w:rsidRPr="00634804" w:rsidRDefault="005216B7" w:rsidP="00645C27">
            <w:pPr>
              <w:spacing w:before="0"/>
              <w:jc w:val="center"/>
            </w:pPr>
            <w:r w:rsidRPr="00634804">
              <w:t>Correct Decision</w:t>
            </w:r>
          </w:p>
        </w:tc>
        <w:tc>
          <w:tcPr>
            <w:tcW w:w="2214" w:type="dxa"/>
            <w:vAlign w:val="center"/>
          </w:tcPr>
          <w:p w14:paraId="1DC0D2BD" w14:textId="393B817F" w:rsidR="005216B7" w:rsidRPr="00634804" w:rsidRDefault="005216B7" w:rsidP="00645C27">
            <w:pPr>
              <w:spacing w:before="0"/>
              <w:jc w:val="center"/>
            </w:pPr>
            <w:r w:rsidRPr="00634804">
              <w:t>False Differentiation</w:t>
            </w:r>
          </w:p>
        </w:tc>
        <w:tc>
          <w:tcPr>
            <w:tcW w:w="1884" w:type="dxa"/>
            <w:vAlign w:val="center"/>
          </w:tcPr>
          <w:p w14:paraId="0961644C" w14:textId="19B1C123" w:rsidR="005216B7" w:rsidRPr="00634804" w:rsidRDefault="005216B7" w:rsidP="00645C27">
            <w:pPr>
              <w:spacing w:before="0"/>
              <w:jc w:val="center"/>
            </w:pPr>
            <w:r w:rsidRPr="00634804">
              <w:t>False Ranking</w:t>
            </w:r>
          </w:p>
        </w:tc>
      </w:tr>
      <w:tr w:rsidR="005216B7" w:rsidRPr="00634804" w14:paraId="0905D59F" w14:textId="77777777" w:rsidTr="005216B7">
        <w:trPr>
          <w:trHeight w:val="382"/>
          <w:jc w:val="center"/>
        </w:trPr>
        <w:tc>
          <w:tcPr>
            <w:tcW w:w="534" w:type="dxa"/>
            <w:vMerge/>
          </w:tcPr>
          <w:p w14:paraId="63952763" w14:textId="392785CF" w:rsidR="005216B7" w:rsidRPr="00634804" w:rsidRDefault="005216B7" w:rsidP="00CC196F">
            <w:pPr>
              <w:spacing w:before="0"/>
              <w:rPr>
                <w:b/>
              </w:rPr>
            </w:pPr>
          </w:p>
        </w:tc>
        <w:tc>
          <w:tcPr>
            <w:tcW w:w="850" w:type="dxa"/>
            <w:vAlign w:val="center"/>
          </w:tcPr>
          <w:p w14:paraId="648093F1" w14:textId="2789D7E3" w:rsidR="005216B7" w:rsidRPr="00634804" w:rsidRDefault="005216B7" w:rsidP="005216B7">
            <w:pPr>
              <w:spacing w:before="0"/>
              <w:rPr>
                <w:b/>
              </w:rPr>
            </w:pPr>
            <w:r w:rsidRPr="00634804">
              <w:rPr>
                <w:b/>
              </w:rPr>
              <w:t>A = B</w:t>
            </w:r>
          </w:p>
        </w:tc>
        <w:tc>
          <w:tcPr>
            <w:tcW w:w="1884" w:type="dxa"/>
            <w:vAlign w:val="center"/>
          </w:tcPr>
          <w:p w14:paraId="33B86AFB" w14:textId="534B18C8" w:rsidR="005216B7" w:rsidRPr="00634804" w:rsidRDefault="005216B7" w:rsidP="00645C27">
            <w:pPr>
              <w:spacing w:before="0"/>
              <w:jc w:val="center"/>
            </w:pPr>
            <w:r w:rsidRPr="00634804">
              <w:t>False Tie</w:t>
            </w:r>
          </w:p>
        </w:tc>
        <w:tc>
          <w:tcPr>
            <w:tcW w:w="2214" w:type="dxa"/>
            <w:vAlign w:val="center"/>
          </w:tcPr>
          <w:p w14:paraId="44ECDE46" w14:textId="194D6C46" w:rsidR="005216B7" w:rsidRPr="00634804" w:rsidRDefault="005216B7" w:rsidP="00645C27">
            <w:pPr>
              <w:spacing w:before="0"/>
              <w:jc w:val="center"/>
            </w:pPr>
            <w:r w:rsidRPr="00634804">
              <w:t>Correct Decision</w:t>
            </w:r>
          </w:p>
        </w:tc>
        <w:tc>
          <w:tcPr>
            <w:tcW w:w="1884" w:type="dxa"/>
            <w:vAlign w:val="center"/>
          </w:tcPr>
          <w:p w14:paraId="4E17FB05" w14:textId="7D6ED6A4" w:rsidR="005216B7" w:rsidRPr="00634804" w:rsidRDefault="005216B7" w:rsidP="00645C27">
            <w:pPr>
              <w:spacing w:before="0"/>
              <w:jc w:val="center"/>
            </w:pPr>
            <w:r w:rsidRPr="00634804">
              <w:t>False Tie</w:t>
            </w:r>
          </w:p>
        </w:tc>
      </w:tr>
      <w:tr w:rsidR="005216B7" w:rsidRPr="00634804" w14:paraId="6E5D4F59" w14:textId="77777777" w:rsidTr="005216B7">
        <w:trPr>
          <w:trHeight w:val="382"/>
          <w:jc w:val="center"/>
        </w:trPr>
        <w:tc>
          <w:tcPr>
            <w:tcW w:w="534" w:type="dxa"/>
            <w:vMerge/>
          </w:tcPr>
          <w:p w14:paraId="7C95A365" w14:textId="3C4539C8" w:rsidR="005216B7" w:rsidRPr="00634804" w:rsidRDefault="005216B7" w:rsidP="00CC196F">
            <w:pPr>
              <w:spacing w:before="0"/>
              <w:rPr>
                <w:b/>
              </w:rPr>
            </w:pPr>
          </w:p>
        </w:tc>
        <w:tc>
          <w:tcPr>
            <w:tcW w:w="850" w:type="dxa"/>
            <w:vAlign w:val="center"/>
          </w:tcPr>
          <w:p w14:paraId="3FE0F054" w14:textId="27CE7999" w:rsidR="005216B7" w:rsidRPr="00634804" w:rsidRDefault="005216B7" w:rsidP="005216B7">
            <w:pPr>
              <w:spacing w:before="0"/>
              <w:rPr>
                <w:b/>
              </w:rPr>
            </w:pPr>
            <w:r w:rsidRPr="00634804">
              <w:rPr>
                <w:b/>
              </w:rPr>
              <w:t>A &lt; B</w:t>
            </w:r>
          </w:p>
        </w:tc>
        <w:tc>
          <w:tcPr>
            <w:tcW w:w="1884" w:type="dxa"/>
            <w:vAlign w:val="center"/>
          </w:tcPr>
          <w:p w14:paraId="3370AFDE" w14:textId="2CB7720E" w:rsidR="005216B7" w:rsidRPr="00634804" w:rsidRDefault="005216B7" w:rsidP="00645C27">
            <w:pPr>
              <w:spacing w:before="0"/>
              <w:jc w:val="center"/>
            </w:pPr>
            <w:r w:rsidRPr="00634804">
              <w:t>False Ranking</w:t>
            </w:r>
          </w:p>
        </w:tc>
        <w:tc>
          <w:tcPr>
            <w:tcW w:w="2214" w:type="dxa"/>
            <w:vAlign w:val="center"/>
          </w:tcPr>
          <w:p w14:paraId="051799F7" w14:textId="149F580F" w:rsidR="005216B7" w:rsidRPr="00634804" w:rsidRDefault="005216B7" w:rsidP="00645C27">
            <w:pPr>
              <w:spacing w:before="0"/>
              <w:jc w:val="center"/>
            </w:pPr>
            <w:r w:rsidRPr="00634804">
              <w:t>False Differentiation</w:t>
            </w:r>
          </w:p>
        </w:tc>
        <w:tc>
          <w:tcPr>
            <w:tcW w:w="1884" w:type="dxa"/>
            <w:vAlign w:val="center"/>
          </w:tcPr>
          <w:p w14:paraId="757A42B0" w14:textId="4001EA2D" w:rsidR="005216B7" w:rsidRPr="00634804" w:rsidRDefault="005216B7" w:rsidP="00645C27">
            <w:pPr>
              <w:spacing w:before="0"/>
              <w:jc w:val="center"/>
            </w:pPr>
            <w:r w:rsidRPr="00634804">
              <w:t>Correct Decision</w:t>
            </w:r>
          </w:p>
        </w:tc>
      </w:tr>
    </w:tbl>
    <w:p w14:paraId="1F5F64FC" w14:textId="77777777" w:rsidR="002309DA" w:rsidRDefault="002309DA" w:rsidP="00D979DA"/>
    <w:p w14:paraId="5E7BA2FC" w14:textId="33F33654" w:rsidR="008C7F22" w:rsidRPr="00634804" w:rsidRDefault="00BA16B0" w:rsidP="00D979DA">
      <w:r w:rsidRPr="00634804">
        <w:t xml:space="preserve">The classifications errors are also computed using the </w:t>
      </w:r>
      <w:proofErr w:type="spellStart"/>
      <w:r w:rsidRPr="00634804">
        <w:t>Matlab</w:t>
      </w:r>
      <w:proofErr w:type="spellEnd"/>
      <w:r w:rsidRPr="00634804">
        <w:t xml:space="preserve"> script provided in </w:t>
      </w:r>
      <w:hyperlink w:anchor="J149" w:history="1">
        <w:r w:rsidR="00F24F8B" w:rsidRPr="00634804">
          <w:rPr>
            <w:rStyle w:val="Hyperlink"/>
            <w:color w:val="auto"/>
            <w:u w:val="none"/>
          </w:rPr>
          <w:t>(ITU-T Recommendation J.149, 2004)</w:t>
        </w:r>
      </w:hyperlink>
      <w:r w:rsidRPr="00634804">
        <w:t xml:space="preserve">. To determine </w:t>
      </w:r>
      <w:r w:rsidR="006B4771">
        <w:t>whether</w:t>
      </w:r>
      <w:r w:rsidR="006B4771" w:rsidRPr="00634804">
        <w:t xml:space="preserve"> </w:t>
      </w:r>
      <w:r w:rsidRPr="00634804">
        <w:t xml:space="preserve">two </w:t>
      </w:r>
      <w:r w:rsidR="00DC6612" w:rsidRPr="00634804">
        <w:t>distributions of subjective scores are different</w:t>
      </w:r>
      <w:r w:rsidR="006B4771">
        <w:t xml:space="preserve"> or not</w:t>
      </w:r>
      <w:r w:rsidR="00DC6612" w:rsidRPr="00634804">
        <w:t xml:space="preserve">, the one-tailed Z-test is used with a 95% confidence level. </w:t>
      </w:r>
      <w:r w:rsidR="0028355D" w:rsidRPr="00634804">
        <w:t xml:space="preserve">The </w:t>
      </w:r>
      <w:r w:rsidR="008C7F22" w:rsidRPr="00634804">
        <w:t xml:space="preserve">relative frequencies of Correct Decision, False Tie, False Differentiation, and False Ranking are recorded from all possible distinct pairs of </w:t>
      </w:r>
      <w:r w:rsidR="00466EB3">
        <w:t>videos</w:t>
      </w:r>
      <w:r w:rsidR="008C7F22" w:rsidRPr="00634804">
        <w:t xml:space="preserve"> as a function of </w:t>
      </w:r>
      <m:oMath>
        <m:r>
          <m:rPr>
            <m:sty m:val="p"/>
          </m:rPr>
          <w:rPr>
            <w:rFonts w:ascii="Cambria Math" w:hAnsi="Cambria Math"/>
          </w:rPr>
          <m:t>ΔO</m:t>
        </m:r>
        <m:r>
          <w:rPr>
            <w:rFonts w:ascii="Cambria Math" w:hAnsi="Cambria Math"/>
          </w:rPr>
          <m:t>M</m:t>
        </m:r>
      </m:oMath>
      <w:r w:rsidR="00954C5B" w:rsidRPr="00634804">
        <w:t>.</w:t>
      </w:r>
    </w:p>
    <w:p w14:paraId="4B83961B" w14:textId="342C61B3" w:rsidR="00CC196F" w:rsidRPr="00634804" w:rsidRDefault="008C7F22" w:rsidP="00D979DA">
      <w:r w:rsidRPr="00634804">
        <w:t xml:space="preserve">As </w:t>
      </w:r>
      <m:oMath>
        <m:r>
          <m:rPr>
            <m:sty m:val="p"/>
          </m:rPr>
          <w:rPr>
            <w:rFonts w:ascii="Cambria Math" w:hAnsi="Cambria Math"/>
          </w:rPr>
          <m:t>ΔO</m:t>
        </m:r>
        <m:r>
          <w:rPr>
            <w:rFonts w:ascii="Cambria Math" w:hAnsi="Cambria Math"/>
          </w:rPr>
          <m:t>M</m:t>
        </m:r>
      </m:oMath>
      <w:r w:rsidRPr="00634804">
        <w:t xml:space="preserve"> increases, more pairs of data points are considered as equivalent</w:t>
      </w:r>
      <w:r w:rsidR="003354B7">
        <w:t xml:space="preserve"> by the objective metric</w:t>
      </w:r>
      <w:r w:rsidRPr="00634804">
        <w:t xml:space="preserve">. This reduces the occurrences of False Differentiations and False Rankings, but increases the occurrence of False Ties. </w:t>
      </w:r>
      <w:r w:rsidR="00F47908" w:rsidRPr="00634804">
        <w:t xml:space="preserve">As </w:t>
      </w:r>
      <m:oMath>
        <m:r>
          <m:rPr>
            <m:sty m:val="p"/>
          </m:rPr>
          <w:rPr>
            <w:rFonts w:ascii="Cambria Math" w:hAnsi="Cambria Math"/>
          </w:rPr>
          <m:t>ΔO</m:t>
        </m:r>
        <m:r>
          <w:rPr>
            <w:rFonts w:ascii="Cambria Math" w:hAnsi="Cambria Math"/>
          </w:rPr>
          <m:t>M</m:t>
        </m:r>
      </m:oMath>
      <w:r w:rsidR="00F47908" w:rsidRPr="00634804">
        <w:t xml:space="preserve"> tends towards 0, the occurrence of False Tie will tend towards 0 and the occurrence of False Differentiation will tend towards the proportion of pairs of </w:t>
      </w:r>
      <w:r w:rsidR="00466EB3">
        <w:t>videos</w:t>
      </w:r>
      <w:r w:rsidR="00F47908" w:rsidRPr="00634804">
        <w:t xml:space="preserve"> </w:t>
      </w:r>
      <w:r w:rsidR="00D34E1D" w:rsidRPr="00634804">
        <w:t xml:space="preserve">that </w:t>
      </w:r>
      <w:r w:rsidR="00F47908" w:rsidRPr="00634804">
        <w:t>were declared equivalent by the subjective test.</w:t>
      </w:r>
    </w:p>
    <w:p w14:paraId="3CE93E48" w14:textId="15A35FFB" w:rsidR="00D34E1D" w:rsidRPr="00634804" w:rsidRDefault="00D86112" w:rsidP="00D979DA">
      <w:r w:rsidRPr="00634804">
        <w:t>The relative frequencies are plot as a function of</w:t>
      </w:r>
      <w:r w:rsidR="00806BFF">
        <w:t xml:space="preserve"> the</w:t>
      </w:r>
      <w:r w:rsidRPr="00634804">
        <w:t xml:space="preserve"> </w:t>
      </w:r>
      <m:oMath>
        <m:r>
          <m:rPr>
            <m:sty m:val="p"/>
          </m:rPr>
          <w:rPr>
            <w:rFonts w:ascii="Cambria Math" w:hAnsi="Cambria Math"/>
          </w:rPr>
          <m:t>ΔO</m:t>
        </m:r>
        <m:r>
          <w:rPr>
            <w:rFonts w:ascii="Cambria Math" w:hAnsi="Cambria Math"/>
          </w:rPr>
          <m:t>M</m:t>
        </m:r>
      </m:oMath>
      <w:r w:rsidRPr="00634804">
        <w:t>. Ideally, the occurrence of Correct Decision should be maximized</w:t>
      </w:r>
      <w:r w:rsidR="008C69E8" w:rsidRPr="00634804">
        <w:t xml:space="preserve"> and</w:t>
      </w:r>
      <w:r w:rsidRPr="00634804">
        <w:t xml:space="preserve"> the occurrence of Fal</w:t>
      </w:r>
      <w:r w:rsidR="008C69E8" w:rsidRPr="00634804">
        <w:t xml:space="preserve">se Ranking should be minimized when </w:t>
      </w:r>
      <w:r w:rsidR="00806BFF">
        <w:t xml:space="preserve">the </w:t>
      </w:r>
      <m:oMath>
        <m:r>
          <m:rPr>
            <m:sty m:val="p"/>
          </m:rPr>
          <w:rPr>
            <w:rFonts w:ascii="Cambria Math" w:hAnsi="Cambria Math"/>
          </w:rPr>
          <m:t>ΔO</m:t>
        </m:r>
        <m:r>
          <w:rPr>
            <w:rFonts w:ascii="Cambria Math" w:hAnsi="Cambria Math"/>
          </w:rPr>
          <m:t>M</m:t>
        </m:r>
      </m:oMath>
      <w:r w:rsidR="00DB1432" w:rsidDel="00DB1432">
        <w:t xml:space="preserve"> </w:t>
      </w:r>
      <w:r w:rsidR="008C69E8" w:rsidRPr="00634804">
        <w:t xml:space="preserve">tends towards 0. The occurrences of False Differentiations and False Rankings should decrease as fast as possible as </w:t>
      </w:r>
      <w:r w:rsidR="00806BFF">
        <w:t xml:space="preserve">the </w:t>
      </w:r>
      <m:oMath>
        <m:r>
          <m:rPr>
            <m:sty m:val="p"/>
          </m:rPr>
          <w:rPr>
            <w:rFonts w:ascii="Cambria Math" w:hAnsi="Cambria Math"/>
          </w:rPr>
          <m:t>ΔO</m:t>
        </m:r>
        <m:r>
          <w:rPr>
            <w:rFonts w:ascii="Cambria Math" w:hAnsi="Cambria Math"/>
          </w:rPr>
          <m:t>M</m:t>
        </m:r>
      </m:oMath>
      <w:r w:rsidR="00DB1432" w:rsidDel="00DB1432">
        <w:t xml:space="preserve"> </w:t>
      </w:r>
      <w:r w:rsidR="008C69E8" w:rsidRPr="00634804">
        <w:t>increases. Based on this, different graphs corresponding to different metrics can be compared to determine the best metric</w:t>
      </w:r>
      <w:r w:rsidR="006B4771">
        <w:t xml:space="preserve"> for the application under analysis</w:t>
      </w:r>
      <w:r w:rsidR="008C69E8" w:rsidRPr="00634804">
        <w:t>.</w:t>
      </w:r>
    </w:p>
    <w:p w14:paraId="5CD63946" w14:textId="567FFA81" w:rsidR="008C69E8" w:rsidRPr="00634804" w:rsidRDefault="008C69E8" w:rsidP="00D979DA">
      <w:r w:rsidRPr="00634804">
        <w:t xml:space="preserve">Since some metrics, such as PSNR, are very content dependent, </w:t>
      </w:r>
      <w:r w:rsidR="006B4771">
        <w:t>classification error rates were computed</w:t>
      </w:r>
      <w:r w:rsidR="006B4771" w:rsidRPr="00634804">
        <w:t xml:space="preserve"> </w:t>
      </w:r>
      <w:proofErr w:type="gramStart"/>
      <w:r w:rsidR="006B4771">
        <w:t>for</w:t>
      </w:r>
      <w:r w:rsidR="00A96B65" w:rsidRPr="00634804">
        <w:t xml:space="preserve"> each content</w:t>
      </w:r>
      <w:proofErr w:type="gramEnd"/>
      <w:r w:rsidRPr="00634804">
        <w:t xml:space="preserve"> separately and </w:t>
      </w:r>
      <w:r w:rsidR="006B4771">
        <w:t>then</w:t>
      </w:r>
      <w:r w:rsidRPr="00634804">
        <w:t xml:space="preserve"> averaged.</w:t>
      </w:r>
    </w:p>
    <w:p w14:paraId="71620138" w14:textId="77777777" w:rsidR="00CA2510" w:rsidRPr="00634804" w:rsidRDefault="00CA2510" w:rsidP="00F77B83">
      <w:pPr>
        <w:pStyle w:val="Heading1"/>
      </w:pPr>
      <w:r w:rsidRPr="00634804">
        <w:t>Results and discussions</w:t>
      </w:r>
    </w:p>
    <w:p w14:paraId="3A78E302" w14:textId="3971C2A3" w:rsidR="00144AF3" w:rsidRPr="00634804" w:rsidRDefault="00A96B65" w:rsidP="00D979DA">
      <w:bookmarkStart w:id="3" w:name="_Ref189653789"/>
      <w:r w:rsidRPr="00634804">
        <w:t xml:space="preserve">The </w:t>
      </w:r>
      <w:r w:rsidR="00DB1432" w:rsidRPr="004228CE">
        <w:rPr>
          <w:rFonts w:ascii="Times" w:hAnsi="Times" w:cs="Times"/>
          <w:i/>
          <w:szCs w:val="22"/>
        </w:rPr>
        <w:t>p</w:t>
      </w:r>
      <w:r w:rsidR="00DB1432" w:rsidRPr="00634804">
        <w:rPr>
          <w:rFonts w:ascii="Times" w:hAnsi="Times" w:cs="Times"/>
          <w:szCs w:val="22"/>
        </w:rPr>
        <w:t xml:space="preserve"> </w:t>
      </w:r>
      <w:r w:rsidR="00144AF3" w:rsidRPr="00634804">
        <w:rPr>
          <w:rFonts w:ascii="Times" w:hAnsi="Times" w:cs="Times"/>
          <w:szCs w:val="22"/>
        </w:rPr>
        <w:t xml:space="preserve">versus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  <m:r>
              <w:rPr>
                <w:rFonts w:ascii="Cambria Math" w:hAnsi="Cambria Math"/>
              </w:rPr>
              <m:t>MOS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="000C2C09">
        <w:rPr>
          <w:rFonts w:ascii="Times" w:hAnsi="Times" w:cs="Times"/>
          <w:szCs w:val="22"/>
        </w:rPr>
        <w:t xml:space="preserve"> curves</w:t>
      </w:r>
      <w:r w:rsidRPr="00634804">
        <w:t xml:space="preserve">, as defined in Section 3, </w:t>
      </w:r>
      <w:proofErr w:type="gramStart"/>
      <w:r w:rsidR="000C2C09">
        <w:t>are</w:t>
      </w:r>
      <w:proofErr w:type="gramEnd"/>
      <w:r w:rsidR="00144AF3" w:rsidRPr="00634804">
        <w:t xml:space="preserve"> </w:t>
      </w:r>
      <w:r w:rsidRPr="00634804">
        <w:t>reported in Figure 2 for each video quality model separately.</w:t>
      </w:r>
    </w:p>
    <w:p w14:paraId="53C846C9" w14:textId="437DB0D9" w:rsidR="00AD0CFB" w:rsidRPr="00634804" w:rsidRDefault="00144AF3" w:rsidP="00D979DA">
      <w:r w:rsidRPr="00634804">
        <w:t xml:space="preserve">When the objective quality assessment is based on the measured quality of the decoded view, MS-SSIM shows a clear gain </w:t>
      </w:r>
      <w:r w:rsidR="00244D18">
        <w:t xml:space="preserve">in terms of resolving power </w:t>
      </w:r>
      <w:r w:rsidRPr="00634804">
        <w:t xml:space="preserve">over the other metrics. For a fixed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  <m:r>
              <w:rPr>
                <w:rFonts w:ascii="Cambria Math" w:hAnsi="Cambria Math"/>
              </w:rPr>
              <m:t>MOS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Pr="00634804">
        <w:rPr>
          <w:rFonts w:ascii="Times" w:hAnsi="Times" w:cs="Times"/>
          <w:szCs w:val="22"/>
        </w:rPr>
        <w:t>,</w:t>
      </w:r>
      <w:r w:rsidRPr="00634804">
        <w:t xml:space="preserve"> the confidence than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MOS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</m:oMath>
      <w:r w:rsidR="009648CF" w:rsidRPr="00634804">
        <w:t xml:space="preserve"> is better than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MOS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</m:oMath>
      <w:r w:rsidR="009648CF" w:rsidRPr="00634804">
        <w:t xml:space="preserve"> is in average </w:t>
      </w:r>
      <w:r w:rsidR="000A7547" w:rsidRPr="00634804">
        <w:t>3.11</w:t>
      </w:r>
      <w:r w:rsidR="009648CF" w:rsidRPr="00634804">
        <w:t>%</w:t>
      </w:r>
      <w:r w:rsidR="000A7547" w:rsidRPr="00634804">
        <w:t xml:space="preserve"> </w:t>
      </w:r>
      <w:r w:rsidR="009648CF" w:rsidRPr="00634804">
        <w:t>higher for MS-SSIM.</w:t>
      </w:r>
    </w:p>
    <w:p w14:paraId="3147AF72" w14:textId="0ADDFDB7" w:rsidR="003A4BC0" w:rsidRDefault="003A4BC0" w:rsidP="00D979DA">
      <w:r w:rsidRPr="00634804">
        <w:t xml:space="preserve">If both views </w:t>
      </w:r>
      <w:r w:rsidR="007902E2">
        <w:t xml:space="preserve">are taken </w:t>
      </w:r>
      <w:r w:rsidR="007902E2" w:rsidRPr="00634804">
        <w:t>into account</w:t>
      </w:r>
      <w:r w:rsidRPr="00634804">
        <w:t xml:space="preserve">, </w:t>
      </w:r>
      <w:r w:rsidR="007902E2">
        <w:t xml:space="preserve">MS-SSIM shows an </w:t>
      </w:r>
      <w:r w:rsidRPr="00634804">
        <w:t xml:space="preserve">average </w:t>
      </w:r>
      <w:r w:rsidR="00C2077E" w:rsidRPr="00634804">
        <w:t>significance level</w:t>
      </w:r>
      <w:r w:rsidRPr="00634804">
        <w:t xml:space="preserve"> </w:t>
      </w:r>
      <w:r w:rsidR="00C2077E" w:rsidRPr="00634804">
        <w:t>increase</w:t>
      </w:r>
      <w:r w:rsidR="00C2077E" w:rsidRPr="00C2077E">
        <w:t xml:space="preserve"> </w:t>
      </w:r>
      <w:r w:rsidR="007902E2">
        <w:t>of 5.44% over PSNR</w:t>
      </w:r>
      <w:r w:rsidRPr="00634804">
        <w:t>.</w:t>
      </w:r>
    </w:p>
    <w:p w14:paraId="3594F027" w14:textId="4CAE2B41" w:rsidR="000F0B66" w:rsidRDefault="004B5576" w:rsidP="00D979DA">
      <w:r>
        <w:rPr>
          <w:rFonts w:ascii="Times" w:hAnsi="Times" w:cs="Times"/>
          <w:szCs w:val="22"/>
        </w:rPr>
        <w:t xml:space="preserve">When considering the </w:t>
      </w:r>
      <w:r w:rsidRPr="00634804">
        <w:t xml:space="preserve">video quality model </w:t>
      </w:r>
      <w:r>
        <w:t xml:space="preserve">based on the </w:t>
      </w:r>
      <w:r>
        <w:rPr>
          <w:rFonts w:ascii="Times" w:hAnsi="Times" w:cs="Times"/>
          <w:szCs w:val="22"/>
        </w:rPr>
        <w:t>quality of the synthesized view</w:t>
      </w:r>
      <w:r>
        <w:t>, MS-SSIM shows</w:t>
      </w:r>
      <w:r w:rsidR="00A60C70">
        <w:t>,</w:t>
      </w:r>
      <w:r>
        <w:t xml:space="preserve"> in general</w:t>
      </w:r>
      <w:r w:rsidR="00A60C70">
        <w:t>,</w:t>
      </w:r>
      <w:r>
        <w:t xml:space="preserve"> better accuracy </w:t>
      </w:r>
      <w:r w:rsidR="00A60C70">
        <w:t xml:space="preserve">than </w:t>
      </w:r>
      <w:r>
        <w:t xml:space="preserve">the other metrics. </w:t>
      </w:r>
      <w:r w:rsidR="000F0B66">
        <w:t>T</w:t>
      </w:r>
      <w:r>
        <w:t>heoretically, t</w:t>
      </w:r>
      <w:r w:rsidR="000F0B66" w:rsidRPr="00634804">
        <w:t xml:space="preserve">he confidence than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MOS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</m:oMath>
      <w:r w:rsidR="000F0B66" w:rsidRPr="00634804">
        <w:t xml:space="preserve"> is better than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MOS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</m:t>
            </m:r>
          </m:e>
        </m:d>
      </m:oMath>
      <w:r w:rsidR="000F0B66">
        <w:t xml:space="preserve"> should increase as the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  <m:r>
              <w:rPr>
                <w:rFonts w:ascii="Cambria Math" w:hAnsi="Cambria Math"/>
              </w:rPr>
              <m:t>MOS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="000F0B66" w:rsidRPr="00634804">
        <w:rPr>
          <w:rFonts w:ascii="Times" w:hAnsi="Times" w:cs="Times"/>
        </w:rPr>
        <w:t xml:space="preserve"> </w:t>
      </w:r>
      <w:r w:rsidR="000F0B66">
        <w:rPr>
          <w:rFonts w:ascii="Times" w:hAnsi="Times" w:cs="Times"/>
          <w:szCs w:val="22"/>
        </w:rPr>
        <w:t>increases (monotonically increasing function). However, this is not the case for PSNR</w:t>
      </w:r>
      <w:r>
        <w:rPr>
          <w:rFonts w:ascii="Times" w:hAnsi="Times" w:cs="Times"/>
          <w:szCs w:val="22"/>
        </w:rPr>
        <w:t xml:space="preserve"> with this </w:t>
      </w:r>
      <w:r w:rsidRPr="00634804">
        <w:t>video quality model</w:t>
      </w:r>
      <w:r w:rsidR="000F0B66">
        <w:rPr>
          <w:rFonts w:ascii="Times" w:hAnsi="Times" w:cs="Times"/>
          <w:szCs w:val="22"/>
        </w:rPr>
        <w:t xml:space="preserve">. </w:t>
      </w:r>
      <w:r w:rsidR="00F15618">
        <w:rPr>
          <w:rFonts w:ascii="Times" w:hAnsi="Times" w:cs="Times"/>
          <w:szCs w:val="22"/>
        </w:rPr>
        <w:t>The explanation for this behavior is the following: f</w:t>
      </w:r>
      <w:r w:rsidR="000F0B66" w:rsidRPr="000F0B66">
        <w:rPr>
          <w:rFonts w:ascii="Times" w:hAnsi="Times" w:cs="Times"/>
          <w:szCs w:val="22"/>
        </w:rPr>
        <w:t>or some contents (</w:t>
      </w:r>
      <w:r w:rsidR="00F15618" w:rsidRPr="00F15618">
        <w:rPr>
          <w:rFonts w:ascii="Times" w:hAnsi="Times" w:cs="Times"/>
          <w:szCs w:val="22"/>
        </w:rPr>
        <w:t>Undo Dancer</w:t>
      </w:r>
      <w:r w:rsidR="000F0B66" w:rsidRPr="000F0B66">
        <w:rPr>
          <w:rFonts w:ascii="Times" w:hAnsi="Times" w:cs="Times"/>
          <w:szCs w:val="22"/>
        </w:rPr>
        <w:t xml:space="preserve">, </w:t>
      </w:r>
      <w:r w:rsidR="00F15618" w:rsidRPr="00F15618">
        <w:rPr>
          <w:rFonts w:ascii="Times" w:hAnsi="Times" w:cs="Times"/>
          <w:szCs w:val="22"/>
        </w:rPr>
        <w:t>Kendo</w:t>
      </w:r>
      <w:r w:rsidR="000F0B66" w:rsidRPr="000F0B66">
        <w:rPr>
          <w:rFonts w:ascii="Times" w:hAnsi="Times" w:cs="Times"/>
          <w:szCs w:val="22"/>
        </w:rPr>
        <w:t xml:space="preserve">, and </w:t>
      </w:r>
      <w:r w:rsidR="00F15618" w:rsidRPr="00F15618">
        <w:rPr>
          <w:rFonts w:ascii="Times" w:hAnsi="Times" w:cs="Times"/>
          <w:szCs w:val="22"/>
        </w:rPr>
        <w:t>Balloons</w:t>
      </w:r>
      <w:r w:rsidR="000F0B66" w:rsidRPr="000F0B66">
        <w:rPr>
          <w:rFonts w:ascii="Times" w:hAnsi="Times" w:cs="Times"/>
          <w:szCs w:val="22"/>
        </w:rPr>
        <w:t>), a few sequences have a low value for the PSNR of the synthesized view while the corresponding stereo pair has a high MOS</w:t>
      </w:r>
      <w:r w:rsidR="00C303F3">
        <w:rPr>
          <w:rFonts w:ascii="Times" w:hAnsi="Times" w:cs="Times"/>
          <w:szCs w:val="22"/>
        </w:rPr>
        <w:t xml:space="preserve"> (</w:t>
      </w:r>
      <w:hyperlink w:anchor="Hanhart2012" w:history="1">
        <w:r w:rsidR="00C303F3" w:rsidRPr="008A2C3B">
          <w:rPr>
            <w:rStyle w:val="Hyperlink"/>
            <w:rFonts w:ascii="Times" w:hAnsi="Times" w:cs="Times"/>
            <w:color w:val="auto"/>
            <w:szCs w:val="22"/>
            <w:u w:val="none"/>
          </w:rPr>
          <w:t>Hanhart</w:t>
        </w:r>
        <w:r w:rsidR="00A83D4B" w:rsidRPr="008A2C3B">
          <w:rPr>
            <w:rStyle w:val="Hyperlink"/>
            <w:rFonts w:ascii="Times" w:hAnsi="Times" w:cs="Times"/>
            <w:color w:val="auto"/>
            <w:szCs w:val="22"/>
            <w:u w:val="none"/>
          </w:rPr>
          <w:t xml:space="preserve"> </w:t>
        </w:r>
        <w:r w:rsidR="00A83D4B" w:rsidRPr="008A2C3B">
          <w:rPr>
            <w:rStyle w:val="Hyperlink"/>
            <w:rFonts w:ascii="Times" w:hAnsi="Times" w:cs="Times"/>
            <w:i/>
            <w:color w:val="auto"/>
            <w:szCs w:val="22"/>
            <w:u w:val="none"/>
          </w:rPr>
          <w:t>et al.</w:t>
        </w:r>
        <w:r w:rsidR="00C303F3" w:rsidRPr="008A2C3B">
          <w:rPr>
            <w:rStyle w:val="Hyperlink"/>
            <w:rFonts w:ascii="Times" w:hAnsi="Times" w:cs="Times"/>
            <w:color w:val="auto"/>
            <w:szCs w:val="22"/>
            <w:u w:val="none"/>
          </w:rPr>
          <w:t xml:space="preserve">, </w:t>
        </w:r>
        <w:r w:rsidR="00C303F3" w:rsidRPr="008A2C3B">
          <w:rPr>
            <w:rStyle w:val="Hyperlink"/>
            <w:rFonts w:ascii="Times" w:hAnsi="Times" w:cs="Times"/>
            <w:color w:val="auto"/>
            <w:szCs w:val="22"/>
            <w:u w:val="none"/>
          </w:rPr>
          <w:lastRenderedPageBreak/>
          <w:t>2012</w:t>
        </w:r>
      </w:hyperlink>
      <w:r w:rsidR="00C303F3">
        <w:rPr>
          <w:rFonts w:ascii="Times" w:hAnsi="Times" w:cs="Times"/>
          <w:szCs w:val="22"/>
        </w:rPr>
        <w:t>)</w:t>
      </w:r>
      <w:r w:rsidR="000F0B66" w:rsidRPr="000F0B66">
        <w:rPr>
          <w:rFonts w:ascii="Times" w:hAnsi="Times" w:cs="Times"/>
          <w:szCs w:val="22"/>
        </w:rPr>
        <w:t>. These data points are significantly distant from the trend in the scatter plot of the synthesized view. It is known that one proponent used</w:t>
      </w:r>
      <w:r w:rsidR="000F0B66">
        <w:rPr>
          <w:rFonts w:ascii="Times" w:hAnsi="Times" w:cs="Times"/>
          <w:szCs w:val="22"/>
        </w:rPr>
        <w:t xml:space="preserve"> a different view synthesis al</w:t>
      </w:r>
      <w:r w:rsidR="000F0B66" w:rsidRPr="000F0B66">
        <w:rPr>
          <w:rFonts w:ascii="Times" w:hAnsi="Times" w:cs="Times"/>
          <w:szCs w:val="22"/>
        </w:rPr>
        <w:t>gorithm.</w:t>
      </w:r>
      <w:r w:rsidR="000F0B66">
        <w:rPr>
          <w:rFonts w:ascii="Times" w:hAnsi="Times" w:cs="Times"/>
          <w:szCs w:val="22"/>
        </w:rPr>
        <w:t xml:space="preserve"> </w:t>
      </w:r>
      <w:r w:rsidR="000F0B66" w:rsidRPr="000F0B66">
        <w:rPr>
          <w:rFonts w:ascii="Times" w:hAnsi="Times" w:cs="Times"/>
          <w:szCs w:val="22"/>
        </w:rPr>
        <w:t>Our hypothesis is that those results are from this specific proponent</w:t>
      </w:r>
      <w:r w:rsidR="00F15618">
        <w:rPr>
          <w:rFonts w:ascii="Times" w:hAnsi="Times" w:cs="Times"/>
          <w:szCs w:val="22"/>
        </w:rPr>
        <w:t xml:space="preserve">. This indicates that PSNR is not a trustfully indicator of quality </w:t>
      </w:r>
      <w:r w:rsidR="00F15618" w:rsidRPr="000F0B66">
        <w:rPr>
          <w:rFonts w:ascii="Times" w:hAnsi="Times" w:cs="Times"/>
          <w:szCs w:val="22"/>
        </w:rPr>
        <w:t>in this case</w:t>
      </w:r>
      <w:r w:rsidR="005E4581">
        <w:t>.</w:t>
      </w:r>
    </w:p>
    <w:p w14:paraId="48D591AB" w14:textId="77777777" w:rsidR="00402AD0" w:rsidRPr="00634804" w:rsidRDefault="00402AD0" w:rsidP="00D979DA"/>
    <w:tbl>
      <w:tblPr>
        <w:tblStyle w:val="TableGrid"/>
        <w:tblW w:w="11341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671"/>
      </w:tblGrid>
      <w:tr w:rsidR="002E6E82" w:rsidRPr="00634804" w14:paraId="50D3046E" w14:textId="77777777" w:rsidTr="003F2E5A">
        <w:tc>
          <w:tcPr>
            <w:tcW w:w="5670" w:type="dxa"/>
          </w:tcPr>
          <w:p w14:paraId="4D84F3FC" w14:textId="09B830F3" w:rsidR="002E6E82" w:rsidRPr="00634804" w:rsidRDefault="002E6E82" w:rsidP="003F2E5A">
            <w:pPr>
              <w:spacing w:before="0"/>
            </w:pPr>
            <w:r w:rsidRPr="00634804">
              <w:rPr>
                <w:noProof/>
              </w:rPr>
              <w:drawing>
                <wp:inline distT="0" distB="0" distL="0" distR="0" wp14:anchorId="76E42E35" wp14:editId="0C8DBB45">
                  <wp:extent cx="3439273" cy="2806123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hilippe:Documents:EPFL:PhD:MPEG:Quality evaluation:Process Results:2view:resolving power:avg_conf_d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9273" cy="2806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1" w:type="dxa"/>
          </w:tcPr>
          <w:p w14:paraId="0090DF4C" w14:textId="2FB26E03" w:rsidR="002E6E82" w:rsidRPr="00634804" w:rsidRDefault="002E6E82" w:rsidP="003F2E5A">
            <w:pPr>
              <w:spacing w:before="0"/>
            </w:pPr>
            <w:r w:rsidRPr="00634804">
              <w:rPr>
                <w:noProof/>
              </w:rPr>
              <w:drawing>
                <wp:inline distT="0" distB="0" distL="0" distR="0" wp14:anchorId="474D8BAE" wp14:editId="62335114">
                  <wp:extent cx="3440146" cy="2806835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hilippe:Documents:EPFL:PhD:MPEG:Quality evaluation:Process Results:2view:resolving power:avg_conf_s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0146" cy="2806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5C4E" w:rsidRPr="00634804" w14:paraId="2AFE2852" w14:textId="77777777" w:rsidTr="00D25C4E">
        <w:tblPrEx>
          <w:tblLook w:val="0000" w:firstRow="0" w:lastRow="0" w:firstColumn="0" w:lastColumn="0" w:noHBand="0" w:noVBand="0"/>
        </w:tblPrEx>
        <w:tc>
          <w:tcPr>
            <w:tcW w:w="11341" w:type="dxa"/>
            <w:gridSpan w:val="2"/>
          </w:tcPr>
          <w:p w14:paraId="39B9E11F" w14:textId="37F8D865" w:rsidR="00D25C4E" w:rsidRPr="00634804" w:rsidRDefault="00D25C4E" w:rsidP="00187600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3E5019F9" wp14:editId="06CA7816">
                  <wp:extent cx="3456000" cy="2819771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hilippe:Documents:EPFL:PhD:MPEG:Quality evaluation:Process Results:2view:resolving power:avg_conf_sld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6000" cy="2819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6A6CE2" w14:textId="2D24A757" w:rsidR="00B23FE3" w:rsidRPr="004228CE" w:rsidRDefault="00B23FE3" w:rsidP="00B23FE3">
      <w:pPr>
        <w:jc w:val="center"/>
      </w:pPr>
      <w:r w:rsidRPr="004228CE">
        <w:rPr>
          <w:i/>
          <w:sz w:val="20"/>
        </w:rPr>
        <w:t xml:space="preserve">Figure </w:t>
      </w:r>
      <w:r w:rsidRPr="00634804">
        <w:rPr>
          <w:i/>
          <w:sz w:val="20"/>
        </w:rPr>
        <w:fldChar w:fldCharType="begin"/>
      </w:r>
      <w:r w:rsidRPr="004228CE">
        <w:rPr>
          <w:i/>
          <w:sz w:val="20"/>
        </w:rPr>
        <w:instrText xml:space="preserve"> SEQ Figure \* ARABIC </w:instrText>
      </w:r>
      <w:r w:rsidRPr="00634804">
        <w:rPr>
          <w:i/>
          <w:sz w:val="20"/>
        </w:rPr>
        <w:fldChar w:fldCharType="separate"/>
      </w:r>
      <w:r w:rsidR="00F71675" w:rsidRPr="004228CE">
        <w:rPr>
          <w:i/>
          <w:sz w:val="20"/>
        </w:rPr>
        <w:t>2</w:t>
      </w:r>
      <w:r w:rsidRPr="00634804">
        <w:rPr>
          <w:i/>
          <w:sz w:val="20"/>
        </w:rPr>
        <w:fldChar w:fldCharType="end"/>
      </w:r>
      <w:r w:rsidRPr="004228CE">
        <w:rPr>
          <w:i/>
          <w:sz w:val="20"/>
        </w:rPr>
        <w:t xml:space="preserve"> – Confidence versus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  <m:r>
              <w:rPr>
                <w:rFonts w:ascii="Cambria Math" w:hAnsi="Cambria Math"/>
              </w:rPr>
              <m:t>MOS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Pr="004228CE">
        <w:rPr>
          <w:i/>
          <w:sz w:val="20"/>
        </w:rPr>
        <w:t xml:space="preserve"> </w:t>
      </w:r>
    </w:p>
    <w:p w14:paraId="6CA199ED" w14:textId="2CA799B0" w:rsidR="00B97763" w:rsidRDefault="00426033" w:rsidP="00D979DA">
      <w:r w:rsidRPr="00D979DA">
        <w:t>The metric classification errors, as defined in Section 4, are reported in Figure 3 to Figure 5 for each</w:t>
      </w:r>
      <w:r w:rsidRPr="00634804">
        <w:t xml:space="preserve"> </w:t>
      </w:r>
      <w:r w:rsidR="00E04DB6">
        <w:t xml:space="preserve">metric and </w:t>
      </w:r>
      <w:r w:rsidRPr="00634804">
        <w:t>video quality model separately.</w:t>
      </w:r>
      <w:r w:rsidR="00E04DB6">
        <w:t xml:space="preserve"> </w:t>
      </w:r>
      <w:r w:rsidR="00E77C1B">
        <w:t>Even though the results a</w:t>
      </w:r>
      <w:r w:rsidR="00B038CE">
        <w:t>re reported in the native scale of the metric</w:t>
      </w:r>
      <w:r w:rsidR="00E77C1B">
        <w:t xml:space="preserve"> instead of the common scale, it is still possible to compa</w:t>
      </w:r>
      <w:bookmarkStart w:id="4" w:name="_GoBack"/>
      <w:bookmarkEnd w:id="4"/>
      <w:r w:rsidR="00E77C1B">
        <w:t xml:space="preserve">re the classification errors of the different metrics </w:t>
      </w:r>
      <w:r w:rsidR="00B97763">
        <w:t>by looking at the</w:t>
      </w:r>
      <w:r w:rsidR="001F4EE5">
        <w:t xml:space="preserve"> relative</w:t>
      </w:r>
      <w:r w:rsidR="00B97763">
        <w:t xml:space="preserve"> </w:t>
      </w:r>
      <m:oMath>
        <m:r>
          <m:rPr>
            <m:sty m:val="p"/>
          </m:rPr>
          <w:rPr>
            <w:rFonts w:ascii="Cambria Math" w:hAnsi="Cambria Math"/>
          </w:rPr>
          <m:t>ΔO</m:t>
        </m:r>
        <m:r>
          <w:rPr>
            <w:rFonts w:ascii="Cambria Math" w:hAnsi="Cambria Math"/>
          </w:rPr>
          <m:t>M</m:t>
        </m:r>
      </m:oMath>
      <w:r w:rsidR="00B97763">
        <w:t xml:space="preserve"> ratio (</w:t>
      </w:r>
      <m:oMath>
        <m:r>
          <m:rPr>
            <m:sty m:val="p"/>
          </m:rPr>
          <w:rPr>
            <w:rFonts w:ascii="Cambria Math" w:hAnsi="Cambria Math"/>
          </w:rPr>
          <m:t>ΔO</m:t>
        </m:r>
        <m:r>
          <w:rPr>
            <w:rFonts w:ascii="Cambria Math" w:hAnsi="Cambria Math"/>
          </w:rPr>
          <m:t>M</m:t>
        </m:r>
      </m:oMath>
      <w:r w:rsidR="00B97763">
        <w:t xml:space="preserve"> divided by the maximum value of </w:t>
      </w:r>
      <m:oMath>
        <m:r>
          <m:rPr>
            <m:sty m:val="p"/>
          </m:rPr>
          <w:rPr>
            <w:rFonts w:ascii="Cambria Math" w:hAnsi="Cambria Math"/>
          </w:rPr>
          <m:t>ΔO</m:t>
        </m:r>
        <m:r>
          <w:rPr>
            <w:rFonts w:ascii="Cambria Math" w:hAnsi="Cambria Math"/>
          </w:rPr>
          <m:t>M</m:t>
        </m:r>
      </m:oMath>
      <w:r w:rsidR="00B97763">
        <w:t xml:space="preserve">) rather than the absolute </w:t>
      </w:r>
      <m:oMath>
        <m:r>
          <m:rPr>
            <m:sty m:val="p"/>
          </m:rPr>
          <w:rPr>
            <w:rFonts w:ascii="Cambria Math" w:hAnsi="Cambria Math"/>
          </w:rPr>
          <m:t>ΔO</m:t>
        </m:r>
        <m:r>
          <w:rPr>
            <w:rFonts w:ascii="Cambria Math" w:hAnsi="Cambria Math"/>
          </w:rPr>
          <m:t>M</m:t>
        </m:r>
      </m:oMath>
      <w:r w:rsidR="00B97763">
        <w:t>.</w:t>
      </w:r>
    </w:p>
    <w:p w14:paraId="59623D24" w14:textId="3D9A77E5" w:rsidR="00DD0442" w:rsidRDefault="000A0682" w:rsidP="00402AD0">
      <w:r w:rsidRPr="00D979DA">
        <w:t>When considering</w:t>
      </w:r>
      <w:r>
        <w:t xml:space="preserve"> the </w:t>
      </w:r>
      <w:r w:rsidRPr="00634804">
        <w:t xml:space="preserve">video quality model </w:t>
      </w:r>
      <w:r>
        <w:t xml:space="preserve">based on the quality of the decoded view, a fast decaying False Ranking rate is observed for MS-SSIM while </w:t>
      </w:r>
      <w:r w:rsidR="00D979DA">
        <w:t>it</w:t>
      </w:r>
      <w:r>
        <w:t xml:space="preserve"> is significantly slower for VQM. Similarly, the peak of the Correct Decision rate is reached </w:t>
      </w:r>
      <w:r w:rsidR="00D979DA">
        <w:t>at</w:t>
      </w:r>
      <w:r>
        <w:t xml:space="preserve"> a lower </w:t>
      </w:r>
      <m:oMath>
        <m:r>
          <m:rPr>
            <m:sty m:val="p"/>
          </m:rPr>
          <w:rPr>
            <w:rFonts w:ascii="Cambria Math" w:hAnsi="Cambria Math"/>
          </w:rPr>
          <m:t>ΔO</m:t>
        </m:r>
        <m:r>
          <w:rPr>
            <w:rFonts w:ascii="Cambria Math" w:hAnsi="Cambria Math"/>
          </w:rPr>
          <m:t>M</m:t>
        </m:r>
      </m:oMath>
      <w:r w:rsidR="00B97763">
        <w:t xml:space="preserve"> </w:t>
      </w:r>
      <w:r w:rsidR="00D979DA">
        <w:t>ratio</w:t>
      </w:r>
      <w:r>
        <w:t xml:space="preserve"> for MS-SSIM than VQM, meaning that MS-SSIM has a higher resolving power. </w:t>
      </w:r>
      <w:r w:rsidR="00D743B7">
        <w:t>The highest Correct Decision rate is obtained with MS-SSIM (</w:t>
      </w:r>
      <w:r w:rsidR="00D743B7" w:rsidRPr="00D743B7">
        <w:t>0.7839</w:t>
      </w:r>
      <w:r w:rsidR="00D743B7">
        <w:t xml:space="preserve">) while </w:t>
      </w:r>
      <w:r w:rsidR="00D979DA">
        <w:t>SSIM has the lowest peak (</w:t>
      </w:r>
      <w:r w:rsidR="00D979DA" w:rsidRPr="00D979DA">
        <w:t>0.7632</w:t>
      </w:r>
      <w:r w:rsidR="00D979DA">
        <w:t>).</w:t>
      </w:r>
      <w:bookmarkEnd w:id="3"/>
    </w:p>
    <w:p w14:paraId="3967D1F2" w14:textId="28D06692" w:rsidR="00F427F0" w:rsidRPr="00634804" w:rsidRDefault="00F427F0" w:rsidP="00402AD0">
      <w:r w:rsidRPr="00634804">
        <w:br w:type="page"/>
      </w:r>
    </w:p>
    <w:p w14:paraId="69712E78" w14:textId="77777777" w:rsidR="00AD0CFB" w:rsidRPr="00634804" w:rsidRDefault="00AD0CFB" w:rsidP="00AD0CF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4785"/>
      </w:tblGrid>
      <w:tr w:rsidR="00441DA2" w:rsidRPr="00634804" w14:paraId="5752176E" w14:textId="77777777" w:rsidTr="0043659B">
        <w:tc>
          <w:tcPr>
            <w:tcW w:w="9576" w:type="dxa"/>
            <w:gridSpan w:val="2"/>
          </w:tcPr>
          <w:p w14:paraId="69400022" w14:textId="512289F7" w:rsidR="00441DA2" w:rsidRPr="00634804" w:rsidRDefault="00441DA2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0DACDDC7" wp14:editId="14463AE3">
                  <wp:extent cx="2979884" cy="2497022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hilippe:Documents:EPFL:PhD:MPEG:Quality evaluation:Process Results:2view:resolving power:delta_vq_dr_psn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884" cy="2497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DA2" w:rsidRPr="00634804" w14:paraId="6187F355" w14:textId="77777777" w:rsidTr="00B23FE3">
        <w:tc>
          <w:tcPr>
            <w:tcW w:w="4791" w:type="dxa"/>
          </w:tcPr>
          <w:p w14:paraId="0359B334" w14:textId="7E67CFDF" w:rsidR="00441DA2" w:rsidRPr="00634804" w:rsidRDefault="00441DA2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08148A10" wp14:editId="6C3F0487">
                  <wp:extent cx="2977468" cy="2494998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hilippe:Documents:EPFL:PhD:MPEG:Quality evaluation:Process Results:2view:resolving power:delta_vq_dr_ssi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7468" cy="2494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14:paraId="233C7602" w14:textId="7F732E28" w:rsidR="00441DA2" w:rsidRPr="00634804" w:rsidRDefault="00441DA2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383585DF" wp14:editId="0C200145">
                  <wp:extent cx="2976833" cy="2494466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hilippe:Documents:EPFL:PhD:MPEG:Quality evaluation:Process Results:2view:resolving power:delta_vq_dr_mssi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6833" cy="2494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DA2" w:rsidRPr="00634804" w14:paraId="1A598BCC" w14:textId="77777777" w:rsidTr="00B23FE3">
        <w:tc>
          <w:tcPr>
            <w:tcW w:w="4791" w:type="dxa"/>
          </w:tcPr>
          <w:p w14:paraId="378EDE18" w14:textId="6A35CF37" w:rsidR="00441DA2" w:rsidRPr="00634804" w:rsidRDefault="00441DA2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72C65309" wp14:editId="682B884A">
                  <wp:extent cx="2983426" cy="2497023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hilippe:Documents:EPFL:PhD:MPEG:Quality evaluation:Process Results:2view:resolving power:delta_vq_dr_vi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3426" cy="249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14:paraId="7EEB0CDE" w14:textId="59472CF8" w:rsidR="00441DA2" w:rsidRPr="00634804" w:rsidRDefault="00441DA2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22F60497" wp14:editId="256DC782">
                  <wp:extent cx="2979885" cy="2497023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hilippe:Documents:EPFL:PhD:MPEG:Quality evaluation:Process Results:2view:resolving power:delta_vq_dr_vq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885" cy="249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E69586" w14:textId="290C36F2" w:rsidR="00B23FE3" w:rsidRPr="00634804" w:rsidRDefault="00B23FE3" w:rsidP="00B23FE3">
      <w:pPr>
        <w:jc w:val="center"/>
      </w:pPr>
      <w:r w:rsidRPr="00634804">
        <w:rPr>
          <w:i/>
          <w:sz w:val="20"/>
        </w:rPr>
        <w:t xml:space="preserve">Figure </w:t>
      </w:r>
      <w:r w:rsidRPr="00634804">
        <w:rPr>
          <w:i/>
          <w:sz w:val="20"/>
        </w:rPr>
        <w:fldChar w:fldCharType="begin"/>
      </w:r>
      <w:r w:rsidRPr="00634804">
        <w:rPr>
          <w:i/>
          <w:sz w:val="20"/>
        </w:rPr>
        <w:instrText xml:space="preserve"> SEQ Figure \* ARABIC </w:instrText>
      </w:r>
      <w:r w:rsidRPr="00634804">
        <w:rPr>
          <w:i/>
          <w:sz w:val="20"/>
        </w:rPr>
        <w:fldChar w:fldCharType="separate"/>
      </w:r>
      <w:r w:rsidR="00F24F8B" w:rsidRPr="00634804">
        <w:rPr>
          <w:i/>
          <w:sz w:val="20"/>
        </w:rPr>
        <w:t>3</w:t>
      </w:r>
      <w:r w:rsidRPr="00634804">
        <w:rPr>
          <w:i/>
          <w:sz w:val="20"/>
        </w:rPr>
        <w:fldChar w:fldCharType="end"/>
      </w:r>
      <w:r w:rsidRPr="00634804">
        <w:rPr>
          <w:i/>
          <w:sz w:val="20"/>
        </w:rPr>
        <w:t xml:space="preserve"> – Frequencies of classification error: decoded view</w:t>
      </w:r>
    </w:p>
    <w:p w14:paraId="17DFE1D0" w14:textId="4F7C36E0" w:rsidR="00F427F0" w:rsidRPr="00634804" w:rsidRDefault="00F427F0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 w:rsidRPr="00634804">
        <w:br w:type="page"/>
      </w:r>
    </w:p>
    <w:p w14:paraId="6B521ABF" w14:textId="77777777" w:rsidR="00B23FE3" w:rsidRPr="00634804" w:rsidRDefault="00B23FE3" w:rsidP="00AD0CF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4785"/>
      </w:tblGrid>
      <w:tr w:rsidR="00441DA2" w:rsidRPr="00634804" w14:paraId="5F8AF629" w14:textId="77777777" w:rsidTr="0043659B">
        <w:tc>
          <w:tcPr>
            <w:tcW w:w="9576" w:type="dxa"/>
            <w:gridSpan w:val="2"/>
          </w:tcPr>
          <w:p w14:paraId="5DE2C420" w14:textId="06AC7915" w:rsidR="00441DA2" w:rsidRPr="00634804" w:rsidRDefault="0013037E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1F566C2F" wp14:editId="5BA259D6">
                  <wp:extent cx="2979885" cy="2497023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hilippe:Documents:EPFL:PhD:MPEG:Quality evaluation:Process Results:2view:resolving power:delta_vq_sl_psn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885" cy="249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DA2" w:rsidRPr="00634804" w14:paraId="6E097095" w14:textId="77777777" w:rsidTr="00B23FE3">
        <w:tc>
          <w:tcPr>
            <w:tcW w:w="4791" w:type="dxa"/>
          </w:tcPr>
          <w:p w14:paraId="71126A5E" w14:textId="51DA7E3E" w:rsidR="00441DA2" w:rsidRPr="00634804" w:rsidRDefault="0013037E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24A049C8" wp14:editId="443009D7">
                  <wp:extent cx="2979885" cy="2497023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Philippe:Documents:EPFL:PhD:MPEG:Quality evaluation:Process Results:2view:resolving power:delta_vq_sl_ssi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885" cy="249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14:paraId="6A87926E" w14:textId="7D433EAF" w:rsidR="00441DA2" w:rsidRPr="00634804" w:rsidRDefault="0013037E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50A3885F" wp14:editId="5AEA601E">
                  <wp:extent cx="2979885" cy="2497023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hilippe:Documents:EPFL:PhD:MPEG:Quality evaluation:Process Results:2view:resolving power:delta_vq_sl_mssi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885" cy="249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DA2" w:rsidRPr="00634804" w14:paraId="43F72FD7" w14:textId="77777777" w:rsidTr="00B23FE3">
        <w:tc>
          <w:tcPr>
            <w:tcW w:w="4791" w:type="dxa"/>
          </w:tcPr>
          <w:p w14:paraId="7B30F02C" w14:textId="17F339F1" w:rsidR="00441DA2" w:rsidRPr="00634804" w:rsidRDefault="0013037E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0CEA962D" wp14:editId="59FCFBE5">
                  <wp:extent cx="2983426" cy="2497023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hilippe:Documents:EPFL:PhD:MPEG:Quality evaluation:Process Results:2view:resolving power:delta_vq_sl_vi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3426" cy="249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14:paraId="1F7AC57E" w14:textId="153E1761" w:rsidR="00441DA2" w:rsidRPr="00634804" w:rsidRDefault="0013037E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2229FD37" wp14:editId="0BEE77B0">
                  <wp:extent cx="2979885" cy="2497023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hilippe:Documents:EPFL:PhD:MPEG:Quality evaluation:Process Results:2view:resolving power:delta_vq_sl_vq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885" cy="249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C044BB" w14:textId="0EAE08EE" w:rsidR="00B23FE3" w:rsidRPr="00634804" w:rsidRDefault="00B23FE3" w:rsidP="00B23FE3">
      <w:pPr>
        <w:jc w:val="center"/>
      </w:pPr>
      <w:r w:rsidRPr="00634804">
        <w:rPr>
          <w:i/>
          <w:sz w:val="20"/>
        </w:rPr>
        <w:t xml:space="preserve">Figure </w:t>
      </w:r>
      <w:r w:rsidRPr="00634804">
        <w:rPr>
          <w:i/>
          <w:sz w:val="20"/>
        </w:rPr>
        <w:fldChar w:fldCharType="begin"/>
      </w:r>
      <w:r w:rsidRPr="00634804">
        <w:rPr>
          <w:i/>
          <w:sz w:val="20"/>
        </w:rPr>
        <w:instrText xml:space="preserve"> SEQ Figure \* ARABIC </w:instrText>
      </w:r>
      <w:r w:rsidRPr="00634804">
        <w:rPr>
          <w:i/>
          <w:sz w:val="20"/>
        </w:rPr>
        <w:fldChar w:fldCharType="separate"/>
      </w:r>
      <w:r w:rsidR="00F24F8B" w:rsidRPr="00634804">
        <w:rPr>
          <w:i/>
          <w:sz w:val="20"/>
        </w:rPr>
        <w:t>4</w:t>
      </w:r>
      <w:r w:rsidRPr="00634804">
        <w:rPr>
          <w:i/>
          <w:sz w:val="20"/>
        </w:rPr>
        <w:fldChar w:fldCharType="end"/>
      </w:r>
      <w:r w:rsidRPr="00634804">
        <w:rPr>
          <w:i/>
          <w:sz w:val="20"/>
        </w:rPr>
        <w:t xml:space="preserve"> – Frequencies of classification error: synthesized view</w:t>
      </w:r>
    </w:p>
    <w:p w14:paraId="7CF3265D" w14:textId="643D4EA9" w:rsidR="00F427F0" w:rsidRPr="00634804" w:rsidRDefault="00F427F0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 w:rsidRPr="00634804">
        <w:br w:type="page"/>
      </w:r>
    </w:p>
    <w:p w14:paraId="1EFF9ECF" w14:textId="77777777" w:rsidR="00441DA2" w:rsidRPr="00634804" w:rsidRDefault="00441DA2" w:rsidP="00B23FE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4785"/>
      </w:tblGrid>
      <w:tr w:rsidR="00441DA2" w:rsidRPr="00634804" w14:paraId="0C9F95D6" w14:textId="77777777" w:rsidTr="0043659B">
        <w:tc>
          <w:tcPr>
            <w:tcW w:w="9576" w:type="dxa"/>
            <w:gridSpan w:val="2"/>
          </w:tcPr>
          <w:p w14:paraId="574BA902" w14:textId="7A588685" w:rsidR="00441DA2" w:rsidRPr="00634804" w:rsidRDefault="0013037E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44EFB821" wp14:editId="47E987A3">
                  <wp:extent cx="2979885" cy="2497023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Philippe:Documents:EPFL:PhD:MPEG:Quality evaluation:Process Results:2view:resolving power:delta_vq_sldr_psn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885" cy="249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DA2" w:rsidRPr="00634804" w14:paraId="52AE2936" w14:textId="77777777" w:rsidTr="00B23FE3">
        <w:tc>
          <w:tcPr>
            <w:tcW w:w="4791" w:type="dxa"/>
          </w:tcPr>
          <w:p w14:paraId="6143D9A1" w14:textId="486B7C20" w:rsidR="00441DA2" w:rsidRPr="00634804" w:rsidRDefault="0013037E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3E19A938" wp14:editId="38A09A5D">
                  <wp:extent cx="2979885" cy="2497023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Philippe:Documents:EPFL:PhD:MPEG:Quality evaluation:Process Results:2view:resolving power:delta_vq_sldr_ssi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885" cy="249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14:paraId="0300D9BF" w14:textId="49A40E99" w:rsidR="00441DA2" w:rsidRPr="00634804" w:rsidRDefault="0013037E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4BD8DE2D" wp14:editId="78B61CF2">
                  <wp:extent cx="2979654" cy="2465388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Philippe:Documents:EPFL:PhD:MPEG:Quality evaluation:Process Results:2view:resolving power:delta_vq_sldr_mssi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654" cy="2465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DA2" w:rsidRPr="00634804" w14:paraId="78AFC703" w14:textId="77777777" w:rsidTr="00B23FE3">
        <w:tc>
          <w:tcPr>
            <w:tcW w:w="4791" w:type="dxa"/>
          </w:tcPr>
          <w:p w14:paraId="7E6FD8A1" w14:textId="2E284839" w:rsidR="00441DA2" w:rsidRPr="00634804" w:rsidRDefault="0013037E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26CBA0EE" wp14:editId="09A9E296">
                  <wp:extent cx="2983426" cy="2497023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Philippe:Documents:EPFL:PhD:MPEG:Quality evaluation:Process Results:2view:resolving power:delta_vq_sldr_vi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3426" cy="249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14:paraId="23D68B6E" w14:textId="5CB84467" w:rsidR="00441DA2" w:rsidRPr="00634804" w:rsidRDefault="0013037E" w:rsidP="00441DA2">
            <w:pPr>
              <w:spacing w:before="0"/>
              <w:jc w:val="center"/>
            </w:pPr>
            <w:r w:rsidRPr="00634804">
              <w:rPr>
                <w:noProof/>
              </w:rPr>
              <w:drawing>
                <wp:inline distT="0" distB="0" distL="0" distR="0" wp14:anchorId="4FC5CCC5" wp14:editId="01C8827E">
                  <wp:extent cx="2979885" cy="2497023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Philippe:Documents:EPFL:PhD:MPEG:Quality evaluation:Process Results:2view:resolving power:delta_vq_sldr_vq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885" cy="249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1CD9DD" w14:textId="559F1949" w:rsidR="00B23FE3" w:rsidRPr="00634804" w:rsidRDefault="00B23FE3" w:rsidP="00B23FE3">
      <w:pPr>
        <w:jc w:val="center"/>
      </w:pPr>
      <w:r w:rsidRPr="00634804">
        <w:rPr>
          <w:i/>
          <w:sz w:val="20"/>
        </w:rPr>
        <w:t xml:space="preserve">Figure </w:t>
      </w:r>
      <w:r w:rsidRPr="00634804">
        <w:rPr>
          <w:i/>
          <w:sz w:val="20"/>
        </w:rPr>
        <w:fldChar w:fldCharType="begin"/>
      </w:r>
      <w:r w:rsidRPr="00634804">
        <w:rPr>
          <w:i/>
          <w:sz w:val="20"/>
        </w:rPr>
        <w:instrText xml:space="preserve"> SEQ Figure \* ARABIC </w:instrText>
      </w:r>
      <w:r w:rsidRPr="00634804">
        <w:rPr>
          <w:i/>
          <w:sz w:val="20"/>
        </w:rPr>
        <w:fldChar w:fldCharType="separate"/>
      </w:r>
      <w:r w:rsidR="00F24F8B" w:rsidRPr="00634804">
        <w:rPr>
          <w:i/>
          <w:sz w:val="20"/>
        </w:rPr>
        <w:t>5</w:t>
      </w:r>
      <w:r w:rsidRPr="00634804">
        <w:rPr>
          <w:i/>
          <w:sz w:val="20"/>
        </w:rPr>
        <w:fldChar w:fldCharType="end"/>
      </w:r>
      <w:r w:rsidRPr="00634804">
        <w:rPr>
          <w:i/>
          <w:sz w:val="20"/>
        </w:rPr>
        <w:t xml:space="preserve"> – Frequencies of classification error: decoded and synthesized views</w:t>
      </w:r>
    </w:p>
    <w:p w14:paraId="0A72A5F2" w14:textId="1C4B36E3" w:rsidR="00E04DB6" w:rsidRDefault="00E04DB6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p w14:paraId="0C857171" w14:textId="7DEB5DC6" w:rsidR="00441DA2" w:rsidRPr="00634804" w:rsidRDefault="00103F4C" w:rsidP="00B23FE3">
      <w:r w:rsidRPr="00634804">
        <w:lastRenderedPageBreak/>
        <w:t xml:space="preserve">When the objective quality assessment is based on the measured quality of the </w:t>
      </w:r>
      <w:r>
        <w:t>synthesized</w:t>
      </w:r>
      <w:r w:rsidRPr="00634804">
        <w:t xml:space="preserve"> view</w:t>
      </w:r>
      <w:r>
        <w:t xml:space="preserve">, PSNR shows a significantly lower Correct Decision rate and significantly higher False Ranking rate than the other metrics. Even for a 1dB difference in PSNR values, the False Ranking rate is around 7.8%. With this </w:t>
      </w:r>
      <w:r w:rsidRPr="00634804">
        <w:t>video quality model</w:t>
      </w:r>
      <w:r>
        <w:t xml:space="preserve">, MS-SSIM also shows better performance over the other metrics in terms of decaying False Ranking rate. However, the </w:t>
      </w:r>
      <w:r w:rsidR="00F17EF1">
        <w:t>peak of</w:t>
      </w:r>
      <w:r>
        <w:t xml:space="preserve"> Correct Decision rate is </w:t>
      </w:r>
      <w:r w:rsidR="00F17EF1">
        <w:t xml:space="preserve">higher for </w:t>
      </w:r>
      <w:r>
        <w:t>VQM (</w:t>
      </w:r>
      <w:r w:rsidR="00F17EF1" w:rsidRPr="00F17EF1">
        <w:t>0.7506</w:t>
      </w:r>
      <w:r>
        <w:t>)</w:t>
      </w:r>
      <w:r w:rsidR="00F17EF1">
        <w:t xml:space="preserve"> than for MS-SSIM (</w:t>
      </w:r>
      <w:r w:rsidR="00F17EF1" w:rsidRPr="00F17EF1">
        <w:t>0.7262</w:t>
      </w:r>
      <w:r w:rsidR="00F17EF1">
        <w:t>). Nevertheless, VQM has a significantly slower decaying False Ranking rate.</w:t>
      </w:r>
    </w:p>
    <w:p w14:paraId="2F5DA819" w14:textId="2562E161" w:rsidR="00E04DB6" w:rsidRDefault="00F17EF1" w:rsidP="00E04DB6">
      <w:r>
        <w:t xml:space="preserve">If both views are taken into account, the observations are similar </w:t>
      </w:r>
      <w:r w:rsidR="003E0363">
        <w:t xml:space="preserve">to that of the </w:t>
      </w:r>
      <w:r w:rsidR="003E0363" w:rsidRPr="00634804">
        <w:t xml:space="preserve">video quality model </w:t>
      </w:r>
      <w:r w:rsidR="003E0363">
        <w:t>based on the quality of the decoded view.</w:t>
      </w:r>
    </w:p>
    <w:p w14:paraId="7383E130" w14:textId="69F6705E" w:rsidR="003E0363" w:rsidRDefault="00806BFF" w:rsidP="00E04DB6">
      <w:r>
        <w:t>In many applications, the resolving power is not considered and even a small PSNR increase, such as 0.1dB, is considered as an improvement in perceived quality. Therefore, the Correct Decision and False Ranking values for a</w:t>
      </w:r>
      <w:r w:rsidR="00C14FD8">
        <w:t xml:space="preserve"> </w:t>
      </w:r>
      <m:oMath>
        <m:r>
          <m:rPr>
            <m:sty m:val="p"/>
          </m:rPr>
          <w:rPr>
            <w:rFonts w:ascii="Cambria Math" w:hAnsi="Cambria Math"/>
          </w:rPr>
          <m:t>ΔO</m:t>
        </m:r>
        <m:r>
          <w:rPr>
            <w:rFonts w:ascii="Cambria Math" w:hAnsi="Cambria Math"/>
          </w:rPr>
          <m:t>M</m:t>
        </m:r>
      </m:oMath>
      <w:r>
        <w:t xml:space="preserve"> of zero are reported in Table 2.</w:t>
      </w:r>
    </w:p>
    <w:p w14:paraId="2D558449" w14:textId="5BADB91D" w:rsidR="00385F04" w:rsidRPr="00634804" w:rsidRDefault="00385F04" w:rsidP="00E04DB6">
      <w:r>
        <w:t xml:space="preserve">SSIM, MS-SSIM, </w:t>
      </w:r>
      <w:proofErr w:type="spellStart"/>
      <w:r>
        <w:t>VIFp</w:t>
      </w:r>
      <w:proofErr w:type="spellEnd"/>
      <w:r>
        <w:t xml:space="preserve">, and VQM show similar performance, with </w:t>
      </w:r>
      <w:r w:rsidR="00FA1260">
        <w:t>non-significant</w:t>
      </w:r>
      <w:r>
        <w:t xml:space="preserve"> </w:t>
      </w:r>
      <w:r w:rsidR="00FA1260">
        <w:t xml:space="preserve">variations. However, PSNR shows a significantly lower </w:t>
      </w:r>
      <w:r w:rsidR="00C14FD8">
        <w:t>reliability</w:t>
      </w:r>
      <w:r w:rsidR="00FA1260">
        <w:t xml:space="preserve"> when </w:t>
      </w:r>
      <w:r w:rsidR="00FA1260">
        <w:rPr>
          <w:rFonts w:ascii="Times" w:hAnsi="Times" w:cs="Times"/>
          <w:szCs w:val="22"/>
        </w:rPr>
        <w:t xml:space="preserve">considering the </w:t>
      </w:r>
      <w:r w:rsidR="00FA1260" w:rsidRPr="00634804">
        <w:t xml:space="preserve">video quality model </w:t>
      </w:r>
      <w:r w:rsidR="00FA1260">
        <w:t xml:space="preserve">based on the </w:t>
      </w:r>
      <w:r w:rsidR="00FA1260">
        <w:rPr>
          <w:rFonts w:ascii="Times" w:hAnsi="Times" w:cs="Times"/>
          <w:szCs w:val="22"/>
        </w:rPr>
        <w:t>quality of the synthesized view.</w:t>
      </w:r>
    </w:p>
    <w:p w14:paraId="37069156" w14:textId="6AFEC93D" w:rsidR="00E04DB6" w:rsidRPr="00634804" w:rsidRDefault="00E04DB6" w:rsidP="00E04DB6">
      <w:pPr>
        <w:pStyle w:val="Caption"/>
      </w:pPr>
      <w:r w:rsidRPr="00634804">
        <w:t>Table </w:t>
      </w:r>
      <w:fldSimple w:instr=" SEQ Table \* ARABIC ">
        <w:r>
          <w:rPr>
            <w:noProof/>
          </w:rPr>
          <w:t>2</w:t>
        </w:r>
      </w:fldSimple>
      <w:r w:rsidRPr="00634804">
        <w:t xml:space="preserve">: </w:t>
      </w:r>
      <w:r w:rsidR="00977225">
        <w:t xml:space="preserve">Classification errors for </w:t>
      </w:r>
      <m:oMath>
        <m:r>
          <m:rPr>
            <m:sty m:val="b"/>
          </m:rPr>
          <w:rPr>
            <w:rFonts w:ascii="Cambria Math" w:hAnsi="Cambria Math"/>
          </w:rPr>
          <m:t>ΔO</m:t>
        </m:r>
        <m:r>
          <m:rPr>
            <m:sty m:val="bi"/>
          </m:rPr>
          <w:rPr>
            <w:rFonts w:ascii="Cambria Math" w:hAnsi="Cambria Math"/>
          </w:rPr>
          <m:t>M=0</m:t>
        </m:r>
      </m:oMath>
    </w:p>
    <w:tbl>
      <w:tblPr>
        <w:tblStyle w:val="TableGrid"/>
        <w:tblW w:w="8043" w:type="dxa"/>
        <w:jc w:val="center"/>
        <w:tblInd w:w="-183" w:type="dxa"/>
        <w:tblLayout w:type="fixed"/>
        <w:tblLook w:val="04A0" w:firstRow="1" w:lastRow="0" w:firstColumn="1" w:lastColumn="0" w:noHBand="0" w:noVBand="1"/>
      </w:tblPr>
      <w:tblGrid>
        <w:gridCol w:w="1227"/>
        <w:gridCol w:w="1154"/>
        <w:gridCol w:w="1118"/>
        <w:gridCol w:w="1154"/>
        <w:gridCol w:w="1118"/>
        <w:gridCol w:w="1154"/>
        <w:gridCol w:w="1118"/>
      </w:tblGrid>
      <w:tr w:rsidR="00E04DB6" w:rsidRPr="00634804" w14:paraId="25FDF9F4" w14:textId="77777777" w:rsidTr="00E04DB6">
        <w:trPr>
          <w:trHeight w:val="312"/>
          <w:jc w:val="center"/>
        </w:trPr>
        <w:tc>
          <w:tcPr>
            <w:tcW w:w="1227" w:type="dxa"/>
            <w:tcBorders>
              <w:top w:val="nil"/>
              <w:left w:val="nil"/>
              <w:bottom w:val="nil"/>
            </w:tcBorders>
            <w:noWrap/>
          </w:tcPr>
          <w:p w14:paraId="12026A4F" w14:textId="77777777" w:rsidR="00E04DB6" w:rsidRPr="00634804" w:rsidRDefault="00E04DB6" w:rsidP="00E04DB6">
            <w:pPr>
              <w:spacing w:before="0"/>
              <w:rPr>
                <w:sz w:val="20"/>
              </w:rPr>
            </w:pPr>
          </w:p>
        </w:tc>
        <w:tc>
          <w:tcPr>
            <w:tcW w:w="2272" w:type="dxa"/>
            <w:gridSpan w:val="2"/>
            <w:noWrap/>
            <w:vAlign w:val="center"/>
          </w:tcPr>
          <w:p w14:paraId="01B518EB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rPr>
                <w:sz w:val="20"/>
              </w:rPr>
              <w:t>Decoded</w:t>
            </w:r>
          </w:p>
        </w:tc>
        <w:tc>
          <w:tcPr>
            <w:tcW w:w="2272" w:type="dxa"/>
            <w:gridSpan w:val="2"/>
            <w:noWrap/>
            <w:vAlign w:val="center"/>
          </w:tcPr>
          <w:p w14:paraId="1B899609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rPr>
                <w:sz w:val="20"/>
              </w:rPr>
              <w:t>Synthesized</w:t>
            </w:r>
          </w:p>
        </w:tc>
        <w:tc>
          <w:tcPr>
            <w:tcW w:w="2272" w:type="dxa"/>
            <w:gridSpan w:val="2"/>
            <w:noWrap/>
            <w:vAlign w:val="center"/>
          </w:tcPr>
          <w:p w14:paraId="084DA6A0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rPr>
                <w:sz w:val="20"/>
              </w:rPr>
              <w:t>Decoded and synthesized</w:t>
            </w:r>
          </w:p>
        </w:tc>
      </w:tr>
      <w:tr w:rsidR="00E04DB6" w:rsidRPr="00634804" w14:paraId="0EBA0CFB" w14:textId="77777777" w:rsidTr="00E04DB6">
        <w:trPr>
          <w:trHeight w:val="202"/>
          <w:jc w:val="center"/>
        </w:trPr>
        <w:tc>
          <w:tcPr>
            <w:tcW w:w="1227" w:type="dxa"/>
            <w:tcBorders>
              <w:top w:val="nil"/>
              <w:left w:val="nil"/>
            </w:tcBorders>
            <w:noWrap/>
          </w:tcPr>
          <w:p w14:paraId="1B6AD777" w14:textId="77777777" w:rsidR="00E04DB6" w:rsidRPr="00634804" w:rsidRDefault="00E04DB6" w:rsidP="00E04DB6">
            <w:pPr>
              <w:spacing w:before="0"/>
              <w:rPr>
                <w:sz w:val="20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noWrap/>
          </w:tcPr>
          <w:p w14:paraId="6CD8B131" w14:textId="77777777" w:rsidR="00E04DB6" w:rsidRPr="00634804" w:rsidRDefault="00E04DB6" w:rsidP="00E04DB6">
            <w:pPr>
              <w:spacing w:before="0"/>
              <w:jc w:val="center"/>
            </w:pPr>
            <w:r w:rsidRPr="00634804">
              <w:t>Correct</w:t>
            </w:r>
          </w:p>
          <w:p w14:paraId="50129125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Decision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noWrap/>
          </w:tcPr>
          <w:p w14:paraId="73572B74" w14:textId="77777777" w:rsidR="00E04DB6" w:rsidRPr="00634804" w:rsidRDefault="00E04DB6" w:rsidP="00E04DB6">
            <w:pPr>
              <w:spacing w:before="0"/>
              <w:jc w:val="center"/>
            </w:pPr>
            <w:r w:rsidRPr="00634804">
              <w:t>False</w:t>
            </w:r>
          </w:p>
          <w:p w14:paraId="722AFA5F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Ranking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noWrap/>
          </w:tcPr>
          <w:p w14:paraId="75D40AD1" w14:textId="77777777" w:rsidR="00E04DB6" w:rsidRPr="00634804" w:rsidRDefault="00E04DB6" w:rsidP="00E04DB6">
            <w:pPr>
              <w:spacing w:before="0"/>
              <w:jc w:val="center"/>
            </w:pPr>
            <w:r w:rsidRPr="00634804">
              <w:t>Correct</w:t>
            </w:r>
          </w:p>
          <w:p w14:paraId="62AFDAF3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Decision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noWrap/>
          </w:tcPr>
          <w:p w14:paraId="0F6F9331" w14:textId="77777777" w:rsidR="00E04DB6" w:rsidRPr="00634804" w:rsidRDefault="00E04DB6" w:rsidP="00E04DB6">
            <w:pPr>
              <w:spacing w:before="0"/>
              <w:jc w:val="center"/>
            </w:pPr>
            <w:r w:rsidRPr="00634804">
              <w:t>False</w:t>
            </w:r>
          </w:p>
          <w:p w14:paraId="466E7C64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Ranking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noWrap/>
          </w:tcPr>
          <w:p w14:paraId="17A6EE02" w14:textId="77777777" w:rsidR="00E04DB6" w:rsidRPr="00634804" w:rsidRDefault="00E04DB6" w:rsidP="00E04DB6">
            <w:pPr>
              <w:spacing w:before="0"/>
              <w:jc w:val="center"/>
            </w:pPr>
            <w:r w:rsidRPr="00634804">
              <w:t>Correct</w:t>
            </w:r>
          </w:p>
          <w:p w14:paraId="7A0588DB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Decision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noWrap/>
          </w:tcPr>
          <w:p w14:paraId="41603A5C" w14:textId="77777777" w:rsidR="00E04DB6" w:rsidRPr="00634804" w:rsidRDefault="00E04DB6" w:rsidP="00E04DB6">
            <w:pPr>
              <w:spacing w:before="0"/>
              <w:jc w:val="center"/>
            </w:pPr>
            <w:r w:rsidRPr="00634804">
              <w:t>False</w:t>
            </w:r>
          </w:p>
          <w:p w14:paraId="23ABBE8E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Ranking</w:t>
            </w:r>
          </w:p>
        </w:tc>
      </w:tr>
      <w:tr w:rsidR="00E04DB6" w:rsidRPr="00634804" w14:paraId="122DA96B" w14:textId="77777777" w:rsidTr="00E04DB6">
        <w:trPr>
          <w:trHeight w:val="59"/>
          <w:jc w:val="center"/>
        </w:trPr>
        <w:tc>
          <w:tcPr>
            <w:tcW w:w="1227" w:type="dxa"/>
            <w:noWrap/>
            <w:hideMark/>
          </w:tcPr>
          <w:p w14:paraId="12909FED" w14:textId="77777777" w:rsidR="00E04DB6" w:rsidRPr="00634804" w:rsidRDefault="00E04DB6" w:rsidP="00E04DB6">
            <w:pPr>
              <w:spacing w:before="0"/>
              <w:rPr>
                <w:sz w:val="20"/>
              </w:rPr>
            </w:pPr>
            <w:r w:rsidRPr="00634804">
              <w:t>PSNR</w:t>
            </w:r>
          </w:p>
        </w:tc>
        <w:tc>
          <w:tcPr>
            <w:tcW w:w="1154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53F70D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0.7300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399128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0.0357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2606E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0.6331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BA3EF1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0.1326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0D7B5D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0.7094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14:paraId="2C429A7E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0.0564</w:t>
            </w:r>
          </w:p>
        </w:tc>
      </w:tr>
      <w:tr w:rsidR="00E04DB6" w:rsidRPr="00634804" w14:paraId="39EA6A77" w14:textId="77777777" w:rsidTr="00E04DB6">
        <w:trPr>
          <w:trHeight w:val="59"/>
          <w:jc w:val="center"/>
        </w:trPr>
        <w:tc>
          <w:tcPr>
            <w:tcW w:w="1227" w:type="dxa"/>
            <w:noWrap/>
            <w:hideMark/>
          </w:tcPr>
          <w:p w14:paraId="7CC938F2" w14:textId="77777777" w:rsidR="00E04DB6" w:rsidRPr="00634804" w:rsidRDefault="00E04DB6" w:rsidP="00E04D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  <w:r w:rsidRPr="00634804">
              <w:t>SSIM</w:t>
            </w:r>
          </w:p>
        </w:tc>
        <w:tc>
          <w:tcPr>
            <w:tcW w:w="1154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9A9C44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0.7267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69BC64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0.0391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6CFA15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0.6954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C2C27C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0.0703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ABD421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0.7204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14:paraId="7EF5E1F5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0.0453</w:t>
            </w:r>
          </w:p>
        </w:tc>
      </w:tr>
      <w:tr w:rsidR="00E04DB6" w:rsidRPr="00634804" w14:paraId="5820F6DA" w14:textId="77777777" w:rsidTr="00E04DB6">
        <w:trPr>
          <w:trHeight w:val="59"/>
          <w:jc w:val="center"/>
        </w:trPr>
        <w:tc>
          <w:tcPr>
            <w:tcW w:w="1227" w:type="dxa"/>
            <w:noWrap/>
            <w:hideMark/>
          </w:tcPr>
          <w:p w14:paraId="710337CF" w14:textId="77777777" w:rsidR="00E04DB6" w:rsidRPr="00634804" w:rsidRDefault="00E04DB6" w:rsidP="00E04D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</w:rPr>
            </w:pPr>
            <w:r w:rsidRPr="00634804">
              <w:t>MS-SSIM</w:t>
            </w:r>
          </w:p>
        </w:tc>
        <w:tc>
          <w:tcPr>
            <w:tcW w:w="1154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810593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0.7322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F982B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0.0335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3D7333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0.6990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79539A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0.0667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92053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0.7251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14:paraId="68A9E0C6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0.0406</w:t>
            </w:r>
          </w:p>
        </w:tc>
      </w:tr>
      <w:tr w:rsidR="00E04DB6" w:rsidRPr="00634804" w14:paraId="0BD3273A" w14:textId="77777777" w:rsidTr="00E04DB6">
        <w:trPr>
          <w:trHeight w:val="59"/>
          <w:jc w:val="center"/>
        </w:trPr>
        <w:tc>
          <w:tcPr>
            <w:tcW w:w="1227" w:type="dxa"/>
            <w:noWrap/>
            <w:hideMark/>
          </w:tcPr>
          <w:p w14:paraId="03AAEAC2" w14:textId="77777777" w:rsidR="00E04DB6" w:rsidRPr="00634804" w:rsidRDefault="00E04DB6" w:rsidP="00E04DB6">
            <w:pPr>
              <w:spacing w:before="0"/>
              <w:rPr>
                <w:sz w:val="20"/>
              </w:rPr>
            </w:pPr>
            <w:proofErr w:type="spellStart"/>
            <w:r w:rsidRPr="00634804">
              <w:t>VIFp</w:t>
            </w:r>
            <w:proofErr w:type="spellEnd"/>
          </w:p>
        </w:tc>
        <w:tc>
          <w:tcPr>
            <w:tcW w:w="1154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FCB49F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0.7311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A0EAE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0.0346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1F7A9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0.7061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86EF0D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0.0596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8DABB2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0.7270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14:paraId="0500D40A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0.0387</w:t>
            </w:r>
          </w:p>
        </w:tc>
      </w:tr>
      <w:tr w:rsidR="00E04DB6" w:rsidRPr="00634804" w14:paraId="742DBFE4" w14:textId="77777777" w:rsidTr="00E04DB6">
        <w:trPr>
          <w:trHeight w:val="59"/>
          <w:jc w:val="center"/>
        </w:trPr>
        <w:tc>
          <w:tcPr>
            <w:tcW w:w="1227" w:type="dxa"/>
            <w:noWrap/>
            <w:hideMark/>
          </w:tcPr>
          <w:p w14:paraId="3E949A43" w14:textId="77777777" w:rsidR="00E04DB6" w:rsidRPr="00634804" w:rsidRDefault="00E04DB6" w:rsidP="00E04DB6">
            <w:pPr>
              <w:spacing w:before="0"/>
              <w:rPr>
                <w:sz w:val="20"/>
              </w:rPr>
            </w:pPr>
            <w:r w:rsidRPr="00634804">
              <w:t>VQM</w:t>
            </w:r>
          </w:p>
        </w:tc>
        <w:tc>
          <w:tcPr>
            <w:tcW w:w="1154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EECD09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0.7260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3CC42A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0.0397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3E3654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0.7096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B721C4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0.0561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97093B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0.7231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14:paraId="614A2301" w14:textId="77777777" w:rsidR="00E04DB6" w:rsidRPr="00634804" w:rsidRDefault="00E04DB6" w:rsidP="00E04DB6">
            <w:pPr>
              <w:spacing w:before="0"/>
              <w:jc w:val="center"/>
              <w:rPr>
                <w:sz w:val="20"/>
              </w:rPr>
            </w:pPr>
            <w:r w:rsidRPr="00634804">
              <w:t>0.0427</w:t>
            </w:r>
          </w:p>
        </w:tc>
      </w:tr>
    </w:tbl>
    <w:p w14:paraId="1EA66D83" w14:textId="77777777" w:rsidR="00CA2510" w:rsidRPr="00634804" w:rsidRDefault="00CA2510" w:rsidP="00F77B83">
      <w:pPr>
        <w:pStyle w:val="Heading1"/>
      </w:pPr>
      <w:r w:rsidRPr="00634804">
        <w:t>Conclusion</w:t>
      </w:r>
    </w:p>
    <w:p w14:paraId="71C40BBC" w14:textId="57163B73" w:rsidR="00CA2510" w:rsidRPr="00634804" w:rsidRDefault="00866275" w:rsidP="00CA2510">
      <w:r w:rsidRPr="00634804">
        <w:t xml:space="preserve">In this contribution, the resolving power and classification errors of </w:t>
      </w:r>
      <w:r>
        <w:t xml:space="preserve">PSNR, SSIM, MS-SSIM, </w:t>
      </w:r>
      <w:proofErr w:type="spellStart"/>
      <w:r>
        <w:t>VIFp</w:t>
      </w:r>
      <w:proofErr w:type="spellEnd"/>
      <w:r>
        <w:t xml:space="preserve">, and VQM were investigated following the </w:t>
      </w:r>
      <w:r w:rsidRPr="00634804">
        <w:t xml:space="preserve">methodology described in </w:t>
      </w:r>
      <w:hyperlink w:anchor="J149" w:history="1">
        <w:r>
          <w:rPr>
            <w:rStyle w:val="Hyperlink"/>
            <w:color w:val="auto"/>
            <w:u w:val="none"/>
          </w:rPr>
          <w:t>ITU-T Recommendation J.149</w:t>
        </w:r>
      </w:hyperlink>
      <w:r>
        <w:rPr>
          <w:rStyle w:val="Hyperlink"/>
          <w:color w:val="auto"/>
          <w:u w:val="none"/>
        </w:rPr>
        <w:t>.</w:t>
      </w:r>
      <w:r>
        <w:t xml:space="preserve"> I</w:t>
      </w:r>
      <w:r w:rsidRPr="00634804">
        <w:t xml:space="preserve">t is reported that </w:t>
      </w:r>
      <w:r w:rsidR="00711FC3">
        <w:t>MS-SSIM has a higher resolving power than the other considered metrics</w:t>
      </w:r>
      <w:r>
        <w:t xml:space="preserve">. Therefore, it is suggested to consider MS-SSIM as an alternative to PSNR </w:t>
      </w:r>
      <w:r w:rsidRPr="00866275">
        <w:t>in the Core Experiments</w:t>
      </w:r>
      <w:r>
        <w:t>.</w:t>
      </w:r>
    </w:p>
    <w:p w14:paraId="090320A3" w14:textId="77777777" w:rsidR="00CA2510" w:rsidRPr="00634804" w:rsidRDefault="00CA2510" w:rsidP="00F77B83">
      <w:pPr>
        <w:pStyle w:val="Heading1"/>
      </w:pPr>
      <w:r w:rsidRPr="00634804">
        <w:t>Acknowledgement</w:t>
      </w:r>
    </w:p>
    <w:p w14:paraId="52E9248A" w14:textId="77777777" w:rsidR="00AD0CFB" w:rsidRPr="00634804" w:rsidRDefault="00AD0CFB" w:rsidP="00AD0CFB">
      <w:pPr>
        <w:rPr>
          <w:lang w:eastAsia="ja-JP"/>
        </w:rPr>
      </w:pPr>
      <w:r w:rsidRPr="00634804">
        <w:rPr>
          <w:lang w:eastAsia="ja-JP"/>
        </w:rPr>
        <w:t xml:space="preserve">We would like to thank </w:t>
      </w:r>
      <w:proofErr w:type="spellStart"/>
      <w:r w:rsidRPr="00634804">
        <w:rPr>
          <w:lang w:eastAsia="ja-JP"/>
        </w:rPr>
        <w:t>Panos</w:t>
      </w:r>
      <w:proofErr w:type="spellEnd"/>
      <w:r w:rsidRPr="00634804">
        <w:rPr>
          <w:lang w:eastAsia="ja-JP"/>
        </w:rPr>
        <w:t xml:space="preserve"> </w:t>
      </w:r>
      <w:proofErr w:type="spellStart"/>
      <w:r w:rsidRPr="00634804">
        <w:rPr>
          <w:lang w:eastAsia="ja-JP"/>
        </w:rPr>
        <w:t>Nasiopoulos</w:t>
      </w:r>
      <w:proofErr w:type="spellEnd"/>
      <w:r w:rsidRPr="00634804">
        <w:rPr>
          <w:lang w:eastAsia="ja-JP"/>
        </w:rPr>
        <w:t xml:space="preserve"> and </w:t>
      </w:r>
      <w:proofErr w:type="spellStart"/>
      <w:r w:rsidRPr="00634804">
        <w:rPr>
          <w:lang w:eastAsia="ja-JP"/>
        </w:rPr>
        <w:t>Mahsa</w:t>
      </w:r>
      <w:proofErr w:type="spellEnd"/>
      <w:r w:rsidRPr="00634804">
        <w:rPr>
          <w:lang w:eastAsia="ja-JP"/>
        </w:rPr>
        <w:t xml:space="preserve"> T. </w:t>
      </w:r>
      <w:proofErr w:type="spellStart"/>
      <w:r w:rsidRPr="00634804">
        <w:rPr>
          <w:lang w:eastAsia="ja-JP"/>
        </w:rPr>
        <w:t>Pourazad</w:t>
      </w:r>
      <w:proofErr w:type="spellEnd"/>
      <w:r w:rsidRPr="00634804">
        <w:rPr>
          <w:lang w:eastAsia="ja-JP"/>
        </w:rPr>
        <w:t xml:space="preserve"> from University of British Columbia (UBC), as well as </w:t>
      </w:r>
      <w:proofErr w:type="spellStart"/>
      <w:r w:rsidRPr="00634804">
        <w:rPr>
          <w:lang w:eastAsia="ja-JP"/>
        </w:rPr>
        <w:t>Kjell</w:t>
      </w:r>
      <w:proofErr w:type="spellEnd"/>
      <w:r w:rsidRPr="00634804">
        <w:rPr>
          <w:lang w:eastAsia="ja-JP"/>
        </w:rPr>
        <w:t xml:space="preserve"> </w:t>
      </w:r>
      <w:proofErr w:type="spellStart"/>
      <w:r w:rsidRPr="00634804">
        <w:rPr>
          <w:lang w:eastAsia="ja-JP"/>
        </w:rPr>
        <w:t>Brunnström</w:t>
      </w:r>
      <w:proofErr w:type="spellEnd"/>
      <w:r w:rsidRPr="00634804">
        <w:rPr>
          <w:lang w:eastAsia="ja-JP"/>
        </w:rPr>
        <w:t xml:space="preserve">, Kun Wang, and </w:t>
      </w:r>
      <w:proofErr w:type="spellStart"/>
      <w:r w:rsidRPr="00634804">
        <w:rPr>
          <w:lang w:eastAsia="ja-JP"/>
        </w:rPr>
        <w:t>Börje</w:t>
      </w:r>
      <w:proofErr w:type="spellEnd"/>
      <w:r w:rsidRPr="00634804">
        <w:rPr>
          <w:lang w:eastAsia="ja-JP"/>
        </w:rPr>
        <w:t xml:space="preserve"> </w:t>
      </w:r>
      <w:proofErr w:type="spellStart"/>
      <w:r w:rsidRPr="00634804">
        <w:rPr>
          <w:lang w:eastAsia="ja-JP"/>
        </w:rPr>
        <w:t>Andrén</w:t>
      </w:r>
      <w:proofErr w:type="spellEnd"/>
      <w:r w:rsidRPr="00634804">
        <w:rPr>
          <w:lang w:eastAsia="ja-JP"/>
        </w:rPr>
        <w:t xml:space="preserve"> from </w:t>
      </w:r>
      <w:proofErr w:type="spellStart"/>
      <w:r w:rsidRPr="00634804">
        <w:rPr>
          <w:lang w:eastAsia="ja-JP"/>
        </w:rPr>
        <w:t>Acreo</w:t>
      </w:r>
      <w:proofErr w:type="spellEnd"/>
      <w:r w:rsidRPr="00634804">
        <w:rPr>
          <w:lang w:eastAsia="ja-JP"/>
        </w:rPr>
        <w:t xml:space="preserve"> AB for providing their subjective results for the 2-view case scenario.</w:t>
      </w:r>
    </w:p>
    <w:p w14:paraId="5807D213" w14:textId="7F5574BF" w:rsidR="00CA2510" w:rsidRPr="00634804" w:rsidRDefault="00AD0CFB" w:rsidP="00AD0CFB">
      <w:r w:rsidRPr="00634804">
        <w:t>This work was partially supported by the COST IC1003 European Network on Quality of Experience in Multimedia Systems and Services QUALINET and Swiss SER project Quality of Experience in 3DTV.</w:t>
      </w:r>
    </w:p>
    <w:p w14:paraId="3F12F9F8" w14:textId="77777777" w:rsidR="00CA2510" w:rsidRPr="00634804" w:rsidRDefault="00CA2510" w:rsidP="00F77B83">
      <w:pPr>
        <w:pStyle w:val="Heading1"/>
      </w:pPr>
      <w:r w:rsidRPr="00634804">
        <w:t>References</w:t>
      </w:r>
    </w:p>
    <w:p w14:paraId="475E98BA" w14:textId="0E39A416" w:rsidR="00C303F3" w:rsidRDefault="00C303F3" w:rsidP="001357BA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5" w:name="J144"/>
      <w:bookmarkStart w:id="6" w:name="M24807"/>
      <w:bookmarkStart w:id="7" w:name="Hanhart2012"/>
      <w:bookmarkStart w:id="8" w:name="_Ref202876835"/>
      <w:bookmarkStart w:id="9" w:name="_Ref202876150"/>
      <w:bookmarkStart w:id="10" w:name="_Ref202876723"/>
      <w:bookmarkStart w:id="11" w:name="_Ref54572513"/>
      <w:bookmarkEnd w:id="5"/>
      <w:bookmarkEnd w:id="6"/>
      <w:bookmarkEnd w:id="7"/>
      <w:r w:rsidRPr="00C303F3">
        <w:rPr>
          <w:sz w:val="22"/>
          <w:lang w:eastAsia="zh-TW"/>
        </w:rPr>
        <w:t xml:space="preserve">P. Hanhart, F. De Simone and T. </w:t>
      </w:r>
      <w:proofErr w:type="spellStart"/>
      <w:r w:rsidRPr="00C303F3">
        <w:rPr>
          <w:sz w:val="22"/>
          <w:lang w:eastAsia="zh-TW"/>
        </w:rPr>
        <w:t>Ebrahimi</w:t>
      </w:r>
      <w:proofErr w:type="spellEnd"/>
      <w:r w:rsidRPr="00C303F3">
        <w:rPr>
          <w:sz w:val="22"/>
          <w:lang w:eastAsia="zh-TW"/>
        </w:rPr>
        <w:t xml:space="preserve">. </w:t>
      </w:r>
      <w:r>
        <w:rPr>
          <w:sz w:val="22"/>
          <w:lang w:eastAsia="zh-TW"/>
        </w:rPr>
        <w:t>“</w:t>
      </w:r>
      <w:r w:rsidRPr="00C303F3">
        <w:rPr>
          <w:sz w:val="22"/>
          <w:lang w:eastAsia="zh-TW"/>
        </w:rPr>
        <w:t>Quality Assessment of Asymmetric Stereo Pair Formed From Decoded and Synthesized Views</w:t>
      </w:r>
      <w:r>
        <w:rPr>
          <w:sz w:val="22"/>
          <w:lang w:eastAsia="zh-TW"/>
        </w:rPr>
        <w:t>”</w:t>
      </w:r>
      <w:r w:rsidRPr="00C303F3">
        <w:rPr>
          <w:sz w:val="22"/>
          <w:lang w:eastAsia="zh-TW"/>
        </w:rPr>
        <w:t xml:space="preserve">. </w:t>
      </w:r>
      <w:proofErr w:type="gramStart"/>
      <w:r w:rsidRPr="00C303F3">
        <w:rPr>
          <w:sz w:val="22"/>
          <w:lang w:eastAsia="zh-TW"/>
        </w:rPr>
        <w:t>4th International Workshop on Quality of Multimedia Experience (</w:t>
      </w:r>
      <w:proofErr w:type="spellStart"/>
      <w:r w:rsidRPr="00C303F3">
        <w:rPr>
          <w:sz w:val="22"/>
          <w:lang w:eastAsia="zh-TW"/>
        </w:rPr>
        <w:t>QoMEX</w:t>
      </w:r>
      <w:proofErr w:type="spellEnd"/>
      <w:r w:rsidRPr="00C303F3">
        <w:rPr>
          <w:sz w:val="22"/>
          <w:lang w:eastAsia="zh-TW"/>
        </w:rPr>
        <w:t xml:space="preserve">), </w:t>
      </w:r>
      <w:proofErr w:type="spellStart"/>
      <w:r w:rsidRPr="00C303F3">
        <w:rPr>
          <w:sz w:val="22"/>
          <w:lang w:eastAsia="zh-TW"/>
        </w:rPr>
        <w:t>Yarra</w:t>
      </w:r>
      <w:proofErr w:type="spellEnd"/>
      <w:r w:rsidRPr="00C303F3">
        <w:rPr>
          <w:sz w:val="22"/>
          <w:lang w:eastAsia="zh-TW"/>
        </w:rPr>
        <w:t xml:space="preserve"> Valley, Australia, 2012.</w:t>
      </w:r>
      <w:proofErr w:type="gramEnd"/>
    </w:p>
    <w:p w14:paraId="6C18B4AD" w14:textId="131601E6" w:rsidR="001357BA" w:rsidRPr="00634804" w:rsidRDefault="001357BA" w:rsidP="001357BA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r w:rsidRPr="00634804">
        <w:rPr>
          <w:sz w:val="22"/>
          <w:lang w:eastAsia="zh-TW"/>
        </w:rPr>
        <w:t>ISO/IEC JTC1/SC29/WG11, "3DV: Alternative metrics to PSNR," Doc. M24807, Geneva, Switzerland, May 2012.</w:t>
      </w:r>
    </w:p>
    <w:p w14:paraId="0AD832B5" w14:textId="77777777" w:rsidR="001357BA" w:rsidRPr="00634804" w:rsidRDefault="001357BA" w:rsidP="001357BA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12" w:name="N12036"/>
      <w:bookmarkStart w:id="13" w:name="_Ref189563069"/>
      <w:bookmarkEnd w:id="12"/>
      <w:r w:rsidRPr="00634804">
        <w:rPr>
          <w:sz w:val="22"/>
          <w:lang w:eastAsia="zh-TW"/>
        </w:rPr>
        <w:t>ISO/IEC JTC1/SC29/WG11, "Call Proposals on 3D Video Compression Technology", Doc. N12036, Geneva, Switzerland, March 2011.</w:t>
      </w:r>
      <w:bookmarkEnd w:id="13"/>
    </w:p>
    <w:p w14:paraId="70339238" w14:textId="77777777" w:rsidR="001357BA" w:rsidRPr="00634804" w:rsidRDefault="001357BA" w:rsidP="001357BA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proofErr w:type="gramStart"/>
      <w:r w:rsidRPr="00634804">
        <w:rPr>
          <w:sz w:val="22"/>
          <w:lang w:eastAsia="zh-TW"/>
        </w:rPr>
        <w:t>ITU-T Recommendation J.144, “Objective perceptual video quality measurement techniques for digital cable television in the presence of a full reference,” ITU-T Telecommunication Standardization Bureau, March 2004.</w:t>
      </w:r>
      <w:bookmarkEnd w:id="8"/>
      <w:proofErr w:type="gramEnd"/>
    </w:p>
    <w:p w14:paraId="057D651C" w14:textId="77777777" w:rsidR="001357BA" w:rsidRPr="00634804" w:rsidRDefault="001357BA" w:rsidP="001357BA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14" w:name="J149"/>
      <w:bookmarkStart w:id="15" w:name="_Ref195783155"/>
      <w:bookmarkEnd w:id="14"/>
      <w:proofErr w:type="gramStart"/>
      <w:r w:rsidRPr="00634804">
        <w:rPr>
          <w:sz w:val="22"/>
          <w:lang w:eastAsia="zh-TW"/>
        </w:rPr>
        <w:lastRenderedPageBreak/>
        <w:t>ITU-T Recommendation J.149, “Method for specifying accuracy and cross-calibration of Video Quality Metrics (VQM),” ITU-T Telecommunication Standardization Bureau, March 2004.</w:t>
      </w:r>
      <w:proofErr w:type="gramEnd"/>
    </w:p>
    <w:p w14:paraId="37E9F61A" w14:textId="2ED69E9D" w:rsidR="00CA2510" w:rsidRPr="00634804" w:rsidRDefault="001E06C7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16" w:name="JCT3VA0150"/>
      <w:bookmarkEnd w:id="15"/>
      <w:bookmarkEnd w:id="16"/>
      <w:r w:rsidRPr="00634804">
        <w:rPr>
          <w:sz w:val="22"/>
          <w:lang w:eastAsia="zh-TW"/>
        </w:rPr>
        <w:t>JCT-3V</w:t>
      </w:r>
      <w:r w:rsidR="00CA2510" w:rsidRPr="00634804">
        <w:rPr>
          <w:sz w:val="22"/>
          <w:lang w:eastAsia="zh-TW"/>
        </w:rPr>
        <w:t>, "</w:t>
      </w:r>
      <w:r w:rsidRPr="00634804">
        <w:rPr>
          <w:sz w:val="22"/>
          <w:lang w:eastAsia="zh-TW"/>
        </w:rPr>
        <w:t>3DV: Quality assessment of stereo pairs formed from two synthesized views</w:t>
      </w:r>
      <w:r w:rsidR="00CA2510" w:rsidRPr="00634804">
        <w:rPr>
          <w:sz w:val="22"/>
          <w:lang w:eastAsia="zh-TW"/>
        </w:rPr>
        <w:t xml:space="preserve">," </w:t>
      </w:r>
      <w:r w:rsidRPr="00634804">
        <w:rPr>
          <w:sz w:val="22"/>
          <w:lang w:eastAsia="zh-TW"/>
        </w:rPr>
        <w:t>JCT3V-A0150</w:t>
      </w:r>
      <w:r w:rsidR="00CA2510" w:rsidRPr="00634804">
        <w:rPr>
          <w:sz w:val="22"/>
          <w:lang w:eastAsia="zh-TW"/>
        </w:rPr>
        <w:t xml:space="preserve">, </w:t>
      </w:r>
      <w:r w:rsidRPr="00634804">
        <w:rPr>
          <w:sz w:val="22"/>
          <w:lang w:eastAsia="zh-TW"/>
        </w:rPr>
        <w:t>JCT-3V Meeting, Stockholm,</w:t>
      </w:r>
      <w:r w:rsidR="00CA2510" w:rsidRPr="00634804">
        <w:rPr>
          <w:sz w:val="22"/>
          <w:lang w:eastAsia="zh-TW"/>
        </w:rPr>
        <w:t xml:space="preserve"> </w:t>
      </w:r>
      <w:r w:rsidRPr="00634804">
        <w:rPr>
          <w:sz w:val="22"/>
          <w:lang w:eastAsia="zh-TW"/>
        </w:rPr>
        <w:t>Sweden</w:t>
      </w:r>
      <w:r w:rsidR="00CA2510" w:rsidRPr="00634804">
        <w:rPr>
          <w:sz w:val="22"/>
          <w:lang w:eastAsia="zh-TW"/>
        </w:rPr>
        <w:t xml:space="preserve">, </w:t>
      </w:r>
      <w:r w:rsidRPr="00634804">
        <w:rPr>
          <w:sz w:val="22"/>
          <w:lang w:eastAsia="zh-TW"/>
        </w:rPr>
        <w:t>July</w:t>
      </w:r>
      <w:r w:rsidR="00CA2510" w:rsidRPr="00634804">
        <w:rPr>
          <w:sz w:val="22"/>
          <w:lang w:eastAsia="zh-TW"/>
        </w:rPr>
        <w:t xml:space="preserve"> 2012.</w:t>
      </w:r>
      <w:bookmarkEnd w:id="9"/>
      <w:bookmarkEnd w:id="10"/>
    </w:p>
    <w:p w14:paraId="7CE65E9B" w14:textId="77777777" w:rsidR="00C303F3" w:rsidRPr="00634804" w:rsidRDefault="00C303F3" w:rsidP="00C303F3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17" w:name="Wang2004"/>
      <w:bookmarkStart w:id="18" w:name="_Ref202876787"/>
      <w:bookmarkStart w:id="19" w:name="_Ref202876752"/>
      <w:bookmarkEnd w:id="17"/>
      <w:r w:rsidRPr="00634804">
        <w:rPr>
          <w:sz w:val="22"/>
          <w:lang w:eastAsia="zh-TW"/>
        </w:rPr>
        <w:t xml:space="preserve">H.R. Sheikh and A.C. </w:t>
      </w:r>
      <w:proofErr w:type="spellStart"/>
      <w:r w:rsidRPr="00634804">
        <w:rPr>
          <w:sz w:val="22"/>
          <w:lang w:eastAsia="zh-TW"/>
        </w:rPr>
        <w:t>Bovik</w:t>
      </w:r>
      <w:proofErr w:type="spellEnd"/>
      <w:r w:rsidRPr="00634804">
        <w:rPr>
          <w:sz w:val="22"/>
          <w:lang w:eastAsia="zh-TW"/>
        </w:rPr>
        <w:t>, “Image information and visual quality,” IEEE Transactions on Image Processing, vol. 15, no. 2, pp. 430-444, February 2006.</w:t>
      </w:r>
      <w:bookmarkEnd w:id="18"/>
    </w:p>
    <w:p w14:paraId="43E7CD5D" w14:textId="77777777" w:rsidR="00CA2510" w:rsidRPr="00634804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r w:rsidRPr="00634804">
        <w:rPr>
          <w:sz w:val="22"/>
          <w:lang w:eastAsia="zh-TW"/>
        </w:rPr>
        <w:t xml:space="preserve">Z. Wang, A.C. </w:t>
      </w:r>
      <w:proofErr w:type="spellStart"/>
      <w:r w:rsidRPr="00634804">
        <w:rPr>
          <w:sz w:val="22"/>
          <w:lang w:eastAsia="zh-TW"/>
        </w:rPr>
        <w:t>Bovik</w:t>
      </w:r>
      <w:proofErr w:type="spellEnd"/>
      <w:r w:rsidRPr="00634804">
        <w:rPr>
          <w:sz w:val="22"/>
          <w:lang w:eastAsia="zh-TW"/>
        </w:rPr>
        <w:t xml:space="preserve">, H.R. Sheikh, and E.P. </w:t>
      </w:r>
      <w:proofErr w:type="spellStart"/>
      <w:r w:rsidRPr="00634804">
        <w:rPr>
          <w:sz w:val="22"/>
          <w:lang w:eastAsia="zh-TW"/>
        </w:rPr>
        <w:t>Simoncelli</w:t>
      </w:r>
      <w:proofErr w:type="spellEnd"/>
      <w:r w:rsidRPr="00634804">
        <w:rPr>
          <w:sz w:val="22"/>
          <w:lang w:eastAsia="zh-TW"/>
        </w:rPr>
        <w:t>, “Image quality assessment: from error visibility to structural similarity,” IEEE Transactions on Image Processing, vol. 13, no. 4, pp. 600-612, April 2004.</w:t>
      </w:r>
      <w:bookmarkEnd w:id="19"/>
    </w:p>
    <w:p w14:paraId="2EBE5116" w14:textId="77777777" w:rsidR="00CA2510" w:rsidRPr="00634804" w:rsidRDefault="00CA2510" w:rsidP="00A0106D">
      <w:pPr>
        <w:pStyle w:val="SPIEreferencelisting"/>
        <w:numPr>
          <w:ilvl w:val="0"/>
          <w:numId w:val="0"/>
        </w:numPr>
        <w:spacing w:before="60"/>
        <w:jc w:val="both"/>
        <w:rPr>
          <w:sz w:val="22"/>
          <w:lang w:eastAsia="zh-TW"/>
        </w:rPr>
      </w:pPr>
      <w:bookmarkStart w:id="20" w:name="Wang2003"/>
      <w:bookmarkStart w:id="21" w:name="_Ref202876766"/>
      <w:bookmarkEnd w:id="20"/>
      <w:r w:rsidRPr="00634804">
        <w:rPr>
          <w:sz w:val="22"/>
          <w:lang w:eastAsia="zh-TW"/>
        </w:rPr>
        <w:t xml:space="preserve">Z. Wang, E.P. </w:t>
      </w:r>
      <w:proofErr w:type="spellStart"/>
      <w:r w:rsidRPr="00634804">
        <w:rPr>
          <w:sz w:val="22"/>
          <w:lang w:eastAsia="zh-TW"/>
        </w:rPr>
        <w:t>Simoncelli</w:t>
      </w:r>
      <w:proofErr w:type="spellEnd"/>
      <w:r w:rsidRPr="00634804">
        <w:rPr>
          <w:sz w:val="22"/>
          <w:lang w:eastAsia="zh-TW"/>
        </w:rPr>
        <w:t xml:space="preserve">, and A.C. </w:t>
      </w:r>
      <w:proofErr w:type="spellStart"/>
      <w:r w:rsidRPr="00634804">
        <w:rPr>
          <w:sz w:val="22"/>
          <w:lang w:eastAsia="zh-TW"/>
        </w:rPr>
        <w:t>Bovik</w:t>
      </w:r>
      <w:proofErr w:type="spellEnd"/>
      <w:r w:rsidRPr="00634804">
        <w:rPr>
          <w:sz w:val="22"/>
          <w:lang w:eastAsia="zh-TW"/>
        </w:rPr>
        <w:t xml:space="preserve">, “Multiscale structural similarity for image quality assessment,” in IEEE </w:t>
      </w:r>
      <w:proofErr w:type="spellStart"/>
      <w:r w:rsidRPr="00634804">
        <w:rPr>
          <w:sz w:val="22"/>
          <w:lang w:eastAsia="zh-TW"/>
        </w:rPr>
        <w:t>Asilomar</w:t>
      </w:r>
      <w:proofErr w:type="spellEnd"/>
      <w:r w:rsidRPr="00634804">
        <w:rPr>
          <w:sz w:val="22"/>
          <w:lang w:eastAsia="zh-TW"/>
        </w:rPr>
        <w:t xml:space="preserve"> Conference on Signals, Systems and Computers, November 2003, vol. 2, pp. 1398-1402.</w:t>
      </w:r>
      <w:bookmarkEnd w:id="21"/>
    </w:p>
    <w:p w14:paraId="4A33C166" w14:textId="77777777" w:rsidR="001F2594" w:rsidRPr="00634804" w:rsidRDefault="001F2594" w:rsidP="00851778">
      <w:pPr>
        <w:pStyle w:val="Heading1"/>
      </w:pPr>
      <w:bookmarkStart w:id="22" w:name="Sheikh2006"/>
      <w:bookmarkEnd w:id="11"/>
      <w:bookmarkEnd w:id="22"/>
      <w:r w:rsidRPr="00634804">
        <w:t>Patent rights declaration</w:t>
      </w:r>
      <w:r w:rsidR="00B94B06" w:rsidRPr="00634804">
        <w:t>(s)</w:t>
      </w:r>
    </w:p>
    <w:p w14:paraId="3E8F4789" w14:textId="77777777" w:rsidR="005801A2" w:rsidRPr="00634804" w:rsidRDefault="00851778" w:rsidP="005801A2">
      <w:pPr>
        <w:jc w:val="both"/>
        <w:rPr>
          <w:szCs w:val="22"/>
        </w:rPr>
      </w:pPr>
      <w:r w:rsidRPr="00634804">
        <w:rPr>
          <w:b/>
          <w:szCs w:val="22"/>
        </w:rPr>
        <w:t xml:space="preserve">EPFL </w:t>
      </w:r>
      <w:r w:rsidR="005801A2" w:rsidRPr="00634804">
        <w:rPr>
          <w:b/>
          <w:szCs w:val="22"/>
        </w:rPr>
        <w:t>does not have any current or pending patent rights relating to the technology described in this contribution.</w:t>
      </w:r>
    </w:p>
    <w:p w14:paraId="19B838AD" w14:textId="77777777" w:rsidR="007F1F8B" w:rsidRPr="00634804" w:rsidRDefault="007F1F8B" w:rsidP="009234A5">
      <w:pPr>
        <w:jc w:val="both"/>
        <w:rPr>
          <w:szCs w:val="22"/>
        </w:rPr>
      </w:pPr>
    </w:p>
    <w:sectPr w:rsidR="007F1F8B" w:rsidRPr="00634804" w:rsidSect="00A01439">
      <w:footerReference w:type="default" r:id="rId3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5D6222" w14:textId="77777777" w:rsidR="004228CE" w:rsidRDefault="004228CE">
      <w:r>
        <w:separator/>
      </w:r>
    </w:p>
  </w:endnote>
  <w:endnote w:type="continuationSeparator" w:id="0">
    <w:p w14:paraId="47957570" w14:textId="77777777" w:rsidR="004228CE" w:rsidRDefault="00422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4FAC5" w14:textId="0B6A4961" w:rsidR="004228CE" w:rsidRDefault="004228CE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455F6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2012-10-12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BD616" w14:textId="77777777" w:rsidR="004228CE" w:rsidRDefault="004228CE">
      <w:r>
        <w:separator/>
      </w:r>
    </w:p>
  </w:footnote>
  <w:footnote w:type="continuationSeparator" w:id="0">
    <w:p w14:paraId="15154298" w14:textId="77777777" w:rsidR="004228CE" w:rsidRDefault="00422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1BA3B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875676"/>
    <w:multiLevelType w:val="hybridMultilevel"/>
    <w:tmpl w:val="29FE4C8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A77A15"/>
    <w:multiLevelType w:val="hybridMultilevel"/>
    <w:tmpl w:val="8C10D1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0C1019"/>
    <w:multiLevelType w:val="hybridMultilevel"/>
    <w:tmpl w:val="8A66E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250D63"/>
    <w:multiLevelType w:val="hybridMultilevel"/>
    <w:tmpl w:val="7F22A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920907"/>
    <w:multiLevelType w:val="hybridMultilevel"/>
    <w:tmpl w:val="07B02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85F7F"/>
    <w:multiLevelType w:val="hybridMultilevel"/>
    <w:tmpl w:val="DC623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006E81"/>
    <w:multiLevelType w:val="hybridMultilevel"/>
    <w:tmpl w:val="2AF8C4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288A644A"/>
    <w:multiLevelType w:val="hybridMultilevel"/>
    <w:tmpl w:val="49EA2B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6335E7"/>
    <w:multiLevelType w:val="hybridMultilevel"/>
    <w:tmpl w:val="2C10F1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341F1"/>
    <w:multiLevelType w:val="hybridMultilevel"/>
    <w:tmpl w:val="E8AEE3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E07875"/>
    <w:multiLevelType w:val="hybridMultilevel"/>
    <w:tmpl w:val="E3585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054910"/>
    <w:multiLevelType w:val="hybridMultilevel"/>
    <w:tmpl w:val="707EECE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DB2843"/>
    <w:multiLevelType w:val="hybridMultilevel"/>
    <w:tmpl w:val="9482C3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ED3B7D"/>
    <w:multiLevelType w:val="hybridMultilevel"/>
    <w:tmpl w:val="E03A8E60"/>
    <w:lvl w:ilvl="0" w:tplc="879CD93E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EB18D2"/>
    <w:multiLevelType w:val="hybridMultilevel"/>
    <w:tmpl w:val="C804B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280F3A"/>
    <w:multiLevelType w:val="hybridMultilevel"/>
    <w:tmpl w:val="BBA2A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486FB1"/>
    <w:multiLevelType w:val="hybridMultilevel"/>
    <w:tmpl w:val="679C689C"/>
    <w:lvl w:ilvl="0" w:tplc="8B38858C">
      <w:start w:val="1"/>
      <w:numFmt w:val="decimal"/>
      <w:pStyle w:val="SPIEreferencelisting"/>
      <w:lvlText w:val="[%1]"/>
      <w:lvlJc w:val="left"/>
      <w:pPr>
        <w:ind w:left="360" w:hanging="360"/>
      </w:pPr>
      <w:rPr>
        <w:rFonts w:cs="Times New Roman" w:hint="default"/>
        <w:vertAlign w:val="baseline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5">
      <w:start w:val="1"/>
      <w:numFmt w:val="decimal"/>
      <w:lvlText w:val="(%5)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7C53FDA"/>
    <w:multiLevelType w:val="multilevel"/>
    <w:tmpl w:val="385209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1">
    <w:nsid w:val="7D2F4CF2"/>
    <w:multiLevelType w:val="hybridMultilevel"/>
    <w:tmpl w:val="38520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035C37"/>
    <w:multiLevelType w:val="hybridMultilevel"/>
    <w:tmpl w:val="F5EE2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6"/>
  </w:num>
  <w:num w:numId="4">
    <w:abstractNumId w:val="22"/>
  </w:num>
  <w:num w:numId="5">
    <w:abstractNumId w:val="23"/>
  </w:num>
  <w:num w:numId="6">
    <w:abstractNumId w:val="13"/>
  </w:num>
  <w:num w:numId="7">
    <w:abstractNumId w:val="18"/>
  </w:num>
  <w:num w:numId="8">
    <w:abstractNumId w:val="13"/>
  </w:num>
  <w:num w:numId="9">
    <w:abstractNumId w:val="3"/>
  </w:num>
  <w:num w:numId="10">
    <w:abstractNumId w:val="11"/>
  </w:num>
  <w:num w:numId="11">
    <w:abstractNumId w:val="7"/>
  </w:num>
  <w:num w:numId="12">
    <w:abstractNumId w:val="0"/>
  </w:num>
  <w:num w:numId="13">
    <w:abstractNumId w:val="30"/>
  </w:num>
  <w:num w:numId="14">
    <w:abstractNumId w:val="27"/>
  </w:num>
  <w:num w:numId="15">
    <w:abstractNumId w:val="10"/>
  </w:num>
  <w:num w:numId="16">
    <w:abstractNumId w:val="2"/>
  </w:num>
  <w:num w:numId="17">
    <w:abstractNumId w:val="32"/>
  </w:num>
  <w:num w:numId="18">
    <w:abstractNumId w:val="19"/>
  </w:num>
  <w:num w:numId="19">
    <w:abstractNumId w:val="16"/>
  </w:num>
  <w:num w:numId="20">
    <w:abstractNumId w:val="4"/>
  </w:num>
  <w:num w:numId="21">
    <w:abstractNumId w:val="5"/>
  </w:num>
  <w:num w:numId="22">
    <w:abstractNumId w:val="6"/>
  </w:num>
  <w:num w:numId="23">
    <w:abstractNumId w:val="8"/>
  </w:num>
  <w:num w:numId="24">
    <w:abstractNumId w:val="24"/>
  </w:num>
  <w:num w:numId="25">
    <w:abstractNumId w:val="12"/>
  </w:num>
  <w:num w:numId="26">
    <w:abstractNumId w:val="15"/>
  </w:num>
  <w:num w:numId="27">
    <w:abstractNumId w:val="9"/>
  </w:num>
  <w:num w:numId="28">
    <w:abstractNumId w:val="14"/>
  </w:num>
  <w:num w:numId="29">
    <w:abstractNumId w:val="31"/>
  </w:num>
  <w:num w:numId="30">
    <w:abstractNumId w:val="28"/>
  </w:num>
  <w:num w:numId="31">
    <w:abstractNumId w:val="25"/>
  </w:num>
  <w:num w:numId="32">
    <w:abstractNumId w:val="17"/>
  </w:num>
  <w:num w:numId="33">
    <w:abstractNumId w:val="20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1148"/>
    <w:rsid w:val="0001396D"/>
    <w:rsid w:val="0002014D"/>
    <w:rsid w:val="0003484A"/>
    <w:rsid w:val="000359D0"/>
    <w:rsid w:val="00043EB2"/>
    <w:rsid w:val="000458BC"/>
    <w:rsid w:val="00045C41"/>
    <w:rsid w:val="00046C03"/>
    <w:rsid w:val="000577C5"/>
    <w:rsid w:val="000734F0"/>
    <w:rsid w:val="00074CC5"/>
    <w:rsid w:val="0007614F"/>
    <w:rsid w:val="0009516E"/>
    <w:rsid w:val="000A0682"/>
    <w:rsid w:val="000A7547"/>
    <w:rsid w:val="000B1C6B"/>
    <w:rsid w:val="000B4FF9"/>
    <w:rsid w:val="000C09AC"/>
    <w:rsid w:val="000C185A"/>
    <w:rsid w:val="000C2C09"/>
    <w:rsid w:val="000C4F80"/>
    <w:rsid w:val="000C62F8"/>
    <w:rsid w:val="000D69F9"/>
    <w:rsid w:val="000E00F3"/>
    <w:rsid w:val="000E0349"/>
    <w:rsid w:val="000F0B66"/>
    <w:rsid w:val="000F158C"/>
    <w:rsid w:val="00100802"/>
    <w:rsid w:val="00102F3D"/>
    <w:rsid w:val="00103F4C"/>
    <w:rsid w:val="0010643D"/>
    <w:rsid w:val="00115B0E"/>
    <w:rsid w:val="00124E38"/>
    <w:rsid w:val="0012580B"/>
    <w:rsid w:val="0013037E"/>
    <w:rsid w:val="00131F90"/>
    <w:rsid w:val="00132C18"/>
    <w:rsid w:val="0013526E"/>
    <w:rsid w:val="001357BA"/>
    <w:rsid w:val="00136297"/>
    <w:rsid w:val="00144AF3"/>
    <w:rsid w:val="001508D6"/>
    <w:rsid w:val="001519FC"/>
    <w:rsid w:val="00154181"/>
    <w:rsid w:val="00160DD3"/>
    <w:rsid w:val="00171371"/>
    <w:rsid w:val="001717D4"/>
    <w:rsid w:val="00171B94"/>
    <w:rsid w:val="00172993"/>
    <w:rsid w:val="00174420"/>
    <w:rsid w:val="00175A24"/>
    <w:rsid w:val="00186F1A"/>
    <w:rsid w:val="00187600"/>
    <w:rsid w:val="00187E58"/>
    <w:rsid w:val="001A03F2"/>
    <w:rsid w:val="001A19DD"/>
    <w:rsid w:val="001A297E"/>
    <w:rsid w:val="001A368E"/>
    <w:rsid w:val="001A419E"/>
    <w:rsid w:val="001A7329"/>
    <w:rsid w:val="001B27D3"/>
    <w:rsid w:val="001B4E28"/>
    <w:rsid w:val="001B7049"/>
    <w:rsid w:val="001C3525"/>
    <w:rsid w:val="001D1BD2"/>
    <w:rsid w:val="001E02BE"/>
    <w:rsid w:val="001E06C7"/>
    <w:rsid w:val="001E3B37"/>
    <w:rsid w:val="001E42E6"/>
    <w:rsid w:val="001F2594"/>
    <w:rsid w:val="001F3795"/>
    <w:rsid w:val="001F4EE5"/>
    <w:rsid w:val="001F76B6"/>
    <w:rsid w:val="002055A6"/>
    <w:rsid w:val="00206460"/>
    <w:rsid w:val="002069B4"/>
    <w:rsid w:val="00215DFC"/>
    <w:rsid w:val="002161F4"/>
    <w:rsid w:val="002212DF"/>
    <w:rsid w:val="00226EBF"/>
    <w:rsid w:val="00227BA7"/>
    <w:rsid w:val="002309DA"/>
    <w:rsid w:val="00242C70"/>
    <w:rsid w:val="00244D18"/>
    <w:rsid w:val="00262ED8"/>
    <w:rsid w:val="00263398"/>
    <w:rsid w:val="002674A9"/>
    <w:rsid w:val="002728DD"/>
    <w:rsid w:val="00275BCF"/>
    <w:rsid w:val="00275E62"/>
    <w:rsid w:val="00277756"/>
    <w:rsid w:val="0028355D"/>
    <w:rsid w:val="002878F8"/>
    <w:rsid w:val="00292257"/>
    <w:rsid w:val="0029524D"/>
    <w:rsid w:val="002A0E68"/>
    <w:rsid w:val="002A429B"/>
    <w:rsid w:val="002A54E0"/>
    <w:rsid w:val="002B1595"/>
    <w:rsid w:val="002B191D"/>
    <w:rsid w:val="002D0AF6"/>
    <w:rsid w:val="002D7275"/>
    <w:rsid w:val="002E6E82"/>
    <w:rsid w:val="002F164D"/>
    <w:rsid w:val="00306206"/>
    <w:rsid w:val="00312FD2"/>
    <w:rsid w:val="00317D85"/>
    <w:rsid w:val="003275BD"/>
    <w:rsid w:val="00327C56"/>
    <w:rsid w:val="003315A1"/>
    <w:rsid w:val="003333A0"/>
    <w:rsid w:val="003354B7"/>
    <w:rsid w:val="003373EC"/>
    <w:rsid w:val="00342FF4"/>
    <w:rsid w:val="0034338E"/>
    <w:rsid w:val="003456D9"/>
    <w:rsid w:val="00346409"/>
    <w:rsid w:val="003706CC"/>
    <w:rsid w:val="00377710"/>
    <w:rsid w:val="00381917"/>
    <w:rsid w:val="00385F04"/>
    <w:rsid w:val="003A2D8E"/>
    <w:rsid w:val="003A2E4F"/>
    <w:rsid w:val="003A4BC0"/>
    <w:rsid w:val="003B37B3"/>
    <w:rsid w:val="003B47B5"/>
    <w:rsid w:val="003C20E4"/>
    <w:rsid w:val="003C2C9E"/>
    <w:rsid w:val="003C6FF1"/>
    <w:rsid w:val="003D2E8F"/>
    <w:rsid w:val="003E0363"/>
    <w:rsid w:val="003E6F90"/>
    <w:rsid w:val="003F2E5A"/>
    <w:rsid w:val="003F48A9"/>
    <w:rsid w:val="003F5D0F"/>
    <w:rsid w:val="00402AD0"/>
    <w:rsid w:val="00414101"/>
    <w:rsid w:val="004142D2"/>
    <w:rsid w:val="00416DCD"/>
    <w:rsid w:val="004211D6"/>
    <w:rsid w:val="004228CE"/>
    <w:rsid w:val="00426033"/>
    <w:rsid w:val="0042779D"/>
    <w:rsid w:val="0043356F"/>
    <w:rsid w:val="00433DDB"/>
    <w:rsid w:val="0043659B"/>
    <w:rsid w:val="00437619"/>
    <w:rsid w:val="00441609"/>
    <w:rsid w:val="00441DA2"/>
    <w:rsid w:val="004455F6"/>
    <w:rsid w:val="00446697"/>
    <w:rsid w:val="00466EB3"/>
    <w:rsid w:val="004A2A63"/>
    <w:rsid w:val="004B210C"/>
    <w:rsid w:val="004B32CF"/>
    <w:rsid w:val="004B5576"/>
    <w:rsid w:val="004C0F0A"/>
    <w:rsid w:val="004D276B"/>
    <w:rsid w:val="004D405F"/>
    <w:rsid w:val="004E4F4F"/>
    <w:rsid w:val="004E6789"/>
    <w:rsid w:val="004E75D4"/>
    <w:rsid w:val="004F18FC"/>
    <w:rsid w:val="004F61E3"/>
    <w:rsid w:val="00502E5A"/>
    <w:rsid w:val="00507F3A"/>
    <w:rsid w:val="0051015C"/>
    <w:rsid w:val="00514AF5"/>
    <w:rsid w:val="00516CF1"/>
    <w:rsid w:val="005216B7"/>
    <w:rsid w:val="0052677D"/>
    <w:rsid w:val="00531AE9"/>
    <w:rsid w:val="0053353A"/>
    <w:rsid w:val="00534B3B"/>
    <w:rsid w:val="005350FF"/>
    <w:rsid w:val="0053648E"/>
    <w:rsid w:val="00542E43"/>
    <w:rsid w:val="00550A66"/>
    <w:rsid w:val="00554671"/>
    <w:rsid w:val="00554EA1"/>
    <w:rsid w:val="005648D8"/>
    <w:rsid w:val="00567EC7"/>
    <w:rsid w:val="00570013"/>
    <w:rsid w:val="005801A2"/>
    <w:rsid w:val="0058305D"/>
    <w:rsid w:val="005830A7"/>
    <w:rsid w:val="00587408"/>
    <w:rsid w:val="005952A5"/>
    <w:rsid w:val="005974F3"/>
    <w:rsid w:val="005A33A1"/>
    <w:rsid w:val="005A7D60"/>
    <w:rsid w:val="005B217D"/>
    <w:rsid w:val="005C385F"/>
    <w:rsid w:val="005E1AC6"/>
    <w:rsid w:val="005E4581"/>
    <w:rsid w:val="005F6F1B"/>
    <w:rsid w:val="006107BA"/>
    <w:rsid w:val="00621EB3"/>
    <w:rsid w:val="00624B33"/>
    <w:rsid w:val="00630AA2"/>
    <w:rsid w:val="00634804"/>
    <w:rsid w:val="00640DED"/>
    <w:rsid w:val="006433B5"/>
    <w:rsid w:val="00645C27"/>
    <w:rsid w:val="00646707"/>
    <w:rsid w:val="00661D97"/>
    <w:rsid w:val="00662E58"/>
    <w:rsid w:val="00664DCF"/>
    <w:rsid w:val="00665D59"/>
    <w:rsid w:val="00671545"/>
    <w:rsid w:val="0068608A"/>
    <w:rsid w:val="00690E3A"/>
    <w:rsid w:val="006913E0"/>
    <w:rsid w:val="006A3AE2"/>
    <w:rsid w:val="006B4771"/>
    <w:rsid w:val="006C5D39"/>
    <w:rsid w:val="006D10B9"/>
    <w:rsid w:val="006E23CC"/>
    <w:rsid w:val="006E2810"/>
    <w:rsid w:val="006E5417"/>
    <w:rsid w:val="006F3C05"/>
    <w:rsid w:val="00711FC3"/>
    <w:rsid w:val="00712101"/>
    <w:rsid w:val="00712F60"/>
    <w:rsid w:val="00720E3B"/>
    <w:rsid w:val="00721F1F"/>
    <w:rsid w:val="00727874"/>
    <w:rsid w:val="00745F6B"/>
    <w:rsid w:val="0075585E"/>
    <w:rsid w:val="007651FF"/>
    <w:rsid w:val="007659DD"/>
    <w:rsid w:val="00770571"/>
    <w:rsid w:val="0077346A"/>
    <w:rsid w:val="007768FF"/>
    <w:rsid w:val="00777020"/>
    <w:rsid w:val="007774D9"/>
    <w:rsid w:val="007824D3"/>
    <w:rsid w:val="00786D44"/>
    <w:rsid w:val="007902E2"/>
    <w:rsid w:val="0079671F"/>
    <w:rsid w:val="00796EE3"/>
    <w:rsid w:val="007A7D29"/>
    <w:rsid w:val="007B4AB8"/>
    <w:rsid w:val="007D42EE"/>
    <w:rsid w:val="007D795F"/>
    <w:rsid w:val="007E4042"/>
    <w:rsid w:val="007E5C43"/>
    <w:rsid w:val="007F00B3"/>
    <w:rsid w:val="007F1F8B"/>
    <w:rsid w:val="007F67A1"/>
    <w:rsid w:val="00806BFF"/>
    <w:rsid w:val="0081016C"/>
    <w:rsid w:val="008206C8"/>
    <w:rsid w:val="00830BD4"/>
    <w:rsid w:val="008403D0"/>
    <w:rsid w:val="00851778"/>
    <w:rsid w:val="0086173F"/>
    <w:rsid w:val="0086228E"/>
    <w:rsid w:val="00865A44"/>
    <w:rsid w:val="00866275"/>
    <w:rsid w:val="0087299C"/>
    <w:rsid w:val="00874A6C"/>
    <w:rsid w:val="00876C65"/>
    <w:rsid w:val="00877C2C"/>
    <w:rsid w:val="0088553E"/>
    <w:rsid w:val="00885CAC"/>
    <w:rsid w:val="008861AA"/>
    <w:rsid w:val="00891927"/>
    <w:rsid w:val="008A2C3B"/>
    <w:rsid w:val="008A4B4C"/>
    <w:rsid w:val="008B1EA1"/>
    <w:rsid w:val="008C16B9"/>
    <w:rsid w:val="008C239F"/>
    <w:rsid w:val="008C5B16"/>
    <w:rsid w:val="008C69E8"/>
    <w:rsid w:val="008C6A02"/>
    <w:rsid w:val="008C7F22"/>
    <w:rsid w:val="008D4EA3"/>
    <w:rsid w:val="008E480C"/>
    <w:rsid w:val="008E7512"/>
    <w:rsid w:val="00900E84"/>
    <w:rsid w:val="009027DF"/>
    <w:rsid w:val="00907757"/>
    <w:rsid w:val="009125EC"/>
    <w:rsid w:val="00916BD3"/>
    <w:rsid w:val="009212B0"/>
    <w:rsid w:val="009234A5"/>
    <w:rsid w:val="00926A65"/>
    <w:rsid w:val="00927EAC"/>
    <w:rsid w:val="00931191"/>
    <w:rsid w:val="009336F7"/>
    <w:rsid w:val="009374A7"/>
    <w:rsid w:val="0094119E"/>
    <w:rsid w:val="00954C5B"/>
    <w:rsid w:val="009648CF"/>
    <w:rsid w:val="009748E1"/>
    <w:rsid w:val="00977225"/>
    <w:rsid w:val="0098551D"/>
    <w:rsid w:val="0099518F"/>
    <w:rsid w:val="009A523D"/>
    <w:rsid w:val="009B3C93"/>
    <w:rsid w:val="009C1BF7"/>
    <w:rsid w:val="009C7355"/>
    <w:rsid w:val="009D0AA2"/>
    <w:rsid w:val="009D33A6"/>
    <w:rsid w:val="009F496B"/>
    <w:rsid w:val="009F7338"/>
    <w:rsid w:val="00A0106D"/>
    <w:rsid w:val="00A01439"/>
    <w:rsid w:val="00A02A67"/>
    <w:rsid w:val="00A02E61"/>
    <w:rsid w:val="00A05CFF"/>
    <w:rsid w:val="00A10A90"/>
    <w:rsid w:val="00A1225C"/>
    <w:rsid w:val="00A12EE2"/>
    <w:rsid w:val="00A25837"/>
    <w:rsid w:val="00A2758E"/>
    <w:rsid w:val="00A515C2"/>
    <w:rsid w:val="00A56B97"/>
    <w:rsid w:val="00A6093D"/>
    <w:rsid w:val="00A60C70"/>
    <w:rsid w:val="00A70905"/>
    <w:rsid w:val="00A76A6D"/>
    <w:rsid w:val="00A83253"/>
    <w:rsid w:val="00A83D10"/>
    <w:rsid w:val="00A83D4B"/>
    <w:rsid w:val="00A96B65"/>
    <w:rsid w:val="00AA106F"/>
    <w:rsid w:val="00AA152E"/>
    <w:rsid w:val="00AA6E84"/>
    <w:rsid w:val="00AB2494"/>
    <w:rsid w:val="00AD0CFB"/>
    <w:rsid w:val="00AD5818"/>
    <w:rsid w:val="00AE341B"/>
    <w:rsid w:val="00B038CE"/>
    <w:rsid w:val="00B05C50"/>
    <w:rsid w:val="00B07216"/>
    <w:rsid w:val="00B07CA7"/>
    <w:rsid w:val="00B1279A"/>
    <w:rsid w:val="00B15555"/>
    <w:rsid w:val="00B23FE3"/>
    <w:rsid w:val="00B254A8"/>
    <w:rsid w:val="00B32499"/>
    <w:rsid w:val="00B5222E"/>
    <w:rsid w:val="00B56BC6"/>
    <w:rsid w:val="00B61C96"/>
    <w:rsid w:val="00B6331D"/>
    <w:rsid w:val="00B66F85"/>
    <w:rsid w:val="00B73A2A"/>
    <w:rsid w:val="00B761C3"/>
    <w:rsid w:val="00B81BA1"/>
    <w:rsid w:val="00B845B0"/>
    <w:rsid w:val="00B90256"/>
    <w:rsid w:val="00B916CF"/>
    <w:rsid w:val="00B94B06"/>
    <w:rsid w:val="00B94C28"/>
    <w:rsid w:val="00B97763"/>
    <w:rsid w:val="00BA16B0"/>
    <w:rsid w:val="00BB5E5A"/>
    <w:rsid w:val="00BC10BA"/>
    <w:rsid w:val="00BC5AFD"/>
    <w:rsid w:val="00BF46DD"/>
    <w:rsid w:val="00BF49A1"/>
    <w:rsid w:val="00C04E0A"/>
    <w:rsid w:val="00C04F43"/>
    <w:rsid w:val="00C0609D"/>
    <w:rsid w:val="00C0759D"/>
    <w:rsid w:val="00C10E4E"/>
    <w:rsid w:val="00C115AB"/>
    <w:rsid w:val="00C14FD8"/>
    <w:rsid w:val="00C15D2D"/>
    <w:rsid w:val="00C2077E"/>
    <w:rsid w:val="00C30249"/>
    <w:rsid w:val="00C303F3"/>
    <w:rsid w:val="00C351CB"/>
    <w:rsid w:val="00C3723B"/>
    <w:rsid w:val="00C42E97"/>
    <w:rsid w:val="00C54A39"/>
    <w:rsid w:val="00C606C9"/>
    <w:rsid w:val="00C62BB5"/>
    <w:rsid w:val="00C77DF8"/>
    <w:rsid w:val="00C80288"/>
    <w:rsid w:val="00C84003"/>
    <w:rsid w:val="00C90650"/>
    <w:rsid w:val="00C96F54"/>
    <w:rsid w:val="00C97D78"/>
    <w:rsid w:val="00CA2510"/>
    <w:rsid w:val="00CA2CC3"/>
    <w:rsid w:val="00CA3E74"/>
    <w:rsid w:val="00CB4925"/>
    <w:rsid w:val="00CC196F"/>
    <w:rsid w:val="00CC2AAE"/>
    <w:rsid w:val="00CC5A42"/>
    <w:rsid w:val="00CD0EAB"/>
    <w:rsid w:val="00CE0A4C"/>
    <w:rsid w:val="00CF34DB"/>
    <w:rsid w:val="00CF558F"/>
    <w:rsid w:val="00D003AB"/>
    <w:rsid w:val="00D03E17"/>
    <w:rsid w:val="00D073E2"/>
    <w:rsid w:val="00D10993"/>
    <w:rsid w:val="00D25C4E"/>
    <w:rsid w:val="00D31D13"/>
    <w:rsid w:val="00D34E1D"/>
    <w:rsid w:val="00D36D33"/>
    <w:rsid w:val="00D446EC"/>
    <w:rsid w:val="00D453BD"/>
    <w:rsid w:val="00D478A3"/>
    <w:rsid w:val="00D51BF0"/>
    <w:rsid w:val="00D55942"/>
    <w:rsid w:val="00D72220"/>
    <w:rsid w:val="00D743B7"/>
    <w:rsid w:val="00D74EAB"/>
    <w:rsid w:val="00D807BF"/>
    <w:rsid w:val="00D86112"/>
    <w:rsid w:val="00D9395E"/>
    <w:rsid w:val="00D979DA"/>
    <w:rsid w:val="00DA098B"/>
    <w:rsid w:val="00DA3A32"/>
    <w:rsid w:val="00DA5A99"/>
    <w:rsid w:val="00DA66BF"/>
    <w:rsid w:val="00DA7887"/>
    <w:rsid w:val="00DB0F64"/>
    <w:rsid w:val="00DB1432"/>
    <w:rsid w:val="00DB2C26"/>
    <w:rsid w:val="00DB48E8"/>
    <w:rsid w:val="00DC6612"/>
    <w:rsid w:val="00DD0442"/>
    <w:rsid w:val="00DD1637"/>
    <w:rsid w:val="00DE6B43"/>
    <w:rsid w:val="00E04DB6"/>
    <w:rsid w:val="00E11923"/>
    <w:rsid w:val="00E21F20"/>
    <w:rsid w:val="00E262D4"/>
    <w:rsid w:val="00E328A0"/>
    <w:rsid w:val="00E32D42"/>
    <w:rsid w:val="00E33F4D"/>
    <w:rsid w:val="00E36250"/>
    <w:rsid w:val="00E407FD"/>
    <w:rsid w:val="00E4324C"/>
    <w:rsid w:val="00E4342C"/>
    <w:rsid w:val="00E463CF"/>
    <w:rsid w:val="00E5021D"/>
    <w:rsid w:val="00E5122C"/>
    <w:rsid w:val="00E54511"/>
    <w:rsid w:val="00E6059C"/>
    <w:rsid w:val="00E61DAC"/>
    <w:rsid w:val="00E72B80"/>
    <w:rsid w:val="00E75FE3"/>
    <w:rsid w:val="00E76ACF"/>
    <w:rsid w:val="00E77C1B"/>
    <w:rsid w:val="00E77F9D"/>
    <w:rsid w:val="00E858E7"/>
    <w:rsid w:val="00E86C4C"/>
    <w:rsid w:val="00E9460C"/>
    <w:rsid w:val="00E94A53"/>
    <w:rsid w:val="00E959F8"/>
    <w:rsid w:val="00E97E1E"/>
    <w:rsid w:val="00EA3098"/>
    <w:rsid w:val="00EA6089"/>
    <w:rsid w:val="00EA7F22"/>
    <w:rsid w:val="00EB7AB1"/>
    <w:rsid w:val="00EC4492"/>
    <w:rsid w:val="00EE6CC7"/>
    <w:rsid w:val="00EF2F15"/>
    <w:rsid w:val="00EF48CC"/>
    <w:rsid w:val="00EF77E1"/>
    <w:rsid w:val="00F15618"/>
    <w:rsid w:val="00F175E2"/>
    <w:rsid w:val="00F17EF1"/>
    <w:rsid w:val="00F2332A"/>
    <w:rsid w:val="00F24F8B"/>
    <w:rsid w:val="00F25825"/>
    <w:rsid w:val="00F35ED5"/>
    <w:rsid w:val="00F427F0"/>
    <w:rsid w:val="00F42EBB"/>
    <w:rsid w:val="00F47908"/>
    <w:rsid w:val="00F5427A"/>
    <w:rsid w:val="00F62CB8"/>
    <w:rsid w:val="00F71675"/>
    <w:rsid w:val="00F722A7"/>
    <w:rsid w:val="00F73032"/>
    <w:rsid w:val="00F77B83"/>
    <w:rsid w:val="00F80A4D"/>
    <w:rsid w:val="00F848FC"/>
    <w:rsid w:val="00F916D9"/>
    <w:rsid w:val="00F9282A"/>
    <w:rsid w:val="00F96BAD"/>
    <w:rsid w:val="00FA1260"/>
    <w:rsid w:val="00FB0E84"/>
    <w:rsid w:val="00FD01C2"/>
    <w:rsid w:val="00FD4C4B"/>
    <w:rsid w:val="00FE3CB9"/>
    <w:rsid w:val="00FE726F"/>
    <w:rsid w:val="00FE7C40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A871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A2510"/>
    <w:rPr>
      <w:rFonts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CA2510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autoRedefine/>
    <w:qFormat/>
    <w:rsid w:val="00CA251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after="120"/>
      <w:jc w:val="center"/>
      <w:textAlignment w:val="auto"/>
    </w:pPr>
    <w:rPr>
      <w:rFonts w:eastAsia="MS Mincho"/>
      <w:b/>
      <w:sz w:val="24"/>
      <w:szCs w:val="24"/>
      <w:lang w:eastAsia="de-DE"/>
    </w:rPr>
  </w:style>
  <w:style w:type="paragraph" w:customStyle="1" w:styleId="SPIEreferencelisting">
    <w:name w:val="SPIE reference listing"/>
    <w:basedOn w:val="Normal"/>
    <w:rsid w:val="00CA2510"/>
    <w:pPr>
      <w:numPr>
        <w:numId w:val="14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PMingLiU"/>
      <w:sz w:val="24"/>
      <w:lang w:eastAsia="de-DE"/>
    </w:rPr>
  </w:style>
  <w:style w:type="paragraph" w:styleId="ListParagraph">
    <w:name w:val="List Paragraph"/>
    <w:basedOn w:val="Normal"/>
    <w:qFormat/>
    <w:rsid w:val="00CA25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mbria" w:hAnsi="Cambria"/>
      <w:szCs w:val="22"/>
      <w:lang w:val="en-GB"/>
    </w:rPr>
  </w:style>
  <w:style w:type="paragraph" w:customStyle="1" w:styleId="NoteLevel21">
    <w:name w:val="Note Level 21"/>
    <w:basedOn w:val="Normal"/>
    <w:rsid w:val="00CA2510"/>
    <w:pPr>
      <w:keepNext/>
      <w:tabs>
        <w:tab w:val="clear" w:pos="360"/>
        <w:tab w:val="clear" w:pos="1080"/>
        <w:tab w:val="clear" w:pos="1440"/>
        <w:tab w:val="num" w:pos="720"/>
      </w:tabs>
      <w:overflowPunct/>
      <w:autoSpaceDE/>
      <w:autoSpaceDN/>
      <w:adjustRightInd/>
      <w:spacing w:before="0"/>
      <w:ind w:left="1080" w:hanging="360"/>
      <w:contextualSpacing/>
      <w:jc w:val="both"/>
      <w:textAlignment w:val="auto"/>
      <w:outlineLvl w:val="1"/>
    </w:pPr>
    <w:rPr>
      <w:rFonts w:ascii="Verdana" w:eastAsia="MS Mincho" w:hAnsi="Verdana"/>
      <w:sz w:val="24"/>
      <w:szCs w:val="24"/>
    </w:rPr>
  </w:style>
  <w:style w:type="character" w:customStyle="1" w:styleId="apple-converted-space">
    <w:name w:val="apple-converted-space"/>
    <w:rsid w:val="00CA2510"/>
    <w:rPr>
      <w:rFonts w:cs="Times New Roman"/>
    </w:rPr>
  </w:style>
  <w:style w:type="character" w:styleId="PlaceholderText">
    <w:name w:val="Placeholder Text"/>
    <w:rsid w:val="00CA2510"/>
    <w:rPr>
      <w:rFonts w:cs="Times New Roman"/>
      <w:color w:val="808080"/>
    </w:rPr>
  </w:style>
  <w:style w:type="character" w:styleId="CommentReference">
    <w:name w:val="annotation reference"/>
    <w:rsid w:val="00CA25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CA25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MS Mincho"/>
      <w:sz w:val="20"/>
    </w:rPr>
  </w:style>
  <w:style w:type="character" w:customStyle="1" w:styleId="CommentTextChar">
    <w:name w:val="Comment Text Char"/>
    <w:basedOn w:val="DefaultParagraphFont"/>
    <w:link w:val="CommentText"/>
    <w:rsid w:val="00CA2510"/>
    <w:rPr>
      <w:rFonts w:eastAsia="MS Mincho"/>
    </w:rPr>
  </w:style>
  <w:style w:type="paragraph" w:styleId="CommentSubject">
    <w:name w:val="annotation subject"/>
    <w:basedOn w:val="CommentText"/>
    <w:next w:val="CommentText"/>
    <w:link w:val="CommentSubjectChar"/>
    <w:rsid w:val="00CA25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A2510"/>
    <w:rPr>
      <w:rFonts w:eastAsia="MS Mincho"/>
      <w:b/>
      <w:bCs/>
    </w:rPr>
  </w:style>
  <w:style w:type="paragraph" w:styleId="Revision">
    <w:name w:val="Revision"/>
    <w:hidden/>
    <w:rsid w:val="00CA2510"/>
    <w:rPr>
      <w:rFonts w:eastAsia="MS Mincho"/>
      <w:sz w:val="24"/>
      <w:szCs w:val="24"/>
    </w:rPr>
  </w:style>
  <w:style w:type="paragraph" w:styleId="FootnoteText">
    <w:name w:val="footnote text"/>
    <w:basedOn w:val="Normal"/>
    <w:link w:val="FootnoteTextChar"/>
    <w:rsid w:val="00CA25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MS Mincho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CA2510"/>
    <w:rPr>
      <w:rFonts w:eastAsia="MS Mincho"/>
      <w:sz w:val="24"/>
      <w:szCs w:val="24"/>
    </w:rPr>
  </w:style>
  <w:style w:type="character" w:styleId="FootnoteReference">
    <w:name w:val="footnote reference"/>
    <w:basedOn w:val="DefaultParagraphFont"/>
    <w:rsid w:val="00CA2510"/>
    <w:rPr>
      <w:vertAlign w:val="superscript"/>
    </w:rPr>
  </w:style>
  <w:style w:type="table" w:styleId="TableGrid">
    <w:name w:val="Table Grid"/>
    <w:basedOn w:val="TableNormal"/>
    <w:rsid w:val="00AD0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A2510"/>
    <w:rPr>
      <w:rFonts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33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CA2510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autoRedefine/>
    <w:qFormat/>
    <w:rsid w:val="00CA251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overflowPunct/>
      <w:autoSpaceDE/>
      <w:autoSpaceDN/>
      <w:adjustRightInd/>
      <w:spacing w:after="120"/>
      <w:jc w:val="center"/>
      <w:textAlignment w:val="auto"/>
    </w:pPr>
    <w:rPr>
      <w:rFonts w:eastAsia="MS Mincho"/>
      <w:b/>
      <w:sz w:val="24"/>
      <w:szCs w:val="24"/>
      <w:lang w:eastAsia="de-DE"/>
    </w:rPr>
  </w:style>
  <w:style w:type="paragraph" w:customStyle="1" w:styleId="SPIEreferencelisting">
    <w:name w:val="SPIE reference listing"/>
    <w:basedOn w:val="Normal"/>
    <w:rsid w:val="00CA2510"/>
    <w:pPr>
      <w:numPr>
        <w:numId w:val="14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PMingLiU"/>
      <w:sz w:val="24"/>
      <w:lang w:eastAsia="de-DE"/>
    </w:rPr>
  </w:style>
  <w:style w:type="paragraph" w:styleId="ListParagraph">
    <w:name w:val="List Paragraph"/>
    <w:basedOn w:val="Normal"/>
    <w:qFormat/>
    <w:rsid w:val="00CA25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mbria" w:hAnsi="Cambria"/>
      <w:szCs w:val="22"/>
      <w:lang w:val="en-GB"/>
    </w:rPr>
  </w:style>
  <w:style w:type="paragraph" w:customStyle="1" w:styleId="NoteLevel21">
    <w:name w:val="Note Level 21"/>
    <w:basedOn w:val="Normal"/>
    <w:rsid w:val="00CA2510"/>
    <w:pPr>
      <w:keepNext/>
      <w:tabs>
        <w:tab w:val="clear" w:pos="360"/>
        <w:tab w:val="clear" w:pos="1080"/>
        <w:tab w:val="clear" w:pos="1440"/>
        <w:tab w:val="num" w:pos="720"/>
      </w:tabs>
      <w:overflowPunct/>
      <w:autoSpaceDE/>
      <w:autoSpaceDN/>
      <w:adjustRightInd/>
      <w:spacing w:before="0"/>
      <w:ind w:left="1080" w:hanging="360"/>
      <w:contextualSpacing/>
      <w:jc w:val="both"/>
      <w:textAlignment w:val="auto"/>
      <w:outlineLvl w:val="1"/>
    </w:pPr>
    <w:rPr>
      <w:rFonts w:ascii="Verdana" w:eastAsia="MS Mincho" w:hAnsi="Verdana"/>
      <w:sz w:val="24"/>
      <w:szCs w:val="24"/>
    </w:rPr>
  </w:style>
  <w:style w:type="character" w:customStyle="1" w:styleId="apple-converted-space">
    <w:name w:val="apple-converted-space"/>
    <w:rsid w:val="00CA2510"/>
    <w:rPr>
      <w:rFonts w:cs="Times New Roman"/>
    </w:rPr>
  </w:style>
  <w:style w:type="character" w:styleId="PlaceholderText">
    <w:name w:val="Placeholder Text"/>
    <w:rsid w:val="00CA2510"/>
    <w:rPr>
      <w:rFonts w:cs="Times New Roman"/>
      <w:color w:val="808080"/>
    </w:rPr>
  </w:style>
  <w:style w:type="character" w:styleId="CommentReference">
    <w:name w:val="annotation reference"/>
    <w:rsid w:val="00CA25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CA25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MS Mincho"/>
      <w:sz w:val="20"/>
    </w:rPr>
  </w:style>
  <w:style w:type="character" w:customStyle="1" w:styleId="CommentTextChar">
    <w:name w:val="Comment Text Char"/>
    <w:basedOn w:val="DefaultParagraphFont"/>
    <w:link w:val="CommentText"/>
    <w:rsid w:val="00CA2510"/>
    <w:rPr>
      <w:rFonts w:eastAsia="MS Mincho"/>
    </w:rPr>
  </w:style>
  <w:style w:type="paragraph" w:styleId="CommentSubject">
    <w:name w:val="annotation subject"/>
    <w:basedOn w:val="CommentText"/>
    <w:next w:val="CommentText"/>
    <w:link w:val="CommentSubjectChar"/>
    <w:rsid w:val="00CA25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A2510"/>
    <w:rPr>
      <w:rFonts w:eastAsia="MS Mincho"/>
      <w:b/>
      <w:bCs/>
    </w:rPr>
  </w:style>
  <w:style w:type="paragraph" w:styleId="Revision">
    <w:name w:val="Revision"/>
    <w:hidden/>
    <w:rsid w:val="00CA2510"/>
    <w:rPr>
      <w:rFonts w:eastAsia="MS Mincho"/>
      <w:sz w:val="24"/>
      <w:szCs w:val="24"/>
    </w:rPr>
  </w:style>
  <w:style w:type="paragraph" w:styleId="FootnoteText">
    <w:name w:val="footnote text"/>
    <w:basedOn w:val="Normal"/>
    <w:link w:val="FootnoteTextChar"/>
    <w:rsid w:val="00CA251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eastAsia="MS Mincho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CA2510"/>
    <w:rPr>
      <w:rFonts w:eastAsia="MS Mincho"/>
      <w:sz w:val="24"/>
      <w:szCs w:val="24"/>
    </w:rPr>
  </w:style>
  <w:style w:type="character" w:styleId="FootnoteReference">
    <w:name w:val="footnote reference"/>
    <w:basedOn w:val="DefaultParagraphFont"/>
    <w:rsid w:val="00CA2510"/>
    <w:rPr>
      <w:vertAlign w:val="superscript"/>
    </w:rPr>
  </w:style>
  <w:style w:type="table" w:styleId="TableGrid">
    <w:name w:val="Table Grid"/>
    <w:basedOn w:val="TableNormal"/>
    <w:rsid w:val="00AD0C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image" Target="media/image17.png"/><Relationship Id="rId26" Type="http://schemas.openxmlformats.org/officeDocument/2006/relationships/image" Target="media/image18.png"/><Relationship Id="rId27" Type="http://schemas.openxmlformats.org/officeDocument/2006/relationships/image" Target="media/image19.png"/><Relationship Id="rId28" Type="http://schemas.openxmlformats.org/officeDocument/2006/relationships/image" Target="media/image20.png"/><Relationship Id="rId29" Type="http://schemas.openxmlformats.org/officeDocument/2006/relationships/image" Target="media/image21.png"/><Relationship Id="rId30" Type="http://schemas.openxmlformats.org/officeDocument/2006/relationships/footer" Target="footer1.xml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F07048-A7B1-8A48-A059-664946253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2437</Words>
  <Characters>13895</Characters>
  <Application>Microsoft Macintosh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16300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Philippe Hanhart</cp:lastModifiedBy>
  <cp:revision>6</cp:revision>
  <cp:lastPrinted>1900-12-31T23:00:00Z</cp:lastPrinted>
  <dcterms:created xsi:type="dcterms:W3CDTF">2012-10-11T08:30:00Z</dcterms:created>
  <dcterms:modified xsi:type="dcterms:W3CDTF">2012-10-12T11:25:00Z</dcterms:modified>
</cp:coreProperties>
</file>