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A67C4C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5093DF0" wp14:editId="7E9A0C6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ZbN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KhZls0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 wp14:anchorId="76D9F087" wp14:editId="21ED5EA9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 wp14:anchorId="2A55375D" wp14:editId="2239A69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971DF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 w:rsidRPr="00971DF2">
              <w:rPr>
                <w:lang w:val="en-CA"/>
              </w:rPr>
              <w:t>B</w:t>
            </w:r>
            <w:r w:rsidR="00971DF2" w:rsidRPr="00971DF2">
              <w:rPr>
                <w:u w:val="single"/>
                <w:lang w:val="en-CA"/>
              </w:rPr>
              <w:t>0057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140D60" w:rsidP="0050292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bCs/>
                <w:lang w:val="en-CA"/>
              </w:rPr>
              <w:t xml:space="preserve">3D-CE3.a related: </w:t>
            </w:r>
            <w:r w:rsidR="00502920">
              <w:rPr>
                <w:b/>
                <w:bCs/>
                <w:lang w:val="en-CA"/>
              </w:rPr>
              <w:t xml:space="preserve">On </w:t>
            </w:r>
            <w:r>
              <w:rPr>
                <w:b/>
                <w:bCs/>
                <w:lang w:val="en-CA"/>
              </w:rPr>
              <w:t>inside-view motion prediction for 3D-AVC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E21F20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32201D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347430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Li Zhang</w:t>
            </w:r>
            <w:r w:rsidR="00E61DAC" w:rsidRPr="005B217D">
              <w:rPr>
                <w:szCs w:val="22"/>
                <w:lang w:val="en-CA"/>
              </w:rPr>
              <w:br/>
            </w:r>
            <w:r w:rsidR="0032201D">
              <w:rPr>
                <w:szCs w:val="22"/>
                <w:lang w:val="en-CA"/>
              </w:rPr>
              <w:t>Ying Chen</w:t>
            </w:r>
            <w:r w:rsidR="00E61DAC" w:rsidRPr="005B217D">
              <w:rPr>
                <w:szCs w:val="22"/>
                <w:lang w:val="en-CA"/>
              </w:rPr>
              <w:br/>
            </w:r>
            <w:r w:rsidR="001658A8">
              <w:rPr>
                <w:szCs w:val="22"/>
                <w:lang w:val="en-CA"/>
              </w:rPr>
              <w:t>Liu He</w:t>
            </w:r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</w:p>
          <w:p w:rsidR="0032201D" w:rsidRPr="005B217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 w:rsidRPr="002F5939">
              <w:rPr>
                <w:szCs w:val="22"/>
              </w:rPr>
              <w:t>5775 Morehouse Dr</w:t>
            </w:r>
            <w:r>
              <w:rPr>
                <w:szCs w:val="22"/>
              </w:rPr>
              <w:t>ive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347430" w:rsidRDefault="00347430" w:rsidP="00347430">
            <w:pPr>
              <w:spacing w:before="60" w:after="60"/>
              <w:rPr>
                <w:rStyle w:val="Hyperlink"/>
                <w:szCs w:val="22"/>
              </w:rPr>
            </w:pPr>
            <w:r>
              <w:rPr>
                <w:szCs w:val="22"/>
              </w:rPr>
              <w:t>+1-858-651-6660</w:t>
            </w:r>
            <w:r>
              <w:rPr>
                <w:szCs w:val="22"/>
              </w:rPr>
              <w:br/>
            </w:r>
            <w:hyperlink r:id="rId10" w:history="1">
              <w:r w:rsidRPr="00544B1F">
                <w:rPr>
                  <w:rStyle w:val="Hyperlink"/>
                  <w:szCs w:val="22"/>
                </w:rPr>
                <w:t>lizhang@qti.qualcomm.com</w:t>
              </w:r>
            </w:hyperlink>
          </w:p>
          <w:p w:rsidR="0032201D" w:rsidRDefault="0032201D" w:rsidP="0032201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1-858-845-6589</w:t>
            </w:r>
          </w:p>
          <w:p w:rsidR="0032201D" w:rsidRDefault="00995336" w:rsidP="0029379A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29379A" w:rsidRPr="00161458">
                <w:rPr>
                  <w:rStyle w:val="Hyperlink"/>
                  <w:szCs w:val="22"/>
                  <w:lang w:val="en-CA"/>
                </w:rPr>
                <w:t>cheny@qti.qualcomm.com</w:t>
              </w:r>
            </w:hyperlink>
          </w:p>
          <w:p w:rsidR="0029379A" w:rsidRPr="005B217D" w:rsidRDefault="0029379A" w:rsidP="00347430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32201D" w:rsidRPr="005B217D">
        <w:tc>
          <w:tcPr>
            <w:tcW w:w="1458" w:type="dxa"/>
          </w:tcPr>
          <w:p w:rsidR="0032201D" w:rsidRPr="005B217D" w:rsidRDefault="0032201D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32201D" w:rsidRPr="005B217D" w:rsidRDefault="0032201D" w:rsidP="00B551F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29379A" w:rsidRDefault="00D85617" w:rsidP="00952E2F">
      <w:pPr>
        <w:jc w:val="both"/>
        <w:rPr>
          <w:lang w:val="en-CA"/>
        </w:rPr>
      </w:pPr>
      <w:r>
        <w:rPr>
          <w:lang w:val="en-CA"/>
        </w:rPr>
        <w:t>In the current 3D-</w:t>
      </w:r>
      <w:r w:rsidR="000D019B">
        <w:rPr>
          <w:lang w:val="en-CA"/>
        </w:rPr>
        <w:t>A</w:t>
      </w:r>
      <w:r>
        <w:rPr>
          <w:lang w:val="en-CA"/>
        </w:rPr>
        <w:t xml:space="preserve">VC, </w:t>
      </w:r>
      <w:r w:rsidR="000D019B">
        <w:t>inside-view motion prediction</w:t>
      </w:r>
      <w:r>
        <w:rPr>
          <w:lang w:val="en-CA"/>
        </w:rPr>
        <w:t xml:space="preserve"> </w:t>
      </w:r>
      <w:r w:rsidR="00D46AE8">
        <w:rPr>
          <w:lang w:val="en-CA"/>
        </w:rPr>
        <w:t xml:space="preserve">(IVMP) </w:t>
      </w:r>
      <w:r>
        <w:rPr>
          <w:lang w:val="en-CA"/>
        </w:rPr>
        <w:t>is employed for depth coding</w:t>
      </w:r>
      <w:r w:rsidR="00042104">
        <w:rPr>
          <w:lang w:val="en-CA"/>
        </w:rPr>
        <w:t xml:space="preserve">. </w:t>
      </w:r>
      <w:r w:rsidR="00563CB8">
        <w:rPr>
          <w:lang w:val="en-CA"/>
        </w:rPr>
        <w:t xml:space="preserve">A flag </w:t>
      </w:r>
      <w:r w:rsidR="00502920">
        <w:rPr>
          <w:lang w:val="en-CA"/>
        </w:rPr>
        <w:t xml:space="preserve">to signal the </w:t>
      </w:r>
      <w:r w:rsidR="00D46AE8">
        <w:t xml:space="preserve">IVMP mode is conditionally </w:t>
      </w:r>
      <w:r w:rsidR="00563CB8">
        <w:t>transmitted</w:t>
      </w:r>
      <w:r w:rsidR="00D46AE8">
        <w:t xml:space="preserve"> based on the </w:t>
      </w:r>
      <w:r w:rsidR="003B2885">
        <w:t>coding modes</w:t>
      </w:r>
      <w:r w:rsidR="00D46AE8">
        <w:t xml:space="preserve"> and reference picture type of co-located macroblock</w:t>
      </w:r>
      <w:r w:rsidR="003B2885">
        <w:t>(</w:t>
      </w:r>
      <w:r w:rsidR="00D46AE8">
        <w:t>s</w:t>
      </w:r>
      <w:r w:rsidR="003B2885">
        <w:t>)</w:t>
      </w:r>
      <w:r w:rsidR="00D46AE8">
        <w:t xml:space="preserve"> in the associated texture view</w:t>
      </w:r>
      <w:r w:rsidR="00502920">
        <w:t xml:space="preserve"> component</w:t>
      </w:r>
      <w:r w:rsidR="0018698F">
        <w:t xml:space="preserve">. </w:t>
      </w:r>
      <w:r w:rsidR="00D46AE8">
        <w:t xml:space="preserve">Although such a conditional </w:t>
      </w:r>
      <w:proofErr w:type="spellStart"/>
      <w:r w:rsidR="00D46AE8">
        <w:t>signalling</w:t>
      </w:r>
      <w:proofErr w:type="spellEnd"/>
      <w:r w:rsidR="00D46AE8">
        <w:t xml:space="preserve"> could save some </w:t>
      </w:r>
      <w:r w:rsidR="0026008D">
        <w:t xml:space="preserve">unnecessary </w:t>
      </w:r>
      <w:r w:rsidR="00D46AE8">
        <w:t>bits for the IVMP mode</w:t>
      </w:r>
      <w:r w:rsidR="0018698F">
        <w:t xml:space="preserve">, </w:t>
      </w:r>
      <w:r w:rsidR="00D46AE8">
        <w:t xml:space="preserve">it </w:t>
      </w:r>
      <w:r w:rsidR="00502920">
        <w:t xml:space="preserve">introduces additional </w:t>
      </w:r>
      <w:r w:rsidR="00D46AE8">
        <w:t xml:space="preserve">parsing </w:t>
      </w:r>
      <w:r w:rsidR="007F08AB">
        <w:t xml:space="preserve">dependency </w:t>
      </w:r>
      <w:r w:rsidR="00502920">
        <w:t xml:space="preserve">to the texture at the </w:t>
      </w:r>
      <w:r w:rsidR="003F7EBD">
        <w:t xml:space="preserve">macroblock </w:t>
      </w:r>
      <w:r w:rsidR="00502920">
        <w:t>level</w:t>
      </w:r>
      <w:r w:rsidR="00D46AE8">
        <w:t>.</w:t>
      </w:r>
      <w:r w:rsidR="0018698F">
        <w:t xml:space="preserve"> </w:t>
      </w:r>
      <w:r w:rsidR="00D475A5">
        <w:t xml:space="preserve">Therefore, it is proposed to remove the conditional </w:t>
      </w:r>
      <w:proofErr w:type="spellStart"/>
      <w:r w:rsidR="00D475A5">
        <w:t>signa</w:t>
      </w:r>
      <w:r w:rsidR="007F08AB">
        <w:t>l</w:t>
      </w:r>
      <w:r w:rsidR="00D475A5">
        <w:t>ling</w:t>
      </w:r>
      <w:proofErr w:type="spellEnd"/>
      <w:r w:rsidR="00D475A5">
        <w:t xml:space="preserve"> of the </w:t>
      </w:r>
      <w:proofErr w:type="spellStart"/>
      <w:r w:rsidR="00D475A5">
        <w:t>IVMP</w:t>
      </w:r>
      <w:proofErr w:type="spellEnd"/>
      <w:r w:rsidR="00D475A5">
        <w:t xml:space="preserve"> mode and </w:t>
      </w:r>
      <w:r w:rsidR="0026008D">
        <w:t>the IVMP flag is always transmitted with no need to check the mode information of co-located texture. E</w:t>
      </w:r>
      <w:r w:rsidR="00D475A5">
        <w:t>xperimental results show that the coding loss is minor, i.e., 0.05% for synthesized views</w:t>
      </w:r>
      <w:r w:rsidR="001865EB">
        <w:rPr>
          <w:lang w:val="en-CA"/>
        </w:rPr>
        <w:t xml:space="preserve">. </w:t>
      </w:r>
      <w:r w:rsidR="002842E2">
        <w:rPr>
          <w:lang w:val="en-CA"/>
        </w:rPr>
        <w:t xml:space="preserve"> </w:t>
      </w:r>
    </w:p>
    <w:p w:rsidR="00FF648A" w:rsidRDefault="00FF648A" w:rsidP="00FF648A">
      <w:pPr>
        <w:pStyle w:val="Heading1"/>
        <w:rPr>
          <w:lang w:val="en-CA"/>
        </w:rPr>
      </w:pPr>
      <w:r>
        <w:rPr>
          <w:lang w:val="en-CA"/>
        </w:rPr>
        <w:t>Introduction</w:t>
      </w:r>
    </w:p>
    <w:p w:rsidR="00E6790F" w:rsidRDefault="00974551" w:rsidP="00D85617">
      <w:pPr>
        <w:spacing w:before="120"/>
        <w:jc w:val="both"/>
      </w:pPr>
      <w:r>
        <w:rPr>
          <w:lang w:val="en-CA"/>
        </w:rPr>
        <w:t>In the current 3D-</w:t>
      </w:r>
      <w:r w:rsidR="004641DA">
        <w:rPr>
          <w:lang w:val="en-CA"/>
        </w:rPr>
        <w:t>A</w:t>
      </w:r>
      <w:r w:rsidR="007023EA">
        <w:rPr>
          <w:lang w:val="en-CA"/>
        </w:rPr>
        <w:t>VC</w:t>
      </w:r>
      <w:r>
        <w:rPr>
          <w:lang w:val="en-CA"/>
        </w:rPr>
        <w:t xml:space="preserve">, </w:t>
      </w:r>
      <w:r w:rsidR="004641DA">
        <w:t>inside-view motion prediction</w:t>
      </w:r>
      <w:r w:rsidR="004641DA">
        <w:rPr>
          <w:lang w:val="en-CA"/>
        </w:rPr>
        <w:t xml:space="preserve"> (IVMP) is </w:t>
      </w:r>
      <w:r w:rsidR="002035DE">
        <w:rPr>
          <w:lang w:val="en-CA"/>
        </w:rPr>
        <w:t xml:space="preserve">enabled for depth view coding. </w:t>
      </w:r>
      <w:r w:rsidR="002E655C">
        <w:t xml:space="preserve">When </w:t>
      </w:r>
      <w:r w:rsidR="007F55EB">
        <w:t>IVMP</w:t>
      </w:r>
      <w:r w:rsidR="002E655C">
        <w:t xml:space="preserve"> is enabled, the </w:t>
      </w:r>
      <w:r w:rsidR="002850E2" w:rsidRPr="00B073F6">
        <w:t xml:space="preserve">corresponding motion </w:t>
      </w:r>
      <w:r w:rsidR="00AD369A">
        <w:t>information</w:t>
      </w:r>
      <w:r w:rsidR="002850E2" w:rsidRPr="00B073F6">
        <w:t xml:space="preserve"> from the </w:t>
      </w:r>
      <w:r w:rsidR="00506A89">
        <w:t>texture view</w:t>
      </w:r>
      <w:r w:rsidR="002850E2" w:rsidRPr="00B073F6">
        <w:t xml:space="preserve"> </w:t>
      </w:r>
      <w:r w:rsidR="00506A89">
        <w:t>could be inherited</w:t>
      </w:r>
      <w:r w:rsidR="002850E2" w:rsidRPr="00B073F6">
        <w:t>.</w:t>
      </w:r>
      <w:r w:rsidR="00AD369A">
        <w:t xml:space="preserve"> </w:t>
      </w:r>
      <w:r w:rsidR="008A70C7">
        <w:t>For symmetric coding between texture and depth views, the motion information of co-located macroblock in the texture view is inherited. While f</w:t>
      </w:r>
      <w:r w:rsidR="00AD369A">
        <w:t xml:space="preserve">or the asymmetric coding, one macroblock in the depth view corresponds to four </w:t>
      </w:r>
      <w:proofErr w:type="spellStart"/>
      <w:r w:rsidR="00AD369A">
        <w:t>macroblocks</w:t>
      </w:r>
      <w:proofErr w:type="spellEnd"/>
      <w:r w:rsidR="00AD369A">
        <w:t xml:space="preserve"> in the associated texture view</w:t>
      </w:r>
      <w:r w:rsidR="004A5B6A">
        <w:t xml:space="preserve"> since </w:t>
      </w:r>
      <w:r w:rsidR="00F05688">
        <w:t xml:space="preserve">both </w:t>
      </w:r>
      <w:r w:rsidR="004A5B6A">
        <w:t xml:space="preserve">width and height </w:t>
      </w:r>
      <w:r w:rsidR="00F05688">
        <w:t xml:space="preserve">of depth views </w:t>
      </w:r>
      <w:r w:rsidR="004A5B6A">
        <w:t xml:space="preserve">are </w:t>
      </w:r>
      <w:r w:rsidR="00D027F4">
        <w:t xml:space="preserve">reduced by half </w:t>
      </w:r>
      <w:r w:rsidR="00F05688">
        <w:t>compared to those of texture views</w:t>
      </w:r>
      <w:r w:rsidR="00974CA0">
        <w:t>.</w:t>
      </w:r>
      <w:r w:rsidR="00881EEB">
        <w:t xml:space="preserve"> </w:t>
      </w:r>
      <w:r w:rsidR="008A70C7">
        <w:t>To signal the IVMP mode, one flag may be signaled in the macroblock level. However, i</w:t>
      </w:r>
      <w:r w:rsidR="00881EEB">
        <w:t>f one of the following conditions is true, the IVMP flag is not transmitted and inferred to be 0.</w:t>
      </w:r>
    </w:p>
    <w:p w:rsidR="00881EEB" w:rsidRPr="009418DC" w:rsidRDefault="00881EEB" w:rsidP="00881EEB">
      <w:pPr>
        <w:tabs>
          <w:tab w:val="left" w:pos="400"/>
          <w:tab w:val="left" w:pos="1191"/>
          <w:tab w:val="left" w:pos="1588"/>
          <w:tab w:val="left" w:pos="1985"/>
        </w:tabs>
        <w:ind w:left="360" w:hanging="360"/>
        <w:jc w:val="both"/>
        <w:rPr>
          <w:bCs/>
          <w:color w:val="000000"/>
          <w:lang w:val="en-GB" w:eastAsia="ja-JP"/>
        </w:rPr>
      </w:pPr>
      <w:r w:rsidRPr="009418DC">
        <w:rPr>
          <w:color w:val="000000"/>
          <w:lang w:val="en-GB"/>
        </w:rPr>
        <w:t>–</w:t>
      </w:r>
      <w:r w:rsidRPr="009418DC">
        <w:rPr>
          <w:color w:val="000000"/>
          <w:lang w:val="en-GB"/>
        </w:rPr>
        <w:tab/>
      </w:r>
      <w:r w:rsidR="008A70C7">
        <w:rPr>
          <w:color w:val="000000"/>
          <w:lang w:val="en-GB"/>
        </w:rPr>
        <w:t xml:space="preserve">For </w:t>
      </w:r>
      <w:r w:rsidR="008A70C7">
        <w:t xml:space="preserve">symmetric </w:t>
      </w:r>
      <w:r w:rsidR="008A70C7">
        <w:rPr>
          <w:color w:val="000000"/>
          <w:lang w:val="en-GB"/>
        </w:rPr>
        <w:t>coding</w:t>
      </w:r>
      <w:r w:rsidRPr="009418DC">
        <w:rPr>
          <w:color w:val="000000"/>
          <w:lang w:val="en-GB"/>
        </w:rPr>
        <w:t xml:space="preserve">, the co-located macroblock in the </w:t>
      </w:r>
      <w:r w:rsidRPr="009418DC">
        <w:rPr>
          <w:color w:val="000000"/>
        </w:rPr>
        <w:t xml:space="preserve">texture view is intra coded, or view synthesis prediction is </w:t>
      </w:r>
      <w:r w:rsidR="00F97A49">
        <w:rPr>
          <w:color w:val="000000"/>
        </w:rPr>
        <w:t>used</w:t>
      </w:r>
      <w:r w:rsidR="00F97A49" w:rsidRPr="009418DC">
        <w:rPr>
          <w:color w:val="000000"/>
        </w:rPr>
        <w:t xml:space="preserve"> </w:t>
      </w:r>
      <w:r w:rsidRPr="009418DC">
        <w:rPr>
          <w:color w:val="000000"/>
        </w:rPr>
        <w:t xml:space="preserve">for any partition in current macroblock. </w:t>
      </w:r>
    </w:p>
    <w:p w:rsidR="00881EEB" w:rsidRPr="009418DC" w:rsidRDefault="00881EEB" w:rsidP="00881EEB">
      <w:pPr>
        <w:tabs>
          <w:tab w:val="left" w:pos="400"/>
          <w:tab w:val="left" w:pos="1191"/>
          <w:tab w:val="left" w:pos="1588"/>
          <w:tab w:val="left" w:pos="1985"/>
        </w:tabs>
        <w:ind w:left="360" w:hanging="360"/>
        <w:jc w:val="both"/>
        <w:rPr>
          <w:bCs/>
          <w:color w:val="000000"/>
          <w:lang w:val="en-GB" w:eastAsia="ja-JP"/>
        </w:rPr>
      </w:pPr>
      <w:r w:rsidRPr="009418DC">
        <w:rPr>
          <w:color w:val="000000"/>
          <w:lang w:val="en-GB"/>
        </w:rPr>
        <w:t>–</w:t>
      </w:r>
      <w:r w:rsidRPr="009418DC">
        <w:rPr>
          <w:color w:val="000000"/>
          <w:lang w:val="en-GB"/>
        </w:rPr>
        <w:tab/>
      </w:r>
      <w:r w:rsidR="008A70C7">
        <w:rPr>
          <w:color w:val="000000"/>
          <w:lang w:val="en-GB"/>
        </w:rPr>
        <w:t xml:space="preserve">For </w:t>
      </w:r>
      <w:r w:rsidR="008A70C7">
        <w:t xml:space="preserve">asymmetric </w:t>
      </w:r>
      <w:r w:rsidR="008A70C7">
        <w:rPr>
          <w:color w:val="000000"/>
          <w:lang w:val="en-GB"/>
        </w:rPr>
        <w:t>coding,</w:t>
      </w:r>
      <w:r w:rsidR="008A70C7" w:rsidRPr="009418DC">
        <w:rPr>
          <w:color w:val="000000"/>
          <w:lang w:val="en-GB"/>
        </w:rPr>
        <w:t xml:space="preserve"> </w:t>
      </w:r>
      <w:r w:rsidRPr="009418DC">
        <w:rPr>
          <w:color w:val="000000"/>
          <w:lang w:val="en-GB"/>
        </w:rPr>
        <w:t xml:space="preserve">if </w:t>
      </w:r>
      <w:r w:rsidRPr="009418DC">
        <w:rPr>
          <w:color w:val="000000"/>
        </w:rPr>
        <w:t xml:space="preserve">any of the four co-located </w:t>
      </w:r>
      <w:proofErr w:type="spellStart"/>
      <w:r w:rsidRPr="009418DC">
        <w:rPr>
          <w:color w:val="000000"/>
        </w:rPr>
        <w:t>macroblocks</w:t>
      </w:r>
      <w:proofErr w:type="spellEnd"/>
      <w:r w:rsidRPr="009418DC">
        <w:rPr>
          <w:color w:val="000000"/>
        </w:rPr>
        <w:t xml:space="preserve"> in the texture view is intra coded, or its </w:t>
      </w:r>
      <w:proofErr w:type="spellStart"/>
      <w:r w:rsidRPr="009418DC">
        <w:rPr>
          <w:color w:val="000000"/>
        </w:rPr>
        <w:t>mb_type</w:t>
      </w:r>
      <w:proofErr w:type="spellEnd"/>
      <w:r w:rsidRPr="009418DC">
        <w:rPr>
          <w:color w:val="000000"/>
        </w:rPr>
        <w:t xml:space="preserve"> equal to equal to P_8x8, P_8x8ref0, or B_8x8, or view synthesis prediction is included.</w:t>
      </w:r>
      <w:r w:rsidRPr="009418DC">
        <w:rPr>
          <w:bCs/>
          <w:color w:val="000000"/>
          <w:lang w:val="en-GB" w:eastAsia="ja-JP"/>
        </w:rPr>
        <w:t xml:space="preserve"> </w:t>
      </w:r>
    </w:p>
    <w:p w:rsidR="004A07FB" w:rsidRDefault="008A70C7" w:rsidP="00D85617">
      <w:pPr>
        <w:jc w:val="both"/>
        <w:rPr>
          <w:lang w:val="en-CA"/>
        </w:rPr>
      </w:pPr>
      <w:r>
        <w:rPr>
          <w:lang w:val="en-GB"/>
        </w:rPr>
        <w:t xml:space="preserve">With the conditional signalling of the IVMP mode, coding bits </w:t>
      </w:r>
      <w:r w:rsidR="00F97A49">
        <w:rPr>
          <w:lang w:val="en-GB"/>
        </w:rPr>
        <w:t xml:space="preserve">regarding to unnecessary IVMP signalling </w:t>
      </w:r>
      <w:r>
        <w:rPr>
          <w:lang w:val="en-GB"/>
        </w:rPr>
        <w:t xml:space="preserve">could be saved. </w:t>
      </w:r>
      <w:r w:rsidR="00E1148C">
        <w:rPr>
          <w:lang w:val="en-CA"/>
        </w:rPr>
        <w:t>However,</w:t>
      </w:r>
      <w:r w:rsidR="00FC0C4D">
        <w:rPr>
          <w:lang w:val="en-CA"/>
        </w:rPr>
        <w:t xml:space="preserve"> </w:t>
      </w:r>
      <w:r w:rsidR="001641B9">
        <w:rPr>
          <w:lang w:val="en-CA"/>
        </w:rPr>
        <w:t xml:space="preserve">it also </w:t>
      </w:r>
      <w:r w:rsidR="00F97A49">
        <w:rPr>
          <w:lang w:val="en-CA"/>
        </w:rPr>
        <w:t>leads to</w:t>
      </w:r>
      <w:r w:rsidR="001641B9">
        <w:rPr>
          <w:lang w:val="en-CA"/>
        </w:rPr>
        <w:t xml:space="preserve"> the parsing </w:t>
      </w:r>
      <w:r w:rsidR="00537C51">
        <w:rPr>
          <w:lang w:val="en-CA"/>
        </w:rPr>
        <w:t xml:space="preserve">dependency </w:t>
      </w:r>
      <w:r w:rsidR="001641B9">
        <w:rPr>
          <w:lang w:val="en-CA"/>
        </w:rPr>
        <w:t>problem where the parsing process of the flag relies on the coding mode and reference picture type of co-located macroblock(s)</w:t>
      </w:r>
      <w:r w:rsidR="00635CB2">
        <w:rPr>
          <w:lang w:val="en-CA"/>
        </w:rPr>
        <w:t xml:space="preserve">. </w:t>
      </w:r>
    </w:p>
    <w:p w:rsidR="00F35C31" w:rsidRDefault="00F35C31" w:rsidP="00F35C31">
      <w:pPr>
        <w:pStyle w:val="Heading1"/>
        <w:rPr>
          <w:lang w:val="en-CA"/>
        </w:rPr>
      </w:pPr>
      <w:r>
        <w:rPr>
          <w:lang w:val="en-CA"/>
        </w:rPr>
        <w:lastRenderedPageBreak/>
        <w:t>Proposal</w:t>
      </w:r>
    </w:p>
    <w:p w:rsidR="00DE4C11" w:rsidRPr="00AC4AD9" w:rsidRDefault="00930257" w:rsidP="00D26BA6">
      <w:pPr>
        <w:jc w:val="both"/>
        <w:rPr>
          <w:lang w:val="en-CA"/>
        </w:rPr>
      </w:pPr>
      <w:r>
        <w:rPr>
          <w:lang w:val="en-CA"/>
        </w:rPr>
        <w:t xml:space="preserve">It is proposed that </w:t>
      </w:r>
      <w:r w:rsidR="0073204C">
        <w:rPr>
          <w:lang w:val="en-CA"/>
        </w:rPr>
        <w:t xml:space="preserve">the conditional signalling of </w:t>
      </w:r>
      <w:r w:rsidR="00563CB8">
        <w:rPr>
          <w:lang w:val="en-CA"/>
        </w:rPr>
        <w:t xml:space="preserve">the flag </w:t>
      </w:r>
      <w:r w:rsidR="00F97A49">
        <w:rPr>
          <w:lang w:val="en-CA"/>
        </w:rPr>
        <w:t xml:space="preserve">in </w:t>
      </w:r>
      <w:r w:rsidR="00DE4C11">
        <w:rPr>
          <w:lang w:val="en-CA"/>
        </w:rPr>
        <w:t xml:space="preserve">the </w:t>
      </w:r>
      <w:r w:rsidR="00F97A49">
        <w:rPr>
          <w:lang w:val="en-CA"/>
        </w:rPr>
        <w:t xml:space="preserve">IVMP </w:t>
      </w:r>
      <w:r w:rsidR="00563CB8">
        <w:rPr>
          <w:lang w:val="en-CA"/>
        </w:rPr>
        <w:t>mode</w:t>
      </w:r>
      <w:r w:rsidR="00DE4C11">
        <w:rPr>
          <w:lang w:val="en-CA"/>
        </w:rPr>
        <w:t xml:space="preserve"> </w:t>
      </w:r>
      <w:r w:rsidR="0073204C">
        <w:rPr>
          <w:lang w:val="en-CA"/>
        </w:rPr>
        <w:t xml:space="preserve">is removed. However, when </w:t>
      </w:r>
      <w:r w:rsidR="004331A1">
        <w:rPr>
          <w:lang w:val="en-CA"/>
        </w:rPr>
        <w:t xml:space="preserve">the </w:t>
      </w:r>
      <w:r w:rsidR="0073204C">
        <w:rPr>
          <w:lang w:val="en-CA"/>
        </w:rPr>
        <w:t xml:space="preserve">above conditions are satisfied, the flag is always set equal to 0 at the encoder side. The context modeling method </w:t>
      </w:r>
      <w:r w:rsidR="00F97A49">
        <w:rPr>
          <w:lang w:val="en-CA"/>
        </w:rPr>
        <w:t>for coding the flag in IVMP mode remains</w:t>
      </w:r>
      <w:r w:rsidR="0073204C">
        <w:rPr>
          <w:lang w:val="en-CA"/>
        </w:rPr>
        <w:t xml:space="preserve"> unchanged.</w:t>
      </w:r>
    </w:p>
    <w:p w:rsidR="00B057FD" w:rsidRDefault="00B057FD" w:rsidP="00B057FD">
      <w:pPr>
        <w:pStyle w:val="Heading1"/>
      </w:pPr>
      <w:r>
        <w:t>Experimental results</w:t>
      </w:r>
    </w:p>
    <w:p w:rsidR="00CA759F" w:rsidRDefault="00CA759F" w:rsidP="00CA759F">
      <w:pPr>
        <w:spacing w:before="240"/>
        <w:jc w:val="both"/>
        <w:rPr>
          <w:szCs w:val="22"/>
          <w:lang w:eastAsia="ja-JP"/>
        </w:rPr>
      </w:pPr>
      <w:r w:rsidRPr="009F13AC">
        <w:rPr>
          <w:szCs w:val="22"/>
          <w:lang w:eastAsia="zh-TW"/>
        </w:rPr>
        <w:t xml:space="preserve">This section provides </w:t>
      </w:r>
      <w:r>
        <w:rPr>
          <w:szCs w:val="22"/>
          <w:lang w:eastAsia="zh-TW"/>
        </w:rPr>
        <w:t xml:space="preserve">the </w:t>
      </w:r>
      <w:r w:rsidRPr="009F13AC">
        <w:rPr>
          <w:szCs w:val="22"/>
          <w:lang w:eastAsia="zh-TW"/>
        </w:rPr>
        <w:t xml:space="preserve">simulation results of the </w:t>
      </w:r>
      <w:r>
        <w:rPr>
          <w:szCs w:val="22"/>
          <w:lang w:eastAsia="zh-TW"/>
        </w:rPr>
        <w:t xml:space="preserve">proposed method </w:t>
      </w:r>
      <w:r w:rsidRPr="009F13AC">
        <w:rPr>
          <w:szCs w:val="22"/>
          <w:lang w:eastAsia="zh-TW"/>
        </w:rPr>
        <w:t>in comparison with the 3D-</w:t>
      </w:r>
      <w:r w:rsidR="00986F98">
        <w:rPr>
          <w:szCs w:val="22"/>
          <w:lang w:eastAsia="zh-TW"/>
        </w:rPr>
        <w:t>A</w:t>
      </w:r>
      <w:r w:rsidRPr="009F13AC">
        <w:rPr>
          <w:szCs w:val="22"/>
          <w:lang w:eastAsia="zh-TW"/>
        </w:rPr>
        <w:t xml:space="preserve">TM anchor. </w:t>
      </w:r>
      <w:r>
        <w:rPr>
          <w:szCs w:val="22"/>
          <w:lang w:eastAsia="zh-TW"/>
        </w:rPr>
        <w:t>T</w:t>
      </w:r>
      <w:r>
        <w:rPr>
          <w:szCs w:val="22"/>
          <w:lang w:eastAsia="ja-JP"/>
        </w:rPr>
        <w:t xml:space="preserve">he proposed method is implemented on top of </w:t>
      </w:r>
      <w:proofErr w:type="spellStart"/>
      <w:r>
        <w:rPr>
          <w:szCs w:val="22"/>
          <w:lang w:eastAsia="ja-JP"/>
        </w:rPr>
        <w:t>3D</w:t>
      </w:r>
      <w:proofErr w:type="spellEnd"/>
      <w:r>
        <w:rPr>
          <w:szCs w:val="22"/>
          <w:lang w:eastAsia="ja-JP"/>
        </w:rPr>
        <w:t>-</w:t>
      </w:r>
      <w:r w:rsidR="00986F98">
        <w:rPr>
          <w:szCs w:val="22"/>
          <w:lang w:eastAsia="ja-JP"/>
        </w:rPr>
        <w:t>A</w:t>
      </w:r>
      <w:r>
        <w:rPr>
          <w:szCs w:val="22"/>
          <w:lang w:eastAsia="ja-JP"/>
        </w:rPr>
        <w:t xml:space="preserve">TM </w:t>
      </w:r>
      <w:r w:rsidR="00986F98">
        <w:rPr>
          <w:szCs w:val="22"/>
          <w:lang w:eastAsia="ja-JP"/>
        </w:rPr>
        <w:t>5</w:t>
      </w:r>
      <w:r>
        <w:rPr>
          <w:szCs w:val="22"/>
          <w:lang w:eastAsia="ja-JP"/>
        </w:rPr>
        <w:t xml:space="preserve">.1 </w:t>
      </w:r>
      <w:r w:rsidR="0011657B">
        <w:rPr>
          <w:szCs w:val="22"/>
          <w:lang w:eastAsia="ja-JP"/>
        </w:rPr>
        <w:fldChar w:fldCharType="begin"/>
      </w:r>
      <w:r w:rsidR="0011657B">
        <w:rPr>
          <w:szCs w:val="22"/>
          <w:lang w:eastAsia="ja-JP"/>
        </w:rPr>
        <w:instrText xml:space="preserve"> REF _Ref336846010 \r \h </w:instrText>
      </w:r>
      <w:r w:rsidR="0011657B">
        <w:rPr>
          <w:szCs w:val="22"/>
          <w:lang w:eastAsia="ja-JP"/>
        </w:rPr>
      </w:r>
      <w:r w:rsidR="0011657B">
        <w:rPr>
          <w:szCs w:val="22"/>
          <w:lang w:eastAsia="ja-JP"/>
        </w:rPr>
        <w:fldChar w:fldCharType="separate"/>
      </w:r>
      <w:r w:rsidR="0011657B">
        <w:rPr>
          <w:szCs w:val="22"/>
          <w:lang w:eastAsia="ja-JP"/>
        </w:rPr>
        <w:t>[2]</w:t>
      </w:r>
      <w:r w:rsidR="0011657B">
        <w:rPr>
          <w:szCs w:val="22"/>
          <w:lang w:eastAsia="ja-JP"/>
        </w:rPr>
        <w:fldChar w:fldCharType="end"/>
      </w:r>
      <w:r w:rsidRPr="009F13AC">
        <w:rPr>
          <w:szCs w:val="22"/>
          <w:lang w:val="x-none" w:eastAsia="ja-JP"/>
        </w:rPr>
        <w:t>.</w:t>
      </w:r>
      <w:r>
        <w:rPr>
          <w:szCs w:val="22"/>
          <w:lang w:eastAsia="ja-JP"/>
        </w:rPr>
        <w:t xml:space="preserve"> </w:t>
      </w:r>
      <w:r w:rsidRPr="004C1DA7">
        <w:rPr>
          <w:szCs w:val="22"/>
          <w:lang w:eastAsia="ja-JP"/>
        </w:rPr>
        <w:t xml:space="preserve">All the simulation tests are performed </w:t>
      </w:r>
      <w:r w:rsidR="00F97A49">
        <w:rPr>
          <w:szCs w:val="22"/>
          <w:lang w:eastAsia="ja-JP"/>
        </w:rPr>
        <w:t>under</w:t>
      </w:r>
      <w:r w:rsidRPr="004C1DA7">
        <w:rPr>
          <w:szCs w:val="22"/>
          <w:lang w:eastAsia="ja-JP"/>
        </w:rPr>
        <w:t xml:space="preserve"> the common test conditions</w:t>
      </w:r>
      <w:r w:rsidR="0011657B">
        <w:rPr>
          <w:szCs w:val="22"/>
          <w:lang w:eastAsia="ja-JP"/>
        </w:rPr>
        <w:t xml:space="preserve"> </w:t>
      </w:r>
      <w:r w:rsidR="0011657B">
        <w:rPr>
          <w:szCs w:val="22"/>
          <w:lang w:eastAsia="ja-JP"/>
        </w:rPr>
        <w:fldChar w:fldCharType="begin"/>
      </w:r>
      <w:r w:rsidR="0011657B">
        <w:rPr>
          <w:szCs w:val="22"/>
          <w:lang w:eastAsia="ja-JP"/>
        </w:rPr>
        <w:instrText xml:space="preserve"> REF _Ref337316313 \r \h </w:instrText>
      </w:r>
      <w:r w:rsidR="0011657B">
        <w:rPr>
          <w:szCs w:val="22"/>
          <w:lang w:eastAsia="ja-JP"/>
        </w:rPr>
      </w:r>
      <w:r w:rsidR="0011657B">
        <w:rPr>
          <w:szCs w:val="22"/>
          <w:lang w:eastAsia="ja-JP"/>
        </w:rPr>
        <w:fldChar w:fldCharType="separate"/>
      </w:r>
      <w:r w:rsidR="0011657B">
        <w:rPr>
          <w:szCs w:val="22"/>
          <w:lang w:eastAsia="ja-JP"/>
        </w:rPr>
        <w:t>[3]</w:t>
      </w:r>
      <w:r w:rsidR="0011657B">
        <w:rPr>
          <w:szCs w:val="22"/>
          <w:lang w:eastAsia="ja-JP"/>
        </w:rPr>
        <w:fldChar w:fldCharType="end"/>
      </w:r>
      <w:r w:rsidRPr="004C1DA7">
        <w:rPr>
          <w:szCs w:val="22"/>
          <w:lang w:eastAsia="ja-JP"/>
        </w:rPr>
        <w:t>.</w:t>
      </w:r>
      <w:r>
        <w:rPr>
          <w:szCs w:val="22"/>
          <w:lang w:eastAsia="ja-JP"/>
        </w:rPr>
        <w:t xml:space="preserve"> </w:t>
      </w:r>
    </w:p>
    <w:p w:rsidR="00CA759F" w:rsidRDefault="00481831" w:rsidP="00CA759F">
      <w:pPr>
        <w:spacing w:before="240"/>
        <w:jc w:val="both"/>
        <w:rPr>
          <w:szCs w:val="22"/>
        </w:rPr>
      </w:pPr>
      <w:r>
        <w:rPr>
          <w:szCs w:val="22"/>
          <w:lang w:eastAsia="ja-JP"/>
        </w:rPr>
        <w:t xml:space="preserve">The simulation results are tabulated in </w:t>
      </w:r>
      <w:r w:rsidR="00CA759F">
        <w:rPr>
          <w:szCs w:val="22"/>
          <w:lang w:eastAsia="ja-JP"/>
        </w:rPr>
        <w:t>Table 1</w:t>
      </w:r>
      <w:r>
        <w:rPr>
          <w:szCs w:val="22"/>
          <w:lang w:eastAsia="ja-JP"/>
        </w:rPr>
        <w:t>.</w:t>
      </w:r>
      <w:r w:rsidR="00CA759F">
        <w:rPr>
          <w:szCs w:val="22"/>
          <w:lang w:eastAsia="ja-JP"/>
        </w:rPr>
        <w:t xml:space="preserve"> </w:t>
      </w:r>
      <w:r w:rsidR="00CA759F" w:rsidRPr="001703F0">
        <w:rPr>
          <w:szCs w:val="22"/>
        </w:rPr>
        <w:t xml:space="preserve">As shown in Table 1, the overall average bitrate </w:t>
      </w:r>
      <w:r w:rsidR="004331A1">
        <w:rPr>
          <w:szCs w:val="22"/>
        </w:rPr>
        <w:t>increase</w:t>
      </w:r>
      <w:r w:rsidR="004331A1" w:rsidRPr="001703F0">
        <w:rPr>
          <w:szCs w:val="22"/>
        </w:rPr>
        <w:t xml:space="preserve"> </w:t>
      </w:r>
      <w:r w:rsidR="00CA759F" w:rsidRPr="00D50898">
        <w:rPr>
          <w:szCs w:val="22"/>
        </w:rPr>
        <w:t>is 0.</w:t>
      </w:r>
      <w:r w:rsidR="00D50898" w:rsidRPr="00D50898">
        <w:rPr>
          <w:szCs w:val="22"/>
        </w:rPr>
        <w:t>02</w:t>
      </w:r>
      <w:r w:rsidR="00CA759F" w:rsidRPr="00D50898">
        <w:rPr>
          <w:szCs w:val="22"/>
        </w:rPr>
        <w:t>%, 0.</w:t>
      </w:r>
      <w:r w:rsidR="00D50898" w:rsidRPr="00D50898">
        <w:rPr>
          <w:szCs w:val="22"/>
        </w:rPr>
        <w:t>05</w:t>
      </w:r>
      <w:r w:rsidRPr="00D50898">
        <w:rPr>
          <w:szCs w:val="22"/>
        </w:rPr>
        <w:t xml:space="preserve">% </w:t>
      </w:r>
      <w:r w:rsidR="00CA759F" w:rsidRPr="00D50898">
        <w:rPr>
          <w:szCs w:val="22"/>
        </w:rPr>
        <w:t>for coded views</w:t>
      </w:r>
      <w:r w:rsidR="00D50898">
        <w:rPr>
          <w:szCs w:val="22"/>
        </w:rPr>
        <w:t xml:space="preserve"> and synthesized views</w:t>
      </w:r>
      <w:r w:rsidR="00CA759F" w:rsidRPr="00D50898">
        <w:rPr>
          <w:szCs w:val="22"/>
        </w:rPr>
        <w:t>, respectively.</w:t>
      </w:r>
      <w:r w:rsidR="00CA759F">
        <w:rPr>
          <w:szCs w:val="22"/>
        </w:rPr>
        <w:t xml:space="preserve"> </w:t>
      </w:r>
    </w:p>
    <w:p w:rsidR="00CA759F" w:rsidRDefault="00CA759F" w:rsidP="00CA759F">
      <w:pPr>
        <w:pStyle w:val="Caption"/>
        <w:keepNext/>
        <w:spacing w:before="200"/>
        <w:jc w:val="center"/>
      </w:pPr>
      <w:r w:rsidRPr="00E93A10">
        <w:t xml:space="preserve">Table </w:t>
      </w:r>
      <w:r w:rsidR="0002129D">
        <w:fldChar w:fldCharType="begin"/>
      </w:r>
      <w:r w:rsidR="0002129D">
        <w:instrText xml:space="preserve"> SEQ Table \* ARABIC </w:instrText>
      </w:r>
      <w:r w:rsidR="0002129D">
        <w:fldChar w:fldCharType="separate"/>
      </w:r>
      <w:r w:rsidRPr="00E93A10">
        <w:rPr>
          <w:noProof/>
        </w:rPr>
        <w:t>1</w:t>
      </w:r>
      <w:r w:rsidR="0002129D">
        <w:rPr>
          <w:noProof/>
        </w:rPr>
        <w:fldChar w:fldCharType="end"/>
      </w:r>
      <w:r w:rsidRPr="00E93A10">
        <w:t>: Coding gain with respect to anchor for 3-view case</w:t>
      </w:r>
    </w:p>
    <w:tbl>
      <w:tblPr>
        <w:tblW w:w="4614" w:type="pct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690"/>
        <w:gridCol w:w="757"/>
        <w:gridCol w:w="713"/>
        <w:gridCol w:w="811"/>
        <w:gridCol w:w="626"/>
        <w:gridCol w:w="813"/>
        <w:gridCol w:w="630"/>
        <w:gridCol w:w="813"/>
        <w:gridCol w:w="990"/>
        <w:gridCol w:w="1168"/>
      </w:tblGrid>
      <w:tr w:rsidR="00907272" w:rsidRPr="00E932AD" w:rsidTr="00907272">
        <w:trPr>
          <w:trHeight w:val="294"/>
        </w:trPr>
        <w:tc>
          <w:tcPr>
            <w:tcW w:w="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464B5F" w:rsidRPr="00464B5F" w:rsidRDefault="00464B5F" w:rsidP="00464B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81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  <w:hideMark/>
          </w:tcPr>
          <w:p w:rsidR="00464B5F" w:rsidRPr="00464B5F" w:rsidRDefault="00464B5F" w:rsidP="00464B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color w:val="000000"/>
                <w:sz w:val="18"/>
                <w:szCs w:val="18"/>
                <w:lang w:eastAsia="ja-JP"/>
              </w:rPr>
            </w:pPr>
            <w:r w:rsidRPr="00464B5F">
              <w:rPr>
                <w:rFonts w:eastAsia="MS PGothic"/>
                <w:color w:val="000000"/>
                <w:sz w:val="18"/>
                <w:szCs w:val="18"/>
                <w:lang w:eastAsia="ja-JP"/>
              </w:rPr>
              <w:t>Texture Coding</w:t>
            </w:r>
          </w:p>
        </w:tc>
        <w:tc>
          <w:tcPr>
            <w:tcW w:w="8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</w:tcPr>
          <w:p w:rsidR="00464B5F" w:rsidRPr="00464B5F" w:rsidRDefault="00464B5F" w:rsidP="00464B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color w:val="000000"/>
                <w:sz w:val="18"/>
                <w:szCs w:val="18"/>
                <w:lang w:eastAsia="ja-JP"/>
              </w:rPr>
            </w:pPr>
            <w:r>
              <w:rPr>
                <w:rFonts w:eastAsia="MS PGothic"/>
                <w:color w:val="000000"/>
                <w:sz w:val="18"/>
                <w:szCs w:val="18"/>
                <w:lang w:eastAsia="ja-JP"/>
              </w:rPr>
              <w:t>Depth Coding</w:t>
            </w:r>
          </w:p>
        </w:tc>
        <w:tc>
          <w:tcPr>
            <w:tcW w:w="81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</w:tcPr>
          <w:p w:rsidR="00464B5F" w:rsidRPr="00464B5F" w:rsidRDefault="00464B5F" w:rsidP="00464B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color w:val="000000"/>
                <w:sz w:val="18"/>
                <w:szCs w:val="18"/>
                <w:lang w:eastAsia="ja-JP"/>
              </w:rPr>
            </w:pPr>
            <w:r w:rsidRPr="00464B5F">
              <w:rPr>
                <w:rFonts w:eastAsia="MS PGothic"/>
                <w:color w:val="000000"/>
                <w:sz w:val="18"/>
                <w:szCs w:val="18"/>
                <w:lang w:eastAsia="ja-JP"/>
              </w:rPr>
              <w:t>Total (Coded PSNR)</w:t>
            </w:r>
          </w:p>
        </w:tc>
        <w:tc>
          <w:tcPr>
            <w:tcW w:w="817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noWrap/>
            <w:vAlign w:val="center"/>
          </w:tcPr>
          <w:p w:rsidR="00464B5F" w:rsidRPr="00464B5F" w:rsidRDefault="00464B5F" w:rsidP="00C22B9A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color w:val="000000"/>
                <w:sz w:val="18"/>
                <w:szCs w:val="18"/>
                <w:lang w:eastAsia="ja-JP"/>
              </w:rPr>
            </w:pPr>
            <w:r w:rsidRPr="00464B5F">
              <w:rPr>
                <w:rFonts w:eastAsia="MS PGothic"/>
                <w:color w:val="000000"/>
                <w:sz w:val="18"/>
                <w:szCs w:val="18"/>
                <w:lang w:eastAsia="ja-JP"/>
              </w:rPr>
              <w:t>Total (</w:t>
            </w:r>
            <w:r w:rsidR="00C22B9A">
              <w:rPr>
                <w:rFonts w:eastAsia="MS PGothic"/>
                <w:color w:val="000000"/>
                <w:sz w:val="18"/>
                <w:szCs w:val="18"/>
                <w:lang w:eastAsia="ja-JP"/>
              </w:rPr>
              <w:t xml:space="preserve">Synthesized </w:t>
            </w:r>
            <w:proofErr w:type="spellStart"/>
            <w:r w:rsidRPr="00464B5F">
              <w:rPr>
                <w:rFonts w:eastAsia="MS PGothic"/>
                <w:color w:val="000000"/>
                <w:sz w:val="18"/>
                <w:szCs w:val="18"/>
                <w:lang w:eastAsia="ja-JP"/>
              </w:rPr>
              <w:t>PSNR</w:t>
            </w:r>
            <w:proofErr w:type="spellEnd"/>
            <w:r w:rsidRPr="00464B5F">
              <w:rPr>
                <w:rFonts w:eastAsia="MS PGothic"/>
                <w:color w:val="000000"/>
                <w:sz w:val="18"/>
                <w:szCs w:val="18"/>
                <w:lang w:eastAsia="ja-JP"/>
              </w:rPr>
              <w:t>)</w:t>
            </w:r>
          </w:p>
        </w:tc>
        <w:tc>
          <w:tcPr>
            <w:tcW w:w="122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DCE6F2"/>
            <w:vAlign w:val="center"/>
          </w:tcPr>
          <w:p w:rsidR="00464B5F" w:rsidRPr="00464B5F" w:rsidRDefault="00464B5F" w:rsidP="00464B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S PGothic"/>
                <w:color w:val="000000"/>
                <w:sz w:val="18"/>
                <w:szCs w:val="18"/>
                <w:lang w:eastAsia="ja-JP"/>
              </w:rPr>
            </w:pPr>
            <w:r w:rsidRPr="00464B5F">
              <w:rPr>
                <w:rFonts w:eastAsia="MS PGothic"/>
                <w:color w:val="000000"/>
                <w:sz w:val="18"/>
                <w:szCs w:val="18"/>
                <w:lang w:eastAsia="ja-JP"/>
              </w:rPr>
              <w:t>Complexity estimate</w:t>
            </w:r>
          </w:p>
        </w:tc>
      </w:tr>
      <w:tr w:rsidR="00907272" w:rsidRPr="00E932AD" w:rsidTr="00907272">
        <w:trPr>
          <w:trHeight w:val="324"/>
        </w:trPr>
        <w:tc>
          <w:tcPr>
            <w:tcW w:w="4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464B5F" w:rsidRPr="00464B5F" w:rsidRDefault="00464B5F" w:rsidP="00464B5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bookmarkStart w:id="0" w:name="_GoBack" w:colFirst="1" w:colLast="10"/>
          </w:p>
        </w:tc>
        <w:tc>
          <w:tcPr>
            <w:tcW w:w="391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464B5F" w:rsidRPr="00464B5F" w:rsidRDefault="00907272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dBR</w:t>
            </w:r>
            <w:proofErr w:type="spellEnd"/>
            <w:r w:rsidR="00464B5F" w:rsidRPr="00464B5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 xml:space="preserve"> %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464B5F" w:rsidRPr="00464B5F" w:rsidRDefault="00907272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dPSNR</w:t>
            </w:r>
            <w:r w:rsidR="00464B5F" w:rsidRPr="00464B5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dB</w:t>
            </w:r>
            <w:proofErr w:type="spellEnd"/>
          </w:p>
        </w:tc>
        <w:tc>
          <w:tcPr>
            <w:tcW w:w="404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464B5F" w:rsidRPr="00464B5F" w:rsidRDefault="00907272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dBR</w:t>
            </w:r>
            <w:proofErr w:type="spellEnd"/>
            <w:r w:rsidR="00464B5F" w:rsidRPr="00464B5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 xml:space="preserve"> %</w:t>
            </w:r>
          </w:p>
        </w:tc>
        <w:tc>
          <w:tcPr>
            <w:tcW w:w="46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464B5F" w:rsidRPr="00464B5F" w:rsidRDefault="00907272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dPSNR</w:t>
            </w:r>
            <w:proofErr w:type="spellEnd"/>
            <w:r w:rsidR="00D50898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 xml:space="preserve"> </w:t>
            </w:r>
            <w:r w:rsidR="00464B5F" w:rsidRPr="00464B5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dB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</w:tcPr>
          <w:p w:rsidR="00464B5F" w:rsidRPr="00464B5F" w:rsidRDefault="00464B5F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464B5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dBR</w:t>
            </w:r>
            <w:proofErr w:type="spellEnd"/>
            <w:r w:rsidRPr="00464B5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 xml:space="preserve"> %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FFFFCC" w:fill="FFFF99"/>
            <w:vAlign w:val="center"/>
          </w:tcPr>
          <w:p w:rsidR="00464B5F" w:rsidRPr="00464B5F" w:rsidRDefault="00907272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dPSNR</w:t>
            </w:r>
            <w:r w:rsidR="00464B5F" w:rsidRPr="00464B5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dB</w:t>
            </w:r>
            <w:proofErr w:type="spellEnd"/>
          </w:p>
        </w:tc>
        <w:tc>
          <w:tcPr>
            <w:tcW w:w="35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:rsidR="00464B5F" w:rsidRPr="00464B5F" w:rsidRDefault="00907272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dBR</w:t>
            </w:r>
            <w:proofErr w:type="spellEnd"/>
            <w:r w:rsidR="00464B5F" w:rsidRPr="00464B5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 xml:space="preserve"> %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FFFFCC" w:fill="FFFF99"/>
            <w:noWrap/>
            <w:vAlign w:val="center"/>
            <w:hideMark/>
          </w:tcPr>
          <w:p w:rsidR="00464B5F" w:rsidRPr="00464B5F" w:rsidRDefault="00907272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dPSNR</w:t>
            </w:r>
            <w:proofErr w:type="spellEnd"/>
            <w:r w:rsidR="00D50898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 xml:space="preserve"> </w:t>
            </w:r>
            <w:r w:rsidR="00464B5F" w:rsidRPr="00464B5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dB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907272" w:rsidRDefault="00464B5F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ja-JP"/>
              </w:rPr>
            </w:pPr>
            <w:r w:rsidRPr="00464B5F">
              <w:rPr>
                <w:rFonts w:eastAsia="Arial Unicode MS"/>
                <w:sz w:val="18"/>
                <w:szCs w:val="18"/>
                <w:lang w:eastAsia="ja-JP"/>
              </w:rPr>
              <w:t>Enc. T</w:t>
            </w:r>
            <w:r w:rsidR="00907272">
              <w:rPr>
                <w:rFonts w:eastAsia="Arial Unicode MS"/>
                <w:sz w:val="18"/>
                <w:szCs w:val="18"/>
                <w:lang w:eastAsia="ja-JP"/>
              </w:rPr>
              <w:t>ime</w:t>
            </w:r>
          </w:p>
          <w:p w:rsidR="00464B5F" w:rsidRPr="00464B5F" w:rsidRDefault="00464B5F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ja-JP"/>
              </w:rPr>
            </w:pPr>
            <w:r w:rsidRPr="00464B5F">
              <w:rPr>
                <w:rFonts w:eastAsia="Arial Unicode MS"/>
                <w:sz w:val="18"/>
                <w:szCs w:val="18"/>
                <w:lang w:eastAsia="ja-JP"/>
              </w:rPr>
              <w:t>%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noWrap/>
            <w:vAlign w:val="center"/>
            <w:hideMark/>
          </w:tcPr>
          <w:p w:rsidR="00907272" w:rsidRDefault="00907272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ja-JP"/>
              </w:rPr>
            </w:pPr>
            <w:r>
              <w:rPr>
                <w:rFonts w:eastAsia="Arial Unicode MS"/>
                <w:sz w:val="18"/>
                <w:szCs w:val="18"/>
                <w:lang w:eastAsia="ja-JP"/>
              </w:rPr>
              <w:t>Dec. Time</w:t>
            </w:r>
          </w:p>
          <w:p w:rsidR="00464B5F" w:rsidRPr="00464B5F" w:rsidRDefault="00464B5F" w:rsidP="00077BA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sz w:val="18"/>
                <w:szCs w:val="18"/>
                <w:lang w:eastAsia="ja-JP"/>
              </w:rPr>
            </w:pPr>
            <w:r w:rsidRPr="00464B5F">
              <w:rPr>
                <w:rFonts w:eastAsia="Arial Unicode MS"/>
                <w:sz w:val="18"/>
                <w:szCs w:val="18"/>
                <w:lang w:eastAsia="ja-JP"/>
              </w:rPr>
              <w:t>%</w:t>
            </w:r>
          </w:p>
        </w:tc>
      </w:tr>
      <w:bookmarkEnd w:id="0"/>
      <w:tr w:rsidR="00907272" w:rsidRPr="00154FCF" w:rsidTr="00907272">
        <w:trPr>
          <w:trHeight w:val="324"/>
        </w:trPr>
        <w:tc>
          <w:tcPr>
            <w:tcW w:w="4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4FCF" w:rsidRPr="00154FCF" w:rsidRDefault="00154FCF" w:rsidP="00154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54FC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S01</w:t>
            </w:r>
            <w:proofErr w:type="spellEnd"/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0.60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0.11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98.24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96.44</w:t>
            </w:r>
          </w:p>
        </w:tc>
      </w:tr>
      <w:tr w:rsidR="00907272" w:rsidRPr="00154FCF" w:rsidTr="00907272">
        <w:trPr>
          <w:trHeight w:val="324"/>
        </w:trPr>
        <w:tc>
          <w:tcPr>
            <w:tcW w:w="4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4FCF" w:rsidRPr="00154FCF" w:rsidRDefault="00154FCF" w:rsidP="00154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54FC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S02</w:t>
            </w:r>
            <w:proofErr w:type="spellEnd"/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0.42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98.76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96.24</w:t>
            </w:r>
          </w:p>
        </w:tc>
      </w:tr>
      <w:tr w:rsidR="00907272" w:rsidRPr="00154FCF" w:rsidTr="00907272">
        <w:trPr>
          <w:trHeight w:val="324"/>
        </w:trPr>
        <w:tc>
          <w:tcPr>
            <w:tcW w:w="4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4FCF" w:rsidRPr="00154FCF" w:rsidRDefault="00154FCF" w:rsidP="00154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54FC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S03</w:t>
            </w:r>
            <w:proofErr w:type="spellEnd"/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0.96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-0.08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0.08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100.53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97.00</w:t>
            </w:r>
          </w:p>
        </w:tc>
      </w:tr>
      <w:tr w:rsidR="00907272" w:rsidRPr="00154FCF" w:rsidTr="00907272">
        <w:trPr>
          <w:trHeight w:val="324"/>
        </w:trPr>
        <w:tc>
          <w:tcPr>
            <w:tcW w:w="4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4FCF" w:rsidRPr="00154FCF" w:rsidRDefault="00154FCF" w:rsidP="00154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54FC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S04</w:t>
            </w:r>
            <w:proofErr w:type="spellEnd"/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0.17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100.45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97.65</w:t>
            </w:r>
          </w:p>
        </w:tc>
      </w:tr>
      <w:tr w:rsidR="00907272" w:rsidRPr="00154FCF" w:rsidTr="00907272">
        <w:trPr>
          <w:trHeight w:val="324"/>
        </w:trPr>
        <w:tc>
          <w:tcPr>
            <w:tcW w:w="4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4FCF" w:rsidRPr="00154FCF" w:rsidRDefault="00154FCF" w:rsidP="00154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54FC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S05</w:t>
            </w:r>
            <w:proofErr w:type="spellEnd"/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0.21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104.46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98.67</w:t>
            </w:r>
          </w:p>
        </w:tc>
      </w:tr>
      <w:tr w:rsidR="00907272" w:rsidRPr="00154FCF" w:rsidTr="00907272">
        <w:trPr>
          <w:trHeight w:val="324"/>
        </w:trPr>
        <w:tc>
          <w:tcPr>
            <w:tcW w:w="4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4FCF" w:rsidRPr="00154FCF" w:rsidRDefault="00154FCF" w:rsidP="00154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54FC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S06</w:t>
            </w:r>
            <w:proofErr w:type="spellEnd"/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0.37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-0.02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101.67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99.35</w:t>
            </w:r>
          </w:p>
        </w:tc>
      </w:tr>
      <w:tr w:rsidR="00907272" w:rsidRPr="00154FCF" w:rsidTr="00907272">
        <w:trPr>
          <w:trHeight w:val="324"/>
        </w:trPr>
        <w:tc>
          <w:tcPr>
            <w:tcW w:w="459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4FCF" w:rsidRPr="00154FCF" w:rsidRDefault="00154FCF" w:rsidP="00154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proofErr w:type="spellStart"/>
            <w:r w:rsidRPr="00154FC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S08</w:t>
            </w:r>
            <w:proofErr w:type="spellEnd"/>
          </w:p>
        </w:tc>
        <w:tc>
          <w:tcPr>
            <w:tcW w:w="3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0.13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-0.01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100.03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98.78</w:t>
            </w:r>
          </w:p>
        </w:tc>
      </w:tr>
      <w:tr w:rsidR="00907272" w:rsidRPr="00154FCF" w:rsidTr="00907272">
        <w:trPr>
          <w:trHeight w:val="324"/>
        </w:trPr>
        <w:tc>
          <w:tcPr>
            <w:tcW w:w="45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  <w:hideMark/>
          </w:tcPr>
          <w:p w:rsidR="00154FCF" w:rsidRPr="00154FCF" w:rsidRDefault="00154FCF" w:rsidP="00154FCF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Arial Unicode MS"/>
                <w:color w:val="000000"/>
                <w:sz w:val="18"/>
                <w:szCs w:val="18"/>
                <w:lang w:eastAsia="ja-JP"/>
              </w:rPr>
            </w:pPr>
            <w:r w:rsidRPr="00154FCF">
              <w:rPr>
                <w:rFonts w:eastAsia="Arial Unicode MS"/>
                <w:color w:val="000000"/>
                <w:sz w:val="18"/>
                <w:szCs w:val="18"/>
                <w:lang w:eastAsia="ja-JP"/>
              </w:rPr>
              <w:t>Average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0.41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-0.03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FF9900" w:fill="FFC000"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0.02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9900" w:fill="FFC000"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9900" w:fill="FFC000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9900" w:fill="FFC000"/>
            <w:noWrap/>
            <w:vAlign w:val="center"/>
          </w:tcPr>
          <w:p w:rsidR="00154FCF" w:rsidRPr="00154FCF" w:rsidRDefault="00154FCF" w:rsidP="00154FCF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154FCF">
              <w:rPr>
                <w:color w:val="000000"/>
                <w:sz w:val="18"/>
                <w:szCs w:val="18"/>
              </w:rPr>
              <w:t>0.00</w:t>
            </w:r>
          </w:p>
        </w:tc>
        <w:tc>
          <w:tcPr>
            <w:tcW w:w="5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100.59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9900" w:fill="FFC000"/>
            <w:noWrap/>
            <w:vAlign w:val="center"/>
          </w:tcPr>
          <w:p w:rsidR="00154FCF" w:rsidRPr="00154FCF" w:rsidRDefault="00154FCF" w:rsidP="00907272">
            <w:pPr>
              <w:spacing w:before="0"/>
              <w:jc w:val="center"/>
              <w:rPr>
                <w:sz w:val="18"/>
                <w:szCs w:val="18"/>
              </w:rPr>
            </w:pPr>
            <w:r w:rsidRPr="00154FCF">
              <w:rPr>
                <w:sz w:val="18"/>
                <w:szCs w:val="18"/>
              </w:rPr>
              <w:t>97.73</w:t>
            </w:r>
          </w:p>
        </w:tc>
      </w:tr>
    </w:tbl>
    <w:p w:rsidR="00464B5F" w:rsidRPr="00464B5F" w:rsidRDefault="00464B5F" w:rsidP="00464B5F"/>
    <w:p w:rsidR="00D64211" w:rsidRPr="009165F4" w:rsidRDefault="00D64211" w:rsidP="00154FCF">
      <w:pPr>
        <w:pStyle w:val="Heading1"/>
        <w:ind w:left="360" w:hanging="360"/>
      </w:pPr>
      <w:r>
        <w:t>References</w:t>
      </w:r>
    </w:p>
    <w:p w:rsidR="00C065A0" w:rsidRDefault="00E52FB2" w:rsidP="00BB3C64">
      <w:pPr>
        <w:numPr>
          <w:ilvl w:val="0"/>
          <w:numId w:val="13"/>
        </w:numPr>
        <w:jc w:val="both"/>
        <w:textAlignment w:val="auto"/>
      </w:pPr>
      <w:r w:rsidRPr="00E52FB2">
        <w:t>M</w:t>
      </w:r>
      <w:r>
        <w:t>.</w:t>
      </w:r>
      <w:r w:rsidRPr="00E52FB2">
        <w:t xml:space="preserve"> M. </w:t>
      </w:r>
      <w:proofErr w:type="spellStart"/>
      <w:r w:rsidRPr="00E52FB2">
        <w:t>Hannuksela</w:t>
      </w:r>
      <w:proofErr w:type="spellEnd"/>
      <w:r w:rsidRPr="00E52FB2">
        <w:t>, Y</w:t>
      </w:r>
      <w:r>
        <w:t>.</w:t>
      </w:r>
      <w:r w:rsidRPr="00E52FB2">
        <w:t xml:space="preserve"> Chen</w:t>
      </w:r>
      <w:r>
        <w:t>,</w:t>
      </w:r>
      <w:r w:rsidRPr="00E52FB2">
        <w:t xml:space="preserve"> </w:t>
      </w:r>
      <w:r w:rsidR="00C065A0">
        <w:t>“</w:t>
      </w:r>
      <w:r w:rsidRPr="00E52FB2">
        <w:t>Working Draft 2 of AVC compatible video with depth</w:t>
      </w:r>
      <w:r w:rsidR="00C065A0">
        <w:t xml:space="preserve">”, </w:t>
      </w:r>
      <w:r w:rsidRPr="00E52FB2">
        <w:t>ISO/IEC/JTC1/SC29/WG11/N12732</w:t>
      </w:r>
      <w:r w:rsidR="008A62D5">
        <w:t>, 1</w:t>
      </w:r>
      <w:r>
        <w:t>00</w:t>
      </w:r>
      <w:r w:rsidRPr="00E52FB2">
        <w:rPr>
          <w:vertAlign w:val="superscript"/>
        </w:rPr>
        <w:t>th</w:t>
      </w:r>
      <w:r>
        <w:t xml:space="preserve"> </w:t>
      </w:r>
      <w:r w:rsidR="008A62D5">
        <w:t xml:space="preserve">Meeting: </w:t>
      </w:r>
      <w:r>
        <w:t>Geneva</w:t>
      </w:r>
      <w:r w:rsidR="008A62D5">
        <w:t xml:space="preserve">, </w:t>
      </w:r>
      <w:r>
        <w:t>CH</w:t>
      </w:r>
      <w:r w:rsidR="008A62D5">
        <w:t xml:space="preserve">, 16–20 </w:t>
      </w:r>
      <w:r>
        <w:t>May</w:t>
      </w:r>
      <w:r w:rsidR="008A62D5">
        <w:t xml:space="preserve"> 2012.</w:t>
      </w:r>
    </w:p>
    <w:p w:rsidR="008A1AA3" w:rsidRDefault="000645B0" w:rsidP="008A1AA3">
      <w:pPr>
        <w:numPr>
          <w:ilvl w:val="0"/>
          <w:numId w:val="13"/>
        </w:numPr>
      </w:pPr>
      <w:bookmarkStart w:id="1" w:name="_Ref336846010"/>
      <w:r>
        <w:t>3D</w:t>
      </w:r>
      <w:r w:rsidR="0011657B" w:rsidRPr="000D655A">
        <w:t>-</w:t>
      </w:r>
      <w:r>
        <w:t>A</w:t>
      </w:r>
      <w:r w:rsidR="0011657B" w:rsidRPr="000D655A">
        <w:t xml:space="preserve">TM version </w:t>
      </w:r>
      <w:r>
        <w:t>5</w:t>
      </w:r>
      <w:r w:rsidR="0011657B">
        <w:t xml:space="preserve">.1: </w:t>
      </w:r>
      <w:hyperlink r:id="rId12" w:history="1">
        <w:r w:rsidR="008A1AA3" w:rsidRPr="002414AF">
          <w:rPr>
            <w:rStyle w:val="Hyperlink"/>
          </w:rPr>
          <w:t>http://mpeg3dv.research.nokia.com/svn/mpeg3dv/tags/3DV-ATMv5.1/</w:t>
        </w:r>
      </w:hyperlink>
    </w:p>
    <w:p w:rsidR="009165F4" w:rsidRDefault="007055EB" w:rsidP="00984880">
      <w:pPr>
        <w:numPr>
          <w:ilvl w:val="0"/>
          <w:numId w:val="13"/>
        </w:numPr>
        <w:jc w:val="both"/>
        <w:textAlignment w:val="auto"/>
      </w:pPr>
      <w:bookmarkStart w:id="2" w:name="_Ref337316313"/>
      <w:bookmarkEnd w:id="1"/>
      <w:r w:rsidRPr="00984880">
        <w:t>D</w:t>
      </w:r>
      <w:r>
        <w:t>.</w:t>
      </w:r>
      <w:r w:rsidRPr="00984880">
        <w:t xml:space="preserve"> </w:t>
      </w:r>
      <w:proofErr w:type="spellStart"/>
      <w:r w:rsidR="00984880" w:rsidRPr="00984880">
        <w:t>Rusanovskyy</w:t>
      </w:r>
      <w:proofErr w:type="spellEnd"/>
      <w:r w:rsidR="00984880" w:rsidRPr="00984880">
        <w:t xml:space="preserve">, </w:t>
      </w:r>
      <w:r w:rsidRPr="00984880">
        <w:t>K</w:t>
      </w:r>
      <w:r>
        <w:t>.</w:t>
      </w:r>
      <w:r w:rsidRPr="00984880">
        <w:t xml:space="preserve"> </w:t>
      </w:r>
      <w:r w:rsidR="00984880" w:rsidRPr="00984880">
        <w:t xml:space="preserve">Müller, </w:t>
      </w:r>
      <w:r>
        <w:t>A.</w:t>
      </w:r>
      <w:r w:rsidRPr="00984880">
        <w:t xml:space="preserve"> </w:t>
      </w:r>
      <w:r w:rsidR="00984880" w:rsidRPr="00984880">
        <w:t>Vetro,</w:t>
      </w:r>
      <w:r w:rsidR="00984880">
        <w:t xml:space="preserve"> “</w:t>
      </w:r>
      <w:r w:rsidR="00984880" w:rsidRPr="00984880">
        <w:t>Common Test Conditions of 3DV Core Experiments</w:t>
      </w:r>
      <w:r w:rsidR="00984880">
        <w:t xml:space="preserve">,” </w:t>
      </w:r>
      <w:r w:rsidR="008A62D5">
        <w:t xml:space="preserve">ITU-T SG 16 WP 3 and ISO/IEC JTC 1/SC 29/WG 11, </w:t>
      </w:r>
      <w:r w:rsidR="00984880">
        <w:t>JCT3V</w:t>
      </w:r>
      <w:r>
        <w:t>-</w:t>
      </w:r>
      <w:r w:rsidR="00984880">
        <w:t xml:space="preserve">A1100, </w:t>
      </w:r>
      <w:r w:rsidR="008A62D5">
        <w:t>1st Meeting: Stockholm, SE, 16–20 July 2012.</w:t>
      </w:r>
      <w:bookmarkEnd w:id="2"/>
    </w:p>
    <w:p w:rsidR="00082ED0" w:rsidRPr="00D64211" w:rsidRDefault="00082ED0" w:rsidP="009234A5">
      <w:pPr>
        <w:jc w:val="both"/>
        <w:rPr>
          <w:szCs w:val="22"/>
        </w:rPr>
      </w:pPr>
    </w:p>
    <w:p w:rsidR="001F2594" w:rsidRPr="00154FCF" w:rsidRDefault="001F2594" w:rsidP="00154FCF">
      <w:pPr>
        <w:pStyle w:val="Heading1"/>
        <w:ind w:left="360" w:hanging="360"/>
      </w:pPr>
      <w:r w:rsidRPr="00154FCF">
        <w:t>Patent rights declaration</w:t>
      </w:r>
      <w:r w:rsidR="00B94B06" w:rsidRPr="00154FCF">
        <w:t>(s)</w:t>
      </w:r>
    </w:p>
    <w:p w:rsidR="00082ED0" w:rsidRDefault="00082ED0" w:rsidP="00082ED0">
      <w:pPr>
        <w:jc w:val="both"/>
        <w:rPr>
          <w:szCs w:val="22"/>
          <w:lang w:val="en-CA"/>
        </w:rPr>
      </w:pPr>
      <w:r>
        <w:rPr>
          <w:b/>
          <w:szCs w:val="22"/>
          <w:lang w:val="en-CA"/>
        </w:rPr>
        <w:t>Qualcomm Incorporated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082ED0" w:rsidRPr="00082ED0" w:rsidRDefault="00082ED0" w:rsidP="009234A5">
      <w:pPr>
        <w:jc w:val="both"/>
        <w:rPr>
          <w:b/>
          <w:sz w:val="32"/>
          <w:szCs w:val="32"/>
          <w:lang w:val="en-CA"/>
        </w:rPr>
      </w:pPr>
    </w:p>
    <w:sectPr w:rsidR="00082ED0" w:rsidRPr="00082ED0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336" w:rsidRDefault="00995336">
      <w:r>
        <w:separator/>
      </w:r>
    </w:p>
  </w:endnote>
  <w:endnote w:type="continuationSeparator" w:id="0">
    <w:p w:rsidR="00995336" w:rsidRDefault="0099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605C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154FCF">
      <w:rPr>
        <w:rStyle w:val="PageNumber"/>
        <w:noProof/>
      </w:rPr>
      <w:t>2012-10-07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336" w:rsidRDefault="00995336">
      <w:r>
        <w:separator/>
      </w:r>
    </w:p>
  </w:footnote>
  <w:footnote w:type="continuationSeparator" w:id="0">
    <w:p w:rsidR="00995336" w:rsidRDefault="00995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9D4C66"/>
    <w:multiLevelType w:val="hybridMultilevel"/>
    <w:tmpl w:val="7640EC3C"/>
    <w:lvl w:ilvl="0" w:tplc="FD1CE2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5004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B307BC"/>
    <w:multiLevelType w:val="hybridMultilevel"/>
    <w:tmpl w:val="C938FE06"/>
    <w:lvl w:ilvl="0" w:tplc="9A3EB7CE">
      <w:start w:val="1"/>
      <w:numFmt w:val="decimal"/>
      <w:lvlText w:val="[%1]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6FB76C5"/>
    <w:multiLevelType w:val="hybridMultilevel"/>
    <w:tmpl w:val="0CF42F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39A3DBF"/>
    <w:multiLevelType w:val="multilevel"/>
    <w:tmpl w:val="381843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lowerRoman"/>
      <w:lvlText w:val="%3."/>
      <w:lvlJc w:val="righ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911609F"/>
    <w:multiLevelType w:val="hybridMultilevel"/>
    <w:tmpl w:val="ABA8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9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5"/>
  </w:num>
  <w:num w:numId="9">
    <w:abstractNumId w:val="1"/>
  </w:num>
  <w:num w:numId="10">
    <w:abstractNumId w:val="4"/>
  </w:num>
  <w:num w:numId="11">
    <w:abstractNumId w:val="3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14"/>
  </w:num>
  <w:num w:numId="17">
    <w:abstractNumId w:val="12"/>
  </w:num>
  <w:num w:numId="18">
    <w:abstractNumId w:val="11"/>
  </w:num>
  <w:num w:numId="19">
    <w:abstractNumId w:val="5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5027"/>
    <w:rsid w:val="0002129D"/>
    <w:rsid w:val="00042104"/>
    <w:rsid w:val="000458BC"/>
    <w:rsid w:val="00045C41"/>
    <w:rsid w:val="00046C03"/>
    <w:rsid w:val="00063C6C"/>
    <w:rsid w:val="000645B0"/>
    <w:rsid w:val="000709D2"/>
    <w:rsid w:val="00072239"/>
    <w:rsid w:val="0007614F"/>
    <w:rsid w:val="00077BA4"/>
    <w:rsid w:val="00082ED0"/>
    <w:rsid w:val="0008358F"/>
    <w:rsid w:val="000A0311"/>
    <w:rsid w:val="000B1C6B"/>
    <w:rsid w:val="000B4FF9"/>
    <w:rsid w:val="000C09AC"/>
    <w:rsid w:val="000D019B"/>
    <w:rsid w:val="000D3529"/>
    <w:rsid w:val="000D7F20"/>
    <w:rsid w:val="000E00F3"/>
    <w:rsid w:val="000E223A"/>
    <w:rsid w:val="000E320D"/>
    <w:rsid w:val="000E51DD"/>
    <w:rsid w:val="000F02E8"/>
    <w:rsid w:val="000F158C"/>
    <w:rsid w:val="00102F3D"/>
    <w:rsid w:val="0010643D"/>
    <w:rsid w:val="001135E2"/>
    <w:rsid w:val="0011657B"/>
    <w:rsid w:val="00124163"/>
    <w:rsid w:val="00124E38"/>
    <w:rsid w:val="0012580B"/>
    <w:rsid w:val="0013045D"/>
    <w:rsid w:val="00131F90"/>
    <w:rsid w:val="0013526E"/>
    <w:rsid w:val="001360F5"/>
    <w:rsid w:val="00136516"/>
    <w:rsid w:val="00140784"/>
    <w:rsid w:val="00140D60"/>
    <w:rsid w:val="00154FCF"/>
    <w:rsid w:val="00162CCB"/>
    <w:rsid w:val="001641B9"/>
    <w:rsid w:val="001658A8"/>
    <w:rsid w:val="00171371"/>
    <w:rsid w:val="00175A24"/>
    <w:rsid w:val="001865EB"/>
    <w:rsid w:val="0018698F"/>
    <w:rsid w:val="00187E58"/>
    <w:rsid w:val="001965EC"/>
    <w:rsid w:val="001A297E"/>
    <w:rsid w:val="001A368E"/>
    <w:rsid w:val="001A46D7"/>
    <w:rsid w:val="001A7329"/>
    <w:rsid w:val="001B2619"/>
    <w:rsid w:val="001B4E28"/>
    <w:rsid w:val="001B7446"/>
    <w:rsid w:val="001C3525"/>
    <w:rsid w:val="001C52DF"/>
    <w:rsid w:val="001D1BD2"/>
    <w:rsid w:val="001E02BE"/>
    <w:rsid w:val="001E3B37"/>
    <w:rsid w:val="001E44E8"/>
    <w:rsid w:val="001F2594"/>
    <w:rsid w:val="00201C82"/>
    <w:rsid w:val="002035DE"/>
    <w:rsid w:val="00204451"/>
    <w:rsid w:val="002055A6"/>
    <w:rsid w:val="00206460"/>
    <w:rsid w:val="002069B4"/>
    <w:rsid w:val="00215DFC"/>
    <w:rsid w:val="002212DF"/>
    <w:rsid w:val="00227BA7"/>
    <w:rsid w:val="0024391E"/>
    <w:rsid w:val="00253217"/>
    <w:rsid w:val="0025364D"/>
    <w:rsid w:val="0026008D"/>
    <w:rsid w:val="00263398"/>
    <w:rsid w:val="00275BCF"/>
    <w:rsid w:val="002842E2"/>
    <w:rsid w:val="002850E2"/>
    <w:rsid w:val="00292257"/>
    <w:rsid w:val="0029379A"/>
    <w:rsid w:val="00297E32"/>
    <w:rsid w:val="002A3629"/>
    <w:rsid w:val="002A54E0"/>
    <w:rsid w:val="002B1595"/>
    <w:rsid w:val="002B191D"/>
    <w:rsid w:val="002C0B32"/>
    <w:rsid w:val="002D0AF6"/>
    <w:rsid w:val="002D362E"/>
    <w:rsid w:val="002E655C"/>
    <w:rsid w:val="002F164D"/>
    <w:rsid w:val="00306206"/>
    <w:rsid w:val="003132A7"/>
    <w:rsid w:val="00317CBB"/>
    <w:rsid w:val="00317D85"/>
    <w:rsid w:val="0032201D"/>
    <w:rsid w:val="00327C56"/>
    <w:rsid w:val="0033076C"/>
    <w:rsid w:val="003315A1"/>
    <w:rsid w:val="00335D57"/>
    <w:rsid w:val="003373EC"/>
    <w:rsid w:val="00342FF4"/>
    <w:rsid w:val="00347430"/>
    <w:rsid w:val="0035118F"/>
    <w:rsid w:val="00367A85"/>
    <w:rsid w:val="003706CC"/>
    <w:rsid w:val="00377710"/>
    <w:rsid w:val="00381842"/>
    <w:rsid w:val="00381963"/>
    <w:rsid w:val="003A2D8E"/>
    <w:rsid w:val="003A6A82"/>
    <w:rsid w:val="003B2885"/>
    <w:rsid w:val="003C20E4"/>
    <w:rsid w:val="003C2BC5"/>
    <w:rsid w:val="003C6415"/>
    <w:rsid w:val="003E6F90"/>
    <w:rsid w:val="003F24B4"/>
    <w:rsid w:val="003F5D0F"/>
    <w:rsid w:val="003F7EBD"/>
    <w:rsid w:val="00414101"/>
    <w:rsid w:val="0041542A"/>
    <w:rsid w:val="004331A1"/>
    <w:rsid w:val="00433DDB"/>
    <w:rsid w:val="00437619"/>
    <w:rsid w:val="00440DA3"/>
    <w:rsid w:val="0044503B"/>
    <w:rsid w:val="004551CA"/>
    <w:rsid w:val="004641DA"/>
    <w:rsid w:val="00464B5F"/>
    <w:rsid w:val="00481831"/>
    <w:rsid w:val="004921C9"/>
    <w:rsid w:val="004A07FB"/>
    <w:rsid w:val="004A2A63"/>
    <w:rsid w:val="004A5B6A"/>
    <w:rsid w:val="004B1E1E"/>
    <w:rsid w:val="004B1E8D"/>
    <w:rsid w:val="004B210C"/>
    <w:rsid w:val="004B56D6"/>
    <w:rsid w:val="004B6664"/>
    <w:rsid w:val="004C160A"/>
    <w:rsid w:val="004C30AB"/>
    <w:rsid w:val="004D2D6C"/>
    <w:rsid w:val="004D34D5"/>
    <w:rsid w:val="004D405F"/>
    <w:rsid w:val="004E4F4F"/>
    <w:rsid w:val="004E5DD9"/>
    <w:rsid w:val="004E6789"/>
    <w:rsid w:val="004F61E3"/>
    <w:rsid w:val="00502920"/>
    <w:rsid w:val="00506A89"/>
    <w:rsid w:val="0051015C"/>
    <w:rsid w:val="005149FE"/>
    <w:rsid w:val="00516CF1"/>
    <w:rsid w:val="005230A5"/>
    <w:rsid w:val="005272CA"/>
    <w:rsid w:val="00531AE9"/>
    <w:rsid w:val="005345F4"/>
    <w:rsid w:val="00535674"/>
    <w:rsid w:val="00537C51"/>
    <w:rsid w:val="00541BEC"/>
    <w:rsid w:val="00550A66"/>
    <w:rsid w:val="00550B0F"/>
    <w:rsid w:val="00552D05"/>
    <w:rsid w:val="00554200"/>
    <w:rsid w:val="0055430A"/>
    <w:rsid w:val="00555BCC"/>
    <w:rsid w:val="00563CB8"/>
    <w:rsid w:val="00567EC7"/>
    <w:rsid w:val="00570013"/>
    <w:rsid w:val="005801A2"/>
    <w:rsid w:val="00592B3D"/>
    <w:rsid w:val="005952A5"/>
    <w:rsid w:val="005A33A1"/>
    <w:rsid w:val="005B217D"/>
    <w:rsid w:val="005C385F"/>
    <w:rsid w:val="005D4F57"/>
    <w:rsid w:val="005E1AC6"/>
    <w:rsid w:val="005E2E19"/>
    <w:rsid w:val="005F6F1B"/>
    <w:rsid w:val="00605234"/>
    <w:rsid w:val="00610D43"/>
    <w:rsid w:val="00613524"/>
    <w:rsid w:val="00624B33"/>
    <w:rsid w:val="00630AA2"/>
    <w:rsid w:val="00635CB2"/>
    <w:rsid w:val="00646707"/>
    <w:rsid w:val="0065109E"/>
    <w:rsid w:val="006512E0"/>
    <w:rsid w:val="0066029C"/>
    <w:rsid w:val="00662E58"/>
    <w:rsid w:val="00664DCF"/>
    <w:rsid w:val="00665516"/>
    <w:rsid w:val="00693A9B"/>
    <w:rsid w:val="006B2920"/>
    <w:rsid w:val="006C4CE1"/>
    <w:rsid w:val="006C5D39"/>
    <w:rsid w:val="006E2810"/>
    <w:rsid w:val="006E5417"/>
    <w:rsid w:val="006F3A31"/>
    <w:rsid w:val="007023EA"/>
    <w:rsid w:val="007055EB"/>
    <w:rsid w:val="00712F60"/>
    <w:rsid w:val="00720E3B"/>
    <w:rsid w:val="0073204C"/>
    <w:rsid w:val="0074290E"/>
    <w:rsid w:val="00745F6B"/>
    <w:rsid w:val="0075585E"/>
    <w:rsid w:val="00770571"/>
    <w:rsid w:val="007768FF"/>
    <w:rsid w:val="007824D3"/>
    <w:rsid w:val="00787109"/>
    <w:rsid w:val="00796EE3"/>
    <w:rsid w:val="007A6C58"/>
    <w:rsid w:val="007A7D29"/>
    <w:rsid w:val="007B069B"/>
    <w:rsid w:val="007B4AB8"/>
    <w:rsid w:val="007F08AB"/>
    <w:rsid w:val="007F1F8B"/>
    <w:rsid w:val="007F2071"/>
    <w:rsid w:val="007F55EB"/>
    <w:rsid w:val="007F67A1"/>
    <w:rsid w:val="0080257C"/>
    <w:rsid w:val="008206C8"/>
    <w:rsid w:val="00833268"/>
    <w:rsid w:val="00846B3A"/>
    <w:rsid w:val="00853297"/>
    <w:rsid w:val="00854195"/>
    <w:rsid w:val="00863E74"/>
    <w:rsid w:val="0087159F"/>
    <w:rsid w:val="0087386C"/>
    <w:rsid w:val="00874A6C"/>
    <w:rsid w:val="008759E8"/>
    <w:rsid w:val="00876C65"/>
    <w:rsid w:val="00881EEB"/>
    <w:rsid w:val="00883A31"/>
    <w:rsid w:val="00887664"/>
    <w:rsid w:val="00887E2F"/>
    <w:rsid w:val="008A08B1"/>
    <w:rsid w:val="008A08D3"/>
    <w:rsid w:val="008A1AA3"/>
    <w:rsid w:val="008A24EB"/>
    <w:rsid w:val="008A4B4C"/>
    <w:rsid w:val="008A62D5"/>
    <w:rsid w:val="008A70C7"/>
    <w:rsid w:val="008A762D"/>
    <w:rsid w:val="008C239F"/>
    <w:rsid w:val="008E480C"/>
    <w:rsid w:val="00907272"/>
    <w:rsid w:val="00907757"/>
    <w:rsid w:val="00907B5D"/>
    <w:rsid w:val="00914AE0"/>
    <w:rsid w:val="009165F4"/>
    <w:rsid w:val="009212B0"/>
    <w:rsid w:val="009234A5"/>
    <w:rsid w:val="00925682"/>
    <w:rsid w:val="00930257"/>
    <w:rsid w:val="009336F7"/>
    <w:rsid w:val="009374A7"/>
    <w:rsid w:val="0094193F"/>
    <w:rsid w:val="0094197E"/>
    <w:rsid w:val="0094619A"/>
    <w:rsid w:val="00952E2F"/>
    <w:rsid w:val="00953B69"/>
    <w:rsid w:val="00970FBB"/>
    <w:rsid w:val="00971DF2"/>
    <w:rsid w:val="009728FF"/>
    <w:rsid w:val="00974551"/>
    <w:rsid w:val="00974CA0"/>
    <w:rsid w:val="00980776"/>
    <w:rsid w:val="00984880"/>
    <w:rsid w:val="0098551D"/>
    <w:rsid w:val="00986F98"/>
    <w:rsid w:val="0099518F"/>
    <w:rsid w:val="00995336"/>
    <w:rsid w:val="009A3FEE"/>
    <w:rsid w:val="009A523D"/>
    <w:rsid w:val="009B08D2"/>
    <w:rsid w:val="009B3787"/>
    <w:rsid w:val="009D5755"/>
    <w:rsid w:val="009D5800"/>
    <w:rsid w:val="009E53C8"/>
    <w:rsid w:val="009F496B"/>
    <w:rsid w:val="009F508B"/>
    <w:rsid w:val="009F7338"/>
    <w:rsid w:val="009F7C47"/>
    <w:rsid w:val="00A01439"/>
    <w:rsid w:val="00A02E61"/>
    <w:rsid w:val="00A05CFF"/>
    <w:rsid w:val="00A15808"/>
    <w:rsid w:val="00A2758E"/>
    <w:rsid w:val="00A314C9"/>
    <w:rsid w:val="00A35991"/>
    <w:rsid w:val="00A56B97"/>
    <w:rsid w:val="00A6093D"/>
    <w:rsid w:val="00A63077"/>
    <w:rsid w:val="00A6747A"/>
    <w:rsid w:val="00A67C4C"/>
    <w:rsid w:val="00A731C0"/>
    <w:rsid w:val="00A74CF8"/>
    <w:rsid w:val="00A76A6D"/>
    <w:rsid w:val="00A83253"/>
    <w:rsid w:val="00A93FA9"/>
    <w:rsid w:val="00A97D50"/>
    <w:rsid w:val="00AA6E84"/>
    <w:rsid w:val="00AB2494"/>
    <w:rsid w:val="00AC4AD9"/>
    <w:rsid w:val="00AC519E"/>
    <w:rsid w:val="00AC7D7F"/>
    <w:rsid w:val="00AD369A"/>
    <w:rsid w:val="00AD5F7B"/>
    <w:rsid w:val="00AE341B"/>
    <w:rsid w:val="00B057FD"/>
    <w:rsid w:val="00B07CA7"/>
    <w:rsid w:val="00B104A8"/>
    <w:rsid w:val="00B1279A"/>
    <w:rsid w:val="00B14430"/>
    <w:rsid w:val="00B45949"/>
    <w:rsid w:val="00B5222E"/>
    <w:rsid w:val="00B551F3"/>
    <w:rsid w:val="00B61C96"/>
    <w:rsid w:val="00B73A2A"/>
    <w:rsid w:val="00B74ABA"/>
    <w:rsid w:val="00B94B06"/>
    <w:rsid w:val="00B94B78"/>
    <w:rsid w:val="00B94C28"/>
    <w:rsid w:val="00BA6C58"/>
    <w:rsid w:val="00BB3C64"/>
    <w:rsid w:val="00BB45B0"/>
    <w:rsid w:val="00BC10BA"/>
    <w:rsid w:val="00BC5AFD"/>
    <w:rsid w:val="00BD0725"/>
    <w:rsid w:val="00BD2528"/>
    <w:rsid w:val="00BF2007"/>
    <w:rsid w:val="00C037AC"/>
    <w:rsid w:val="00C04F43"/>
    <w:rsid w:val="00C0609D"/>
    <w:rsid w:val="00C065A0"/>
    <w:rsid w:val="00C115AB"/>
    <w:rsid w:val="00C138CC"/>
    <w:rsid w:val="00C22B9A"/>
    <w:rsid w:val="00C23350"/>
    <w:rsid w:val="00C272FD"/>
    <w:rsid w:val="00C30249"/>
    <w:rsid w:val="00C3723B"/>
    <w:rsid w:val="00C43D22"/>
    <w:rsid w:val="00C606C9"/>
    <w:rsid w:val="00C72C94"/>
    <w:rsid w:val="00C80288"/>
    <w:rsid w:val="00C81232"/>
    <w:rsid w:val="00C84003"/>
    <w:rsid w:val="00C903E0"/>
    <w:rsid w:val="00C90650"/>
    <w:rsid w:val="00C9736B"/>
    <w:rsid w:val="00C97D78"/>
    <w:rsid w:val="00CA4767"/>
    <w:rsid w:val="00CA759F"/>
    <w:rsid w:val="00CB2EBB"/>
    <w:rsid w:val="00CC1C1F"/>
    <w:rsid w:val="00CC2AAE"/>
    <w:rsid w:val="00CC2D7E"/>
    <w:rsid w:val="00CC5A42"/>
    <w:rsid w:val="00CD0EAB"/>
    <w:rsid w:val="00CE0A4C"/>
    <w:rsid w:val="00CE1C7A"/>
    <w:rsid w:val="00CF34DB"/>
    <w:rsid w:val="00CF4433"/>
    <w:rsid w:val="00CF558F"/>
    <w:rsid w:val="00D027F4"/>
    <w:rsid w:val="00D058D8"/>
    <w:rsid w:val="00D073E2"/>
    <w:rsid w:val="00D254DB"/>
    <w:rsid w:val="00D26BA6"/>
    <w:rsid w:val="00D427E9"/>
    <w:rsid w:val="00D446EC"/>
    <w:rsid w:val="00D46AE8"/>
    <w:rsid w:val="00D475A5"/>
    <w:rsid w:val="00D50898"/>
    <w:rsid w:val="00D51BF0"/>
    <w:rsid w:val="00D556B4"/>
    <w:rsid w:val="00D55942"/>
    <w:rsid w:val="00D63323"/>
    <w:rsid w:val="00D64211"/>
    <w:rsid w:val="00D72F55"/>
    <w:rsid w:val="00D73BB5"/>
    <w:rsid w:val="00D77F47"/>
    <w:rsid w:val="00D807BF"/>
    <w:rsid w:val="00D85617"/>
    <w:rsid w:val="00D86146"/>
    <w:rsid w:val="00D93E16"/>
    <w:rsid w:val="00D94655"/>
    <w:rsid w:val="00DA7887"/>
    <w:rsid w:val="00DB2C26"/>
    <w:rsid w:val="00DD7D0D"/>
    <w:rsid w:val="00DE4C11"/>
    <w:rsid w:val="00DE6B43"/>
    <w:rsid w:val="00DF082C"/>
    <w:rsid w:val="00DF47E0"/>
    <w:rsid w:val="00E1148C"/>
    <w:rsid w:val="00E11923"/>
    <w:rsid w:val="00E21F20"/>
    <w:rsid w:val="00E262D4"/>
    <w:rsid w:val="00E36250"/>
    <w:rsid w:val="00E463CF"/>
    <w:rsid w:val="00E52FB2"/>
    <w:rsid w:val="00E5342A"/>
    <w:rsid w:val="00E54511"/>
    <w:rsid w:val="00E56AE9"/>
    <w:rsid w:val="00E61DAC"/>
    <w:rsid w:val="00E6790F"/>
    <w:rsid w:val="00E71640"/>
    <w:rsid w:val="00E72180"/>
    <w:rsid w:val="00E72B80"/>
    <w:rsid w:val="00E74A9E"/>
    <w:rsid w:val="00E75FE3"/>
    <w:rsid w:val="00E83CBF"/>
    <w:rsid w:val="00E86C4C"/>
    <w:rsid w:val="00E90048"/>
    <w:rsid w:val="00EA2649"/>
    <w:rsid w:val="00EA6089"/>
    <w:rsid w:val="00EB1580"/>
    <w:rsid w:val="00EB7AB1"/>
    <w:rsid w:val="00EC646C"/>
    <w:rsid w:val="00ED03B2"/>
    <w:rsid w:val="00EF48CC"/>
    <w:rsid w:val="00F00D46"/>
    <w:rsid w:val="00F05688"/>
    <w:rsid w:val="00F06138"/>
    <w:rsid w:val="00F16C52"/>
    <w:rsid w:val="00F17CF6"/>
    <w:rsid w:val="00F35C31"/>
    <w:rsid w:val="00F602E9"/>
    <w:rsid w:val="00F605C9"/>
    <w:rsid w:val="00F6536D"/>
    <w:rsid w:val="00F73032"/>
    <w:rsid w:val="00F81F13"/>
    <w:rsid w:val="00F848FC"/>
    <w:rsid w:val="00F9282A"/>
    <w:rsid w:val="00F96BAD"/>
    <w:rsid w:val="00F97A49"/>
    <w:rsid w:val="00FB0E84"/>
    <w:rsid w:val="00FC0C4D"/>
    <w:rsid w:val="00FD01C2"/>
    <w:rsid w:val="00FE7E57"/>
    <w:rsid w:val="00FF0CE3"/>
    <w:rsid w:val="00FF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CA759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CA759F"/>
    <w:rPr>
      <w:rFonts w:eastAsia="SimSun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rsid w:val="0087159F"/>
    <w:rPr>
      <w:sz w:val="16"/>
      <w:szCs w:val="16"/>
    </w:rPr>
  </w:style>
  <w:style w:type="paragraph" w:styleId="CommentText">
    <w:name w:val="annotation text"/>
    <w:basedOn w:val="Normal"/>
    <w:link w:val="CommentTextChar"/>
    <w:rsid w:val="0087159F"/>
    <w:rPr>
      <w:sz w:val="20"/>
    </w:rPr>
  </w:style>
  <w:style w:type="character" w:customStyle="1" w:styleId="CommentTextChar">
    <w:name w:val="Comment Text Char"/>
    <w:link w:val="CommentText"/>
    <w:rsid w:val="0087159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7159F"/>
    <w:rPr>
      <w:b/>
      <w:bCs/>
    </w:rPr>
  </w:style>
  <w:style w:type="character" w:customStyle="1" w:styleId="CommentSubjectChar">
    <w:name w:val="Comment Subject Char"/>
    <w:link w:val="CommentSubject"/>
    <w:rsid w:val="0087159F"/>
    <w:rPr>
      <w:b/>
      <w:bCs/>
      <w:lang w:eastAsia="en-US"/>
    </w:rPr>
  </w:style>
  <w:style w:type="table" w:styleId="TableGrid">
    <w:name w:val="Table Grid"/>
    <w:basedOn w:val="TableNormal"/>
    <w:rsid w:val="00CF4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7023EA"/>
    <w:rPr>
      <w:sz w:val="22"/>
      <w:lang w:eastAsia="en-US"/>
    </w:rPr>
  </w:style>
  <w:style w:type="paragraph" w:styleId="Caption">
    <w:name w:val="caption"/>
    <w:aliases w:val="Figure"/>
    <w:basedOn w:val="Normal"/>
    <w:next w:val="Normal"/>
    <w:link w:val="CaptionChar"/>
    <w:qFormat/>
    <w:rsid w:val="00CA759F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CA759F"/>
    <w:rPr>
      <w:rFonts w:eastAsia="SimSu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peg3dv.research.nokia.com/svn/mpeg3dv/tags/3DV-ATMv5.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heny@qti.qualcomm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lizhang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791</Words>
  <Characters>4515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5296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https://hevc.hhi.fraunhofer.de/svn/svn_3DVCSoftware/tags/HTM-4.0/</vt:lpwstr>
      </vt:variant>
      <vt:variant>
        <vt:lpwstr/>
      </vt:variant>
      <vt:variant>
        <vt:i4>1966188</vt:i4>
      </vt:variant>
      <vt:variant>
        <vt:i4>0</vt:i4>
      </vt:variant>
      <vt:variant>
        <vt:i4>0</vt:i4>
      </vt:variant>
      <vt:variant>
        <vt:i4>5</vt:i4>
      </vt:variant>
      <vt:variant>
        <vt:lpwstr>mailto:jewonk@qti.qualcomm.com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Li Zhang</cp:lastModifiedBy>
  <cp:revision>13</cp:revision>
  <cp:lastPrinted>2012-10-04T15:32:00Z</cp:lastPrinted>
  <dcterms:created xsi:type="dcterms:W3CDTF">2012-10-07T15:44:00Z</dcterms:created>
  <dcterms:modified xsi:type="dcterms:W3CDTF">2012-10-08T10:57:00Z</dcterms:modified>
</cp:coreProperties>
</file>