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920B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8F9B587" wp14:editId="2EB5DA14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117C0989" wp14:editId="5E867F3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68CA845E" wp14:editId="3C44F6D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05702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05702C" w:rsidRPr="00E26FBC">
              <w:rPr>
                <w:u w:val="single"/>
                <w:lang w:val="en-CA"/>
              </w:rPr>
              <w:t>0046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A2C7E" w:rsidP="00080D6A">
            <w:pPr>
              <w:spacing w:before="60" w:after="60"/>
              <w:rPr>
                <w:b/>
                <w:szCs w:val="22"/>
                <w:lang w:val="en-CA"/>
              </w:rPr>
            </w:pPr>
            <w:r w:rsidRPr="008A2C7E">
              <w:rPr>
                <w:b/>
                <w:szCs w:val="22"/>
                <w:lang w:val="en-CA"/>
              </w:rPr>
              <w:t>AHG5</w:t>
            </w:r>
            <w:r>
              <w:rPr>
                <w:b/>
                <w:szCs w:val="22"/>
                <w:lang w:val="en-CA"/>
              </w:rPr>
              <w:t xml:space="preserve">: </w:t>
            </w:r>
            <w:r w:rsidR="0092785D">
              <w:rPr>
                <w:b/>
                <w:szCs w:val="22"/>
                <w:lang w:val="en-CA"/>
              </w:rPr>
              <w:t xml:space="preserve">MV-HEVC software </w:t>
            </w:r>
            <w:r w:rsidR="00734864">
              <w:rPr>
                <w:b/>
                <w:szCs w:val="22"/>
                <w:lang w:val="en-CA"/>
              </w:rPr>
              <w:t xml:space="preserve">for </w:t>
            </w:r>
            <w:r w:rsidR="0092785D">
              <w:rPr>
                <w:b/>
                <w:szCs w:val="22"/>
                <w:lang w:val="en-CA"/>
              </w:rPr>
              <w:t>HTM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7400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7400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F1DE4" w:rsidRDefault="00D009C5" w:rsidP="00DF1D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Li Zhang</w:t>
            </w:r>
            <w:r w:rsidR="00DF1DE4">
              <w:rPr>
                <w:szCs w:val="22"/>
                <w:lang w:val="en-CA"/>
              </w:rPr>
              <w:br/>
              <w:t>Ying Chen</w:t>
            </w:r>
            <w:r w:rsidR="00DF1DE4">
              <w:rPr>
                <w:szCs w:val="22"/>
                <w:lang w:val="en-CA"/>
              </w:rPr>
              <w:br/>
              <w:t>Jewon Kang</w:t>
            </w:r>
          </w:p>
          <w:p w:rsidR="00596068" w:rsidRDefault="00596068" w:rsidP="00DF1DE4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DF1DE4" w:rsidRDefault="00DF1DE4" w:rsidP="00DF1DE4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F1DE4" w:rsidRDefault="00677BBE" w:rsidP="00DF1DE4">
            <w:pPr>
              <w:spacing w:before="20"/>
              <w:rPr>
                <w:rStyle w:val="value"/>
              </w:rPr>
            </w:pPr>
            <w:r w:rsidRPr="00677BBE">
              <w:rPr>
                <w:szCs w:val="22"/>
              </w:rPr>
              <w:t>1-858-651-6660</w:t>
            </w:r>
            <w:r w:rsidR="00DF1DE4" w:rsidRPr="00906146">
              <w:rPr>
                <w:szCs w:val="22"/>
              </w:rPr>
              <w:br/>
            </w:r>
            <w:hyperlink r:id="rId10" w:history="1">
              <w:r w:rsidRPr="000E541E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DF1DE4" w:rsidRDefault="00DF1DE4" w:rsidP="00DF1DE4">
            <w:pPr>
              <w:spacing w:before="20"/>
              <w:rPr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0E541E">
                <w:rPr>
                  <w:rStyle w:val="Hyperlink"/>
                  <w:szCs w:val="22"/>
                </w:rPr>
                <w:t>cheny@qti.qualcomm.com</w:t>
              </w:r>
            </w:hyperlink>
          </w:p>
          <w:p w:rsidR="00677BBE" w:rsidRDefault="00677BBE" w:rsidP="00677BBE">
            <w:r w:rsidRPr="00677BBE">
              <w:rPr>
                <w:szCs w:val="22"/>
              </w:rPr>
              <w:t>1-858-651-8457</w:t>
            </w:r>
            <w:r>
              <w:rPr>
                <w:szCs w:val="22"/>
              </w:rPr>
              <w:br/>
            </w:r>
            <w:hyperlink r:id="rId12" w:history="1">
              <w:r w:rsidRPr="000E541E">
                <w:rPr>
                  <w:rStyle w:val="Hyperlink"/>
                </w:rPr>
                <w:t>jewonk@qti.qualcomm.com</w:t>
              </w:r>
            </w:hyperlink>
          </w:p>
          <w:p w:rsidR="00DF1DE4" w:rsidRPr="005B217D" w:rsidRDefault="00DF1DE4" w:rsidP="00DF1DE4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643D4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  <w:r w:rsidR="002165D7">
              <w:rPr>
                <w:szCs w:val="22"/>
                <w:lang w:val="en-CA"/>
              </w:rPr>
              <w:t xml:space="preserve"> </w:t>
            </w:r>
            <w:r w:rsidR="002165D7" w:rsidRPr="00352FB1">
              <w:rPr>
                <w:szCs w:val="22"/>
                <w:lang w:val="en-CA"/>
              </w:rPr>
              <w:t>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212DF" w:rsidRPr="005B217D" w:rsidRDefault="008F537A" w:rsidP="009234A5">
      <w:pPr>
        <w:jc w:val="both"/>
        <w:rPr>
          <w:szCs w:val="22"/>
          <w:lang w:val="en-CA"/>
        </w:rPr>
      </w:pPr>
      <w:r>
        <w:rPr>
          <w:lang w:val="en-CA"/>
        </w:rPr>
        <w:t>The current HTM software doesn’t contain an MV-HEVC software branch/configuration. The current HTM software only supports 3D-HEVC, although there are macros in the software</w:t>
      </w:r>
      <w:r w:rsidR="007B1BA3">
        <w:rPr>
          <w:lang w:val="en-CA"/>
        </w:rPr>
        <w:t xml:space="preserve"> that could be used to</w:t>
      </w:r>
      <w:r>
        <w:rPr>
          <w:lang w:val="en-CA"/>
        </w:rPr>
        <w:t xml:space="preserve"> turn off advanced coding tools, such as inter-view motion/residual prediction</w:t>
      </w:r>
      <w:r w:rsidR="00352FB1">
        <w:rPr>
          <w:lang w:val="en-CA"/>
        </w:rPr>
        <w:t>, to hypothetically simulate MV-HEVC for the purpose of e.g., roughly evaluate the performance of MV-HEVC</w:t>
      </w:r>
      <w:r>
        <w:rPr>
          <w:lang w:val="en-CA"/>
        </w:rPr>
        <w:t xml:space="preserve">. </w:t>
      </w:r>
      <w:r w:rsidR="00352FB1">
        <w:rPr>
          <w:lang w:val="en-CA"/>
        </w:rPr>
        <w:t>The</w:t>
      </w:r>
      <w:r>
        <w:rPr>
          <w:lang w:val="en-CA"/>
        </w:rPr>
        <w:t xml:space="preserve"> MV-HEVC software as a branch of HTM is helpful for the evaluation of the MV-HEVC proposals and facilitate</w:t>
      </w:r>
      <w:r w:rsidR="00352FB1">
        <w:rPr>
          <w:lang w:val="en-CA"/>
        </w:rPr>
        <w:t>s</w:t>
      </w:r>
      <w:r>
        <w:rPr>
          <w:lang w:val="en-CA"/>
        </w:rPr>
        <w:t xml:space="preserve"> the </w:t>
      </w:r>
      <w:r w:rsidR="00080D6A">
        <w:rPr>
          <w:lang w:val="en-CA"/>
        </w:rPr>
        <w:t xml:space="preserve">MV-HEVC standardization </w:t>
      </w:r>
      <w:r>
        <w:rPr>
          <w:lang w:val="en-CA"/>
        </w:rPr>
        <w:t>procedure</w:t>
      </w:r>
      <w:r w:rsidR="00352FB1">
        <w:rPr>
          <w:lang w:val="en-CA"/>
        </w:rPr>
        <w:t>, including the conformance test at a later stage</w:t>
      </w:r>
      <w:r>
        <w:rPr>
          <w:lang w:val="en-CA"/>
        </w:rPr>
        <w:t xml:space="preserve">. </w:t>
      </w:r>
      <w:r w:rsidR="00352FB1">
        <w:rPr>
          <w:lang w:val="en-CA"/>
        </w:rPr>
        <w:t xml:space="preserve">Therefore, a </w:t>
      </w:r>
      <w:r>
        <w:rPr>
          <w:lang w:val="en-CA"/>
        </w:rPr>
        <w:t xml:space="preserve">software branch is provided to align the MV-HEVC working draft </w:t>
      </w:r>
      <w:r w:rsidR="00B53E24">
        <w:rPr>
          <w:lang w:val="en-CA"/>
        </w:rPr>
        <w:t xml:space="preserve">with minor encoder/decoder changes. </w:t>
      </w:r>
      <w:r w:rsidR="0027122F">
        <w:rPr>
          <w:lang w:val="en-CA"/>
        </w:rPr>
        <w:t>This software branch can be easily configure</w:t>
      </w:r>
      <w:r w:rsidR="00963D13">
        <w:rPr>
          <w:lang w:val="en-CA"/>
        </w:rPr>
        <w:t>d</w:t>
      </w:r>
      <w:r w:rsidR="0027122F">
        <w:rPr>
          <w:lang w:val="en-CA"/>
        </w:rPr>
        <w:t xml:space="preserve"> as part of the HTM software. </w:t>
      </w:r>
      <w:r w:rsidR="005D6A3F">
        <w:rPr>
          <w:lang w:val="en-CA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BE7FAB" w:rsidRDefault="00BE7FAB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To align with </w:t>
      </w:r>
      <w:r w:rsidR="002F481D">
        <w:rPr>
          <w:szCs w:val="22"/>
          <w:lang w:val="en-CA"/>
        </w:rPr>
        <w:t xml:space="preserve">MV-HEVC </w:t>
      </w:r>
      <w:r w:rsidR="00B01780">
        <w:rPr>
          <w:szCs w:val="22"/>
          <w:lang w:val="en-CA"/>
        </w:rPr>
        <w:t>working draft (WD)</w:t>
      </w:r>
      <w:r w:rsidR="002F481D">
        <w:rPr>
          <w:szCs w:val="22"/>
          <w:lang w:val="en-CA"/>
        </w:rPr>
        <w:t xml:space="preserve">, there are two major </w:t>
      </w:r>
      <w:r w:rsidR="00305CC4">
        <w:rPr>
          <w:szCs w:val="22"/>
          <w:lang w:val="en-CA"/>
        </w:rPr>
        <w:t xml:space="preserve">aspects </w:t>
      </w:r>
      <w:r w:rsidR="002F481D">
        <w:rPr>
          <w:szCs w:val="22"/>
          <w:lang w:val="en-CA"/>
        </w:rPr>
        <w:t>that need to be taken care of.</w:t>
      </w:r>
    </w:p>
    <w:p w:rsidR="002F481D" w:rsidRDefault="002F481D" w:rsidP="002F481D">
      <w:pPr>
        <w:numPr>
          <w:ilvl w:val="0"/>
          <w:numId w:val="12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Align</w:t>
      </w:r>
      <w:r w:rsidR="009C16C8">
        <w:rPr>
          <w:szCs w:val="22"/>
          <w:lang w:val="en-CA"/>
        </w:rPr>
        <w:t>ment with</w:t>
      </w:r>
      <w:r>
        <w:rPr>
          <w:szCs w:val="22"/>
          <w:lang w:val="en-CA"/>
        </w:rPr>
        <w:t xml:space="preserve"> </w:t>
      </w:r>
      <w:r w:rsidR="006074FD">
        <w:rPr>
          <w:szCs w:val="22"/>
          <w:lang w:val="en-CA"/>
        </w:rPr>
        <w:t>the latest HEVC specification</w:t>
      </w:r>
      <w:r w:rsidR="00645EAD">
        <w:rPr>
          <w:szCs w:val="22"/>
          <w:lang w:val="en-CA"/>
        </w:rPr>
        <w:t xml:space="preserve"> for base view and non-base views</w:t>
      </w:r>
      <w:r w:rsidR="006074FD">
        <w:rPr>
          <w:szCs w:val="22"/>
          <w:lang w:val="en-CA"/>
        </w:rPr>
        <w:t xml:space="preserve">. </w:t>
      </w:r>
    </w:p>
    <w:p w:rsidR="00645EAD" w:rsidRDefault="00645EAD" w:rsidP="002F481D">
      <w:pPr>
        <w:numPr>
          <w:ilvl w:val="0"/>
          <w:numId w:val="12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Align</w:t>
      </w:r>
      <w:r w:rsidR="009C16C8">
        <w:rPr>
          <w:szCs w:val="22"/>
          <w:lang w:val="en-CA"/>
        </w:rPr>
        <w:t>ment</w:t>
      </w:r>
      <w:r>
        <w:rPr>
          <w:szCs w:val="22"/>
          <w:lang w:val="en-CA"/>
        </w:rPr>
        <w:t xml:space="preserve"> </w:t>
      </w:r>
      <w:r w:rsidR="009C16C8">
        <w:rPr>
          <w:szCs w:val="22"/>
          <w:lang w:val="en-CA"/>
        </w:rPr>
        <w:t xml:space="preserve">with </w:t>
      </w:r>
      <w:r>
        <w:rPr>
          <w:szCs w:val="22"/>
          <w:lang w:val="en-CA"/>
        </w:rPr>
        <w:t>MV-HEVC</w:t>
      </w:r>
      <w:r w:rsidR="00B01780">
        <w:rPr>
          <w:szCs w:val="22"/>
          <w:lang w:val="en-CA"/>
        </w:rPr>
        <w:t xml:space="preserve"> WD</w:t>
      </w:r>
      <w:r w:rsidR="00F32CFE">
        <w:rPr>
          <w:szCs w:val="22"/>
          <w:lang w:val="en-CA"/>
        </w:rPr>
        <w:t xml:space="preserve">, </w:t>
      </w:r>
      <w:r w:rsidR="00305CC4">
        <w:rPr>
          <w:szCs w:val="22"/>
          <w:lang w:val="en-CA"/>
        </w:rPr>
        <w:t xml:space="preserve">in terms of e.g., </w:t>
      </w:r>
      <w:r w:rsidR="00B33DF1">
        <w:rPr>
          <w:szCs w:val="22"/>
          <w:lang w:val="en-CA"/>
        </w:rPr>
        <w:t xml:space="preserve">3DV </w:t>
      </w:r>
      <w:r w:rsidR="00305CC4">
        <w:rPr>
          <w:szCs w:val="22"/>
          <w:lang w:val="en-CA"/>
        </w:rPr>
        <w:t xml:space="preserve">motion hook </w:t>
      </w:r>
      <w:r w:rsidR="00B33DF1">
        <w:rPr>
          <w:szCs w:val="22"/>
          <w:lang w:val="en-CA"/>
        </w:rPr>
        <w:t xml:space="preserve">in HEVC </w:t>
      </w:r>
      <w:r w:rsidR="00305CC4">
        <w:rPr>
          <w:szCs w:val="22"/>
          <w:lang w:val="en-CA"/>
        </w:rPr>
        <w:t>and reference picture marking</w:t>
      </w:r>
      <w:r w:rsidR="00B33DF1">
        <w:rPr>
          <w:szCs w:val="22"/>
          <w:lang w:val="en-CA"/>
        </w:rPr>
        <w:t xml:space="preserve"> in MV-HEVC</w:t>
      </w:r>
      <w:r w:rsidR="00305CC4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</w:p>
    <w:p w:rsidR="00E61DAC" w:rsidRDefault="00305CC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software package mainly aims at the second aspect, while the first aspect belongs to a potential </w:t>
      </w:r>
      <w:r w:rsidR="009C16C8">
        <w:rPr>
          <w:szCs w:val="22"/>
          <w:lang w:val="en-CA"/>
        </w:rPr>
        <w:t xml:space="preserve">migration </w:t>
      </w:r>
      <w:r>
        <w:rPr>
          <w:szCs w:val="22"/>
          <w:lang w:val="en-CA"/>
        </w:rPr>
        <w:t xml:space="preserve">of the HTM software to the latest HEVC </w:t>
      </w:r>
      <w:r w:rsidR="00991C24">
        <w:rPr>
          <w:szCs w:val="22"/>
          <w:lang w:val="en-CA"/>
        </w:rPr>
        <w:t>specification</w:t>
      </w:r>
      <w:r w:rsidR="009C16C8">
        <w:rPr>
          <w:szCs w:val="22"/>
          <w:lang w:val="en-CA"/>
        </w:rPr>
        <w:t xml:space="preserve"> and HM software</w:t>
      </w:r>
      <w:r>
        <w:rPr>
          <w:szCs w:val="22"/>
          <w:lang w:val="en-CA"/>
        </w:rPr>
        <w:t xml:space="preserve">. </w:t>
      </w:r>
    </w:p>
    <w:p w:rsidR="0084060A" w:rsidRDefault="0084060A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Although this proposal only focuses on MV-HEVC, some modified aspects, e.g., NAL unit header, reference picture marking, are applicable to both MV-HEVC and 3D-HEVC. </w:t>
      </w:r>
    </w:p>
    <w:p w:rsidR="00991C24" w:rsidRDefault="00991C2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following were modified to align the </w:t>
      </w:r>
      <w:r w:rsidR="00C327FA">
        <w:rPr>
          <w:szCs w:val="22"/>
          <w:lang w:val="en-CA"/>
        </w:rPr>
        <w:t xml:space="preserve">MV-HEVC. </w:t>
      </w:r>
    </w:p>
    <w:p w:rsidR="00C327FA" w:rsidRDefault="00CA7959" w:rsidP="00C327FA">
      <w:pPr>
        <w:numPr>
          <w:ilvl w:val="0"/>
          <w:numId w:val="13"/>
        </w:numPr>
        <w:jc w:val="both"/>
        <w:rPr>
          <w:szCs w:val="22"/>
          <w:lang w:val="en-CA"/>
        </w:rPr>
      </w:pPr>
      <w:r w:rsidRPr="00CA7959">
        <w:rPr>
          <w:szCs w:val="22"/>
          <w:lang w:val="en-CA"/>
        </w:rPr>
        <w:t xml:space="preserve">Parameter sets: </w:t>
      </w:r>
      <w:r w:rsidR="000A2EB2">
        <w:rPr>
          <w:szCs w:val="22"/>
          <w:lang w:val="en-CA"/>
        </w:rPr>
        <w:t xml:space="preserve">VPS, </w:t>
      </w:r>
      <w:r w:rsidRPr="00CA7959">
        <w:rPr>
          <w:szCs w:val="22"/>
          <w:lang w:val="en-CA"/>
        </w:rPr>
        <w:t xml:space="preserve">VPS extension, </w:t>
      </w:r>
      <w:r>
        <w:rPr>
          <w:szCs w:val="22"/>
          <w:lang w:val="en-CA"/>
        </w:rPr>
        <w:t xml:space="preserve">SPS, including </w:t>
      </w:r>
      <w:r w:rsidR="00B64911">
        <w:rPr>
          <w:szCs w:val="22"/>
          <w:lang w:val="en-CA"/>
        </w:rPr>
        <w:t xml:space="preserve">removal of </w:t>
      </w:r>
      <w:r>
        <w:rPr>
          <w:szCs w:val="22"/>
          <w:lang w:val="en-CA"/>
        </w:rPr>
        <w:t>camera parameters.</w:t>
      </w:r>
    </w:p>
    <w:p w:rsidR="00306254" w:rsidRDefault="002E1F74" w:rsidP="007E475A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NAL unit header</w:t>
      </w:r>
      <w:r w:rsidR="004E5FD2">
        <w:rPr>
          <w:szCs w:val="22"/>
          <w:lang w:val="en-CA"/>
        </w:rPr>
        <w:t xml:space="preserve"> syntax elements, including nal unit type, layer_id and temporal_id. </w:t>
      </w:r>
    </w:p>
    <w:p w:rsidR="00C327FA" w:rsidRPr="00774F1D" w:rsidRDefault="002E1F74" w:rsidP="00774F1D">
      <w:pPr>
        <w:numPr>
          <w:ilvl w:val="0"/>
          <w:numId w:val="13"/>
        </w:numPr>
        <w:jc w:val="both"/>
        <w:rPr>
          <w:szCs w:val="22"/>
          <w:lang w:val="en-CA"/>
        </w:rPr>
      </w:pPr>
      <w:r w:rsidRPr="00774F1D">
        <w:rPr>
          <w:szCs w:val="22"/>
          <w:lang w:val="en-CA"/>
        </w:rPr>
        <w:t>Decoded picture marking for inter-</w:t>
      </w:r>
      <w:r w:rsidR="00C61C0D" w:rsidRPr="00774F1D">
        <w:rPr>
          <w:szCs w:val="22"/>
          <w:lang w:val="en-CA"/>
        </w:rPr>
        <w:t>view reference pictures</w:t>
      </w:r>
      <w:r w:rsidR="00EE0476">
        <w:rPr>
          <w:szCs w:val="22"/>
          <w:lang w:val="en-CA"/>
        </w:rPr>
        <w:t>.</w:t>
      </w:r>
    </w:p>
    <w:p w:rsidR="00B64911" w:rsidRDefault="007A60AA" w:rsidP="007A60AA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Slice header, including </w:t>
      </w:r>
      <w:r w:rsidRPr="007A60AA">
        <w:rPr>
          <w:szCs w:val="22"/>
          <w:lang w:val="en-CA"/>
        </w:rPr>
        <w:t>removal of camera parameters</w:t>
      </w:r>
      <w:r>
        <w:rPr>
          <w:szCs w:val="22"/>
          <w:lang w:val="en-CA"/>
        </w:rPr>
        <w:t xml:space="preserve"> and reference picture list construction</w:t>
      </w:r>
      <w:r w:rsidR="00EE0476">
        <w:rPr>
          <w:szCs w:val="22"/>
          <w:lang w:val="en-CA"/>
        </w:rPr>
        <w:t>.</w:t>
      </w:r>
    </w:p>
    <w:p w:rsidR="00EE0476" w:rsidRDefault="00514219" w:rsidP="00774F1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Motion</w:t>
      </w:r>
      <w:r w:rsidR="007A60AA">
        <w:rPr>
          <w:szCs w:val="22"/>
          <w:lang w:val="en-CA"/>
        </w:rPr>
        <w:t xml:space="preserve"> </w:t>
      </w:r>
      <w:r w:rsidR="00EE0476">
        <w:rPr>
          <w:szCs w:val="22"/>
          <w:lang w:val="en-CA"/>
        </w:rPr>
        <w:t xml:space="preserve">prediction </w:t>
      </w:r>
      <w:r w:rsidR="007A60AA">
        <w:rPr>
          <w:szCs w:val="22"/>
          <w:lang w:val="en-CA"/>
        </w:rPr>
        <w:t>to be aligned with HEVC changes for merge and AMVP, including motion hooks.</w:t>
      </w:r>
    </w:p>
    <w:p w:rsidR="00EE0476" w:rsidRDefault="00EE0476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 w:rsidRPr="00774F1D">
        <w:rPr>
          <w:szCs w:val="22"/>
          <w:lang w:val="en-CA"/>
        </w:rPr>
        <w:lastRenderedPageBreak/>
        <w:t>Other c</w:t>
      </w:r>
      <w:r w:rsidR="00F40E8D" w:rsidRPr="00774F1D">
        <w:rPr>
          <w:szCs w:val="22"/>
          <w:lang w:val="en-CA"/>
        </w:rPr>
        <w:t>ode cleanup</w:t>
      </w:r>
      <w:r w:rsidRPr="00774F1D">
        <w:rPr>
          <w:szCs w:val="22"/>
          <w:lang w:val="en-CA"/>
        </w:rPr>
        <w:t xml:space="preserve">s. </w:t>
      </w:r>
    </w:p>
    <w:p w:rsidR="00E05FB7" w:rsidRDefault="00E05FB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</w:t>
      </w:r>
      <w:r w:rsidRPr="009C16C8">
        <w:rPr>
          <w:szCs w:val="22"/>
          <w:lang w:val="en-CA"/>
        </w:rPr>
        <w:t xml:space="preserve">he following </w:t>
      </w:r>
      <w:r w:rsidR="009C16C8">
        <w:rPr>
          <w:szCs w:val="22"/>
          <w:lang w:val="en-CA"/>
        </w:rPr>
        <w:t xml:space="preserve">items focusing on high level syntax, reference pictures </w:t>
      </w:r>
      <w:r w:rsidR="0003695D">
        <w:rPr>
          <w:szCs w:val="22"/>
          <w:lang w:val="en-CA"/>
        </w:rPr>
        <w:t>may</w:t>
      </w:r>
      <w:r>
        <w:rPr>
          <w:szCs w:val="22"/>
          <w:lang w:val="en-CA"/>
        </w:rPr>
        <w:t xml:space="preserve"> be </w:t>
      </w:r>
      <w:r w:rsidR="0003695D">
        <w:rPr>
          <w:szCs w:val="22"/>
          <w:lang w:val="en-CA"/>
        </w:rPr>
        <w:t xml:space="preserve">further </w:t>
      </w:r>
      <w:r>
        <w:rPr>
          <w:szCs w:val="22"/>
          <w:lang w:val="en-CA"/>
        </w:rPr>
        <w:t xml:space="preserve">modified </w:t>
      </w:r>
      <w:r w:rsidR="009C16C8">
        <w:rPr>
          <w:szCs w:val="22"/>
          <w:lang w:val="en-CA"/>
        </w:rPr>
        <w:t>as part of the future work</w:t>
      </w:r>
      <w:r>
        <w:rPr>
          <w:szCs w:val="22"/>
          <w:lang w:val="en-CA"/>
        </w:rPr>
        <w:t>:</w:t>
      </w:r>
    </w:p>
    <w:p w:rsidR="00E05FB7" w:rsidRPr="0018217D" w:rsidRDefault="009C16C8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 w:rsidRPr="0018217D">
        <w:rPr>
          <w:szCs w:val="22"/>
          <w:lang w:val="en-CA"/>
        </w:rPr>
        <w:t>nal</w:t>
      </w:r>
      <w:r w:rsidR="00E05FB7" w:rsidRPr="0018217D">
        <w:rPr>
          <w:szCs w:val="22"/>
          <w:lang w:val="en-CA"/>
        </w:rPr>
        <w:t>_</w:t>
      </w:r>
      <w:r w:rsidRPr="0018217D">
        <w:rPr>
          <w:szCs w:val="22"/>
          <w:lang w:val="en-CA"/>
        </w:rPr>
        <w:t>ref</w:t>
      </w:r>
      <w:r w:rsidR="00E05FB7" w:rsidRPr="0018217D">
        <w:rPr>
          <w:szCs w:val="22"/>
          <w:lang w:val="en-CA"/>
        </w:rPr>
        <w:t>_</w:t>
      </w:r>
      <w:r w:rsidRPr="0018217D">
        <w:rPr>
          <w:szCs w:val="22"/>
          <w:lang w:val="en-CA"/>
        </w:rPr>
        <w:t xml:space="preserve">flag </w:t>
      </w:r>
      <w:r w:rsidR="00E05FB7" w:rsidRPr="0018217D">
        <w:rPr>
          <w:szCs w:val="22"/>
          <w:lang w:val="en-CA"/>
        </w:rPr>
        <w:t>should be removed</w:t>
      </w:r>
      <w:r w:rsidR="00714CFD" w:rsidRPr="0018217D">
        <w:rPr>
          <w:szCs w:val="22"/>
          <w:lang w:val="en-CA"/>
        </w:rPr>
        <w:t xml:space="preserve"> </w:t>
      </w:r>
      <w:r w:rsidR="00EE0476" w:rsidRPr="0018217D">
        <w:rPr>
          <w:szCs w:val="22"/>
          <w:lang w:val="en-CA"/>
        </w:rPr>
        <w:t xml:space="preserve">from </w:t>
      </w:r>
      <w:r w:rsidR="00714CFD" w:rsidRPr="0018217D">
        <w:rPr>
          <w:szCs w:val="22"/>
          <w:lang w:val="en-CA"/>
        </w:rPr>
        <w:t>NAL unit header</w:t>
      </w:r>
      <w:r w:rsidR="00EE0476" w:rsidRPr="0018217D">
        <w:rPr>
          <w:szCs w:val="22"/>
          <w:lang w:val="en-CA"/>
        </w:rPr>
        <w:t>.</w:t>
      </w:r>
    </w:p>
    <w:p w:rsidR="009C16C8" w:rsidRPr="0018217D" w:rsidRDefault="009C16C8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 w:rsidRPr="0018217D">
        <w:rPr>
          <w:szCs w:val="22"/>
          <w:lang w:val="en-CA"/>
        </w:rPr>
        <w:t>The new nal unit types introduced in HEVC WD 8 should be included</w:t>
      </w:r>
      <w:r w:rsidR="00EE0476" w:rsidRPr="0018217D">
        <w:rPr>
          <w:szCs w:val="22"/>
          <w:lang w:val="en-CA"/>
        </w:rPr>
        <w:t>.</w:t>
      </w:r>
    </w:p>
    <w:p w:rsidR="00E53393" w:rsidRDefault="00D32019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Motion compression should be </w:t>
      </w:r>
      <w:r w:rsidR="009C16C8">
        <w:rPr>
          <w:szCs w:val="22"/>
          <w:lang w:val="en-CA"/>
        </w:rPr>
        <w:t xml:space="preserve">done for a view component, which is </w:t>
      </w:r>
      <w:r>
        <w:rPr>
          <w:szCs w:val="22"/>
          <w:lang w:val="en-CA"/>
        </w:rPr>
        <w:t xml:space="preserve">to </w:t>
      </w:r>
      <w:r w:rsidR="009C16C8">
        <w:rPr>
          <w:szCs w:val="22"/>
          <w:lang w:val="en-CA"/>
        </w:rPr>
        <w:t>be used as an inter-view reference picture, especially</w:t>
      </w:r>
      <w:r w:rsidR="00632C6B">
        <w:rPr>
          <w:szCs w:val="22"/>
          <w:lang w:val="en-CA"/>
        </w:rPr>
        <w:t xml:space="preserve"> if</w:t>
      </w:r>
      <w:r w:rsidR="009C16C8">
        <w:rPr>
          <w:szCs w:val="22"/>
          <w:lang w:val="en-CA"/>
        </w:rPr>
        <w:t xml:space="preserve"> it is to be used as a co-located picture of the current picture</w:t>
      </w:r>
      <w:r w:rsidR="00E31801">
        <w:rPr>
          <w:szCs w:val="22"/>
          <w:lang w:val="en-CA"/>
        </w:rPr>
        <w:t>.</w:t>
      </w:r>
    </w:p>
    <w:p w:rsidR="009C16C8" w:rsidRDefault="009C16C8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Removal of combined list</w:t>
      </w:r>
      <w:r w:rsidR="00E53393">
        <w:rPr>
          <w:szCs w:val="22"/>
          <w:lang w:val="en-CA"/>
        </w:rPr>
        <w:t>.</w:t>
      </w:r>
    </w:p>
    <w:p w:rsidR="00632C6B" w:rsidRDefault="00632C6B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Removal of Adaptation Parameter Set (APS) and Adaptive Loop Filter (ALF).</w:t>
      </w:r>
    </w:p>
    <w:p w:rsidR="00DB44EC" w:rsidRDefault="00632C6B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Other various aspects to reflect the difference between HM 8 and HM 6.</w:t>
      </w:r>
    </w:p>
    <w:p w:rsidR="00842745" w:rsidRDefault="00842745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extractor needs to be modified to align with encoder/decoder changes. </w:t>
      </w:r>
    </w:p>
    <w:p w:rsidR="00E05FB7" w:rsidRPr="009C16C8" w:rsidRDefault="00E05FB7" w:rsidP="0018217D">
      <w:pPr>
        <w:jc w:val="both"/>
        <w:rPr>
          <w:szCs w:val="22"/>
          <w:lang w:val="en-CA"/>
        </w:rPr>
      </w:pPr>
    </w:p>
    <w:p w:rsidR="00E61DAC" w:rsidRPr="005B217D" w:rsidRDefault="00C61C0D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Some of the </w:t>
      </w:r>
      <w:r w:rsidR="003436F2">
        <w:rPr>
          <w:szCs w:val="22"/>
          <w:lang w:val="en-CA"/>
        </w:rPr>
        <w:t xml:space="preserve">software </w:t>
      </w:r>
      <w:r>
        <w:rPr>
          <w:szCs w:val="22"/>
          <w:lang w:val="en-CA"/>
        </w:rPr>
        <w:t xml:space="preserve">modifications are </w:t>
      </w:r>
      <w:r w:rsidR="003436F2">
        <w:rPr>
          <w:szCs w:val="22"/>
          <w:lang w:val="en-CA"/>
        </w:rPr>
        <w:t>applicable to the 3D-HEVC software branch</w:t>
      </w:r>
      <w:r w:rsidR="006D49CC">
        <w:rPr>
          <w:szCs w:val="22"/>
          <w:lang w:val="en-CA"/>
        </w:rPr>
        <w:t>, since they are aligned to 3D-HEVC as well</w:t>
      </w:r>
      <w:r w:rsidR="003436F2">
        <w:rPr>
          <w:szCs w:val="22"/>
          <w:lang w:val="en-CA"/>
        </w:rPr>
        <w:t xml:space="preserve">. </w:t>
      </w:r>
    </w:p>
    <w:p w:rsidR="00DF3455" w:rsidRPr="005B217D" w:rsidRDefault="00DF3455" w:rsidP="00DF3455">
      <w:pPr>
        <w:pStyle w:val="Heading1"/>
        <w:rPr>
          <w:lang w:val="en-CA"/>
        </w:rPr>
      </w:pPr>
      <w:r>
        <w:rPr>
          <w:lang w:val="en-CA"/>
        </w:rPr>
        <w:t xml:space="preserve">Description of the </w:t>
      </w:r>
      <w:r w:rsidR="00842745">
        <w:rPr>
          <w:lang w:val="en-CA"/>
        </w:rPr>
        <w:t xml:space="preserve">major </w:t>
      </w:r>
      <w:r>
        <w:rPr>
          <w:lang w:val="en-CA"/>
        </w:rPr>
        <w:t>software changes</w:t>
      </w:r>
    </w:p>
    <w:p w:rsidR="001F2594" w:rsidRPr="005B217D" w:rsidRDefault="00CA252A" w:rsidP="00CA252A">
      <w:pPr>
        <w:pStyle w:val="Heading2"/>
        <w:rPr>
          <w:lang w:val="en-CA"/>
        </w:rPr>
      </w:pPr>
      <w:r>
        <w:rPr>
          <w:lang w:val="en-CA"/>
        </w:rPr>
        <w:t>Parameter Sets</w:t>
      </w:r>
    </w:p>
    <w:p w:rsidR="00842745" w:rsidRPr="00774F1D" w:rsidRDefault="00842745" w:rsidP="0018217D">
      <w:pPr>
        <w:pStyle w:val="ListParagraph"/>
        <w:numPr>
          <w:ilvl w:val="0"/>
          <w:numId w:val="21"/>
        </w:numPr>
        <w:jc w:val="both"/>
        <w:rPr>
          <w:szCs w:val="22"/>
          <w:lang w:val="en-CA"/>
        </w:rPr>
      </w:pPr>
      <w:r w:rsidRPr="00774F1D">
        <w:rPr>
          <w:szCs w:val="22"/>
          <w:lang w:val="en-CA"/>
        </w:rPr>
        <w:t>In video parameter sets</w:t>
      </w:r>
      <w:r w:rsidR="006C45D4" w:rsidRPr="00774F1D">
        <w:rPr>
          <w:szCs w:val="22"/>
          <w:lang w:val="en-CA"/>
        </w:rPr>
        <w:t xml:space="preserve"> (VPS)</w:t>
      </w:r>
      <w:r w:rsidRPr="00774F1D">
        <w:rPr>
          <w:szCs w:val="22"/>
          <w:lang w:val="en-CA"/>
        </w:rPr>
        <w:t xml:space="preserve">, the view dependencies are signalled, besides, operation points are also signalled. </w:t>
      </w:r>
      <w:r w:rsidR="006C45D4" w:rsidRPr="00774F1D">
        <w:rPr>
          <w:szCs w:val="22"/>
          <w:lang w:val="en-CA"/>
        </w:rPr>
        <w:t>The view_id of each view is also signalled in the VPS</w:t>
      </w:r>
      <w:r w:rsidR="0051093C">
        <w:rPr>
          <w:szCs w:val="22"/>
          <w:lang w:val="en-CA"/>
        </w:rPr>
        <w:t>.</w:t>
      </w:r>
    </w:p>
    <w:p w:rsidR="001F2594" w:rsidRPr="00774F1D" w:rsidRDefault="00842745" w:rsidP="0018217D">
      <w:pPr>
        <w:pStyle w:val="ListParagraph"/>
        <w:numPr>
          <w:ilvl w:val="0"/>
          <w:numId w:val="21"/>
        </w:numPr>
        <w:jc w:val="both"/>
        <w:rPr>
          <w:szCs w:val="22"/>
          <w:lang w:val="en-CA"/>
        </w:rPr>
      </w:pPr>
      <w:r w:rsidRPr="00774F1D">
        <w:rPr>
          <w:szCs w:val="22"/>
          <w:lang w:val="en-CA"/>
        </w:rPr>
        <w:t xml:space="preserve">Camera parameters are not needed in </w:t>
      </w:r>
      <w:r w:rsidR="00F13BF0" w:rsidRPr="00774F1D">
        <w:rPr>
          <w:szCs w:val="22"/>
          <w:lang w:val="en-CA"/>
        </w:rPr>
        <w:t xml:space="preserve">both </w:t>
      </w:r>
      <w:r w:rsidR="009E6C56" w:rsidRPr="00774F1D">
        <w:rPr>
          <w:szCs w:val="22"/>
          <w:lang w:val="en-CA"/>
        </w:rPr>
        <w:t>3D-</w:t>
      </w:r>
      <w:r w:rsidR="00F13BF0" w:rsidRPr="00774F1D">
        <w:rPr>
          <w:szCs w:val="22"/>
          <w:lang w:val="en-CA"/>
        </w:rPr>
        <w:t>HEVC and MV-HEVC, so they are removed from sequence parameter set</w:t>
      </w:r>
      <w:r w:rsidR="006C45D4" w:rsidRPr="00774F1D">
        <w:rPr>
          <w:szCs w:val="22"/>
          <w:lang w:val="en-CA"/>
        </w:rPr>
        <w:t xml:space="preserve"> (SPS)</w:t>
      </w:r>
      <w:r w:rsidR="00F13BF0" w:rsidRPr="00774F1D">
        <w:rPr>
          <w:szCs w:val="22"/>
          <w:lang w:val="en-CA"/>
        </w:rPr>
        <w:t xml:space="preserve">. Encoder supports sharing one </w:t>
      </w:r>
      <w:r w:rsidR="009E6C56" w:rsidRPr="00774F1D">
        <w:rPr>
          <w:szCs w:val="22"/>
          <w:lang w:val="en-CA"/>
        </w:rPr>
        <w:t xml:space="preserve">SPS </w:t>
      </w:r>
      <w:r w:rsidR="00F13BF0" w:rsidRPr="00774F1D">
        <w:rPr>
          <w:szCs w:val="22"/>
          <w:lang w:val="en-CA"/>
        </w:rPr>
        <w:t>for multiple views</w:t>
      </w:r>
      <w:r w:rsidR="009E6C56" w:rsidRPr="00774F1D">
        <w:rPr>
          <w:szCs w:val="22"/>
          <w:lang w:val="en-CA"/>
        </w:rPr>
        <w:t xml:space="preserve">. </w:t>
      </w:r>
    </w:p>
    <w:p w:rsidR="00B64911" w:rsidRDefault="006C45D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We may consider transmitting camera parameter set in additional SEI messages. </w:t>
      </w:r>
    </w:p>
    <w:p w:rsidR="00CA252A" w:rsidRDefault="00CA252A" w:rsidP="00CA252A">
      <w:pPr>
        <w:pStyle w:val="Heading2"/>
        <w:rPr>
          <w:lang w:val="en-CA"/>
        </w:rPr>
      </w:pPr>
      <w:r>
        <w:rPr>
          <w:lang w:val="en-CA"/>
        </w:rPr>
        <w:t>NAL unit header</w:t>
      </w:r>
    </w:p>
    <w:p w:rsidR="004E5FD2" w:rsidRPr="0018217D" w:rsidRDefault="004E5FD2" w:rsidP="0018217D">
      <w:pPr>
        <w:numPr>
          <w:ilvl w:val="0"/>
          <w:numId w:val="13"/>
        </w:numPr>
        <w:jc w:val="both"/>
      </w:pPr>
      <w:r>
        <w:rPr>
          <w:szCs w:val="22"/>
          <w:lang w:val="en-CA"/>
        </w:rPr>
        <w:t xml:space="preserve">layer_id is signalled with </w:t>
      </w:r>
      <w:r w:rsidR="00930B73">
        <w:rPr>
          <w:szCs w:val="22"/>
          <w:lang w:val="en-CA"/>
        </w:rPr>
        <w:t>5-</w:t>
      </w:r>
      <w:r>
        <w:rPr>
          <w:szCs w:val="22"/>
          <w:lang w:val="en-CA"/>
        </w:rPr>
        <w:t xml:space="preserve">bit </w:t>
      </w:r>
      <w:r w:rsidR="00930B73">
        <w:rPr>
          <w:szCs w:val="22"/>
          <w:lang w:val="en-CA"/>
        </w:rPr>
        <w:t xml:space="preserve">by reusing the </w:t>
      </w:r>
      <w:r w:rsidR="00930B73" w:rsidRPr="00930B73">
        <w:rPr>
          <w:szCs w:val="22"/>
          <w:lang w:val="en-CA"/>
        </w:rPr>
        <w:t>reserved_zero_</w:t>
      </w:r>
      <w:r w:rsidR="00930B73">
        <w:rPr>
          <w:szCs w:val="22"/>
          <w:lang w:val="en-CA"/>
        </w:rPr>
        <w:t>5</w:t>
      </w:r>
      <w:r w:rsidR="00930B73" w:rsidRPr="00930B73">
        <w:rPr>
          <w:szCs w:val="22"/>
          <w:lang w:val="en-CA"/>
        </w:rPr>
        <w:t>bits</w:t>
      </w:r>
      <w:r>
        <w:rPr>
          <w:szCs w:val="22"/>
          <w:lang w:val="en-CA"/>
        </w:rPr>
        <w:t>. View order index of each NAL unit is derived to be equal to layer_id.</w:t>
      </w:r>
    </w:p>
    <w:p w:rsidR="004E5FD2" w:rsidRDefault="004E5FD2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 w:rsidRPr="005809F3">
        <w:rPr>
          <w:szCs w:val="22"/>
          <w:lang w:val="en-CA"/>
        </w:rPr>
        <w:t>nuh_temporal_id_plus1</w:t>
      </w:r>
      <w:r>
        <w:rPr>
          <w:szCs w:val="22"/>
          <w:lang w:val="en-CA"/>
        </w:rPr>
        <w:t xml:space="preserve"> is signalled instead of temporal_id. </w:t>
      </w:r>
    </w:p>
    <w:p w:rsidR="004E5FD2" w:rsidRDefault="004E5FD2" w:rsidP="0018217D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  <w:lang w:val="en-CA"/>
        </w:rPr>
        <w:t xml:space="preserve">NAL unit type related to </w:t>
      </w:r>
      <w:r w:rsidRPr="007E475A">
        <w:rPr>
          <w:szCs w:val="22"/>
          <w:lang w:val="en-CA"/>
        </w:rPr>
        <w:t xml:space="preserve">random access point </w:t>
      </w:r>
      <w:r>
        <w:rPr>
          <w:szCs w:val="22"/>
          <w:lang w:val="en-CA"/>
        </w:rPr>
        <w:t xml:space="preserve">(RAP), i.e., </w:t>
      </w:r>
      <w:r w:rsidRPr="00306254">
        <w:rPr>
          <w:szCs w:val="22"/>
        </w:rPr>
        <w:t>NAL_UNIT_CODED_SLICE_IDV</w:t>
      </w:r>
      <w:r>
        <w:rPr>
          <w:szCs w:val="22"/>
        </w:rPr>
        <w:t xml:space="preserve"> is removed</w:t>
      </w:r>
      <w:r w:rsidR="00AB26B8">
        <w:rPr>
          <w:szCs w:val="22"/>
        </w:rPr>
        <w:t xml:space="preserve">. MV-HEVC assumes that </w:t>
      </w:r>
      <w:r w:rsidR="002A41D7">
        <w:rPr>
          <w:szCs w:val="22"/>
        </w:rPr>
        <w:t xml:space="preserve">a </w:t>
      </w:r>
      <w:r w:rsidR="00AB26B8">
        <w:rPr>
          <w:szCs w:val="22"/>
        </w:rPr>
        <w:t>random access point uses the same NAL unit type</w:t>
      </w:r>
      <w:r w:rsidR="002A41D7">
        <w:rPr>
          <w:szCs w:val="22"/>
        </w:rPr>
        <w:t xml:space="preserve"> a</w:t>
      </w:r>
      <w:r w:rsidR="00AB26B8">
        <w:rPr>
          <w:szCs w:val="22"/>
        </w:rPr>
        <w:t xml:space="preserve">s </w:t>
      </w:r>
      <w:r w:rsidR="002A41D7">
        <w:rPr>
          <w:szCs w:val="22"/>
        </w:rPr>
        <w:t xml:space="preserve">that of </w:t>
      </w:r>
      <w:r w:rsidR="00AB26B8">
        <w:rPr>
          <w:szCs w:val="22"/>
        </w:rPr>
        <w:t xml:space="preserve">the base view RAP view </w:t>
      </w:r>
      <w:r w:rsidR="00B158D3">
        <w:rPr>
          <w:szCs w:val="22"/>
        </w:rPr>
        <w:t>component, thus no new nal unit type for those RAP view components is needed.</w:t>
      </w:r>
    </w:p>
    <w:p w:rsidR="00F93F1B" w:rsidRPr="0018217D" w:rsidRDefault="00B158D3" w:rsidP="004E5FD2">
      <w:r>
        <w:t>Current software supports only two types of RAPs, IDR and CRA, more types need to be integrated from HM together with the removal of nal_ref_flag.</w:t>
      </w:r>
    </w:p>
    <w:p w:rsidR="00CA252A" w:rsidRPr="00CA252A" w:rsidRDefault="00261CD4" w:rsidP="00261CD4">
      <w:pPr>
        <w:pStyle w:val="Heading2"/>
        <w:ind w:left="720" w:hanging="720"/>
        <w:rPr>
          <w:lang w:val="en-CA"/>
        </w:rPr>
      </w:pPr>
      <w:r w:rsidRPr="00261CD4">
        <w:rPr>
          <w:lang w:val="en-CA"/>
        </w:rPr>
        <w:t>Decoded picture marking</w:t>
      </w:r>
    </w:p>
    <w:p w:rsidR="00474B1A" w:rsidRPr="0018217D" w:rsidRDefault="0089083C" w:rsidP="0018217D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 xml:space="preserve">At the encoder, temporal reference pictures, as in </w:t>
      </w:r>
      <w:r w:rsidR="00385CD3" w:rsidRPr="00943A5F">
        <w:rPr>
          <w:noProof/>
          <w:lang w:eastAsia="ko-KR"/>
        </w:rPr>
        <w:t>RefPicSetStCurrBefore</w:t>
      </w:r>
      <w:r w:rsidR="00385CD3">
        <w:rPr>
          <w:noProof/>
          <w:lang w:eastAsia="ko-KR"/>
        </w:rPr>
        <w:t xml:space="preserve"> and </w:t>
      </w:r>
      <w:r w:rsidR="00385CD3" w:rsidRPr="00943A5F">
        <w:rPr>
          <w:noProof/>
          <w:lang w:eastAsia="ko-KR"/>
        </w:rPr>
        <w:t>RefPicSetStCurr</w:t>
      </w:r>
      <w:r w:rsidR="00385CD3">
        <w:rPr>
          <w:noProof/>
          <w:lang w:eastAsia="ko-KR"/>
        </w:rPr>
        <w:t xml:space="preserve">After </w:t>
      </w:r>
      <w:r>
        <w:rPr>
          <w:szCs w:val="22"/>
        </w:rPr>
        <w:t xml:space="preserve">are marked as “short-term”, </w:t>
      </w:r>
      <w:r w:rsidR="00385CD3">
        <w:rPr>
          <w:szCs w:val="22"/>
        </w:rPr>
        <w:t xml:space="preserve">pictures in </w:t>
      </w:r>
      <w:r>
        <w:rPr>
          <w:szCs w:val="22"/>
        </w:rPr>
        <w:t xml:space="preserve">inter-view reference picture </w:t>
      </w:r>
      <w:r w:rsidR="00385CD3">
        <w:rPr>
          <w:szCs w:val="22"/>
        </w:rPr>
        <w:t>set are marked as “long-term”</w:t>
      </w:r>
      <w:r w:rsidR="00474B1A" w:rsidRPr="0018217D">
        <w:rPr>
          <w:szCs w:val="22"/>
        </w:rPr>
        <w:t>.</w:t>
      </w:r>
    </w:p>
    <w:p w:rsidR="00D46200" w:rsidRDefault="0031065C" w:rsidP="00D46200">
      <w:pPr>
        <w:pStyle w:val="Heading2"/>
        <w:ind w:left="720" w:hanging="720"/>
        <w:rPr>
          <w:lang w:val="en-CA"/>
        </w:rPr>
      </w:pPr>
      <w:r>
        <w:rPr>
          <w:szCs w:val="22"/>
          <w:lang w:val="en-CA"/>
        </w:rPr>
        <w:t>Slice header</w:t>
      </w:r>
    </w:p>
    <w:p w:rsidR="00E411BD" w:rsidRDefault="00774F1D" w:rsidP="00AB26B8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Camera parameters are removed from the slice header</w:t>
      </w:r>
      <w:r w:rsidR="002607A3">
        <w:rPr>
          <w:szCs w:val="22"/>
          <w:lang w:val="en-CA"/>
        </w:rPr>
        <w:t xml:space="preserve">. </w:t>
      </w:r>
    </w:p>
    <w:p w:rsidR="00774F1D" w:rsidRDefault="005A52CB" w:rsidP="006F2BF4">
      <w:pPr>
        <w:numPr>
          <w:ilvl w:val="1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>C</w:t>
      </w:r>
      <w:r w:rsidR="002607A3">
        <w:rPr>
          <w:szCs w:val="22"/>
          <w:lang w:val="en-CA"/>
        </w:rPr>
        <w:t xml:space="preserve">amera parameters were signalled in the slice header when they are not constant within the whole sequence. Since they are not needed in MV-HEVC (actually also in 3D-HEVC), the </w:t>
      </w:r>
      <w:r w:rsidR="00B33D3C">
        <w:rPr>
          <w:szCs w:val="22"/>
          <w:lang w:val="en-CA"/>
        </w:rPr>
        <w:t xml:space="preserve">transmitted </w:t>
      </w:r>
      <w:r w:rsidR="002607A3">
        <w:rPr>
          <w:szCs w:val="22"/>
          <w:lang w:val="en-CA"/>
        </w:rPr>
        <w:t>scale and offset values used for warping of depth samples are excluded from the slice header.</w:t>
      </w:r>
    </w:p>
    <w:p w:rsidR="00774F1D" w:rsidRDefault="00774F1D" w:rsidP="00AB26B8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Reference picture list construction </w:t>
      </w:r>
    </w:p>
    <w:p w:rsidR="00AB26B8" w:rsidRDefault="00183DE5" w:rsidP="0018217D">
      <w:pPr>
        <w:numPr>
          <w:ilvl w:val="1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HTM, </w:t>
      </w:r>
      <w:r w:rsidR="00AB26B8">
        <w:rPr>
          <w:szCs w:val="22"/>
          <w:lang w:val="en-CA"/>
        </w:rPr>
        <w:t>temporal</w:t>
      </w:r>
      <w:r w:rsidR="00A622A7">
        <w:rPr>
          <w:szCs w:val="22"/>
          <w:lang w:val="en-CA"/>
        </w:rPr>
        <w:t>ID</w:t>
      </w:r>
      <w:r w:rsidR="00AB26B8">
        <w:rPr>
          <w:szCs w:val="22"/>
          <w:lang w:val="en-CA"/>
        </w:rPr>
        <w:t xml:space="preserve"> is </w:t>
      </w:r>
      <w:r>
        <w:rPr>
          <w:szCs w:val="22"/>
          <w:lang w:val="en-CA"/>
        </w:rPr>
        <w:t>always set to 0. It is changed to be aligned with HM, so that not all pictures (only those with lower or equal temporalID</w:t>
      </w:r>
      <w:r w:rsidR="00A622A7">
        <w:rPr>
          <w:szCs w:val="22"/>
          <w:lang w:val="en-CA"/>
        </w:rPr>
        <w:t xml:space="preserve"> values</w:t>
      </w:r>
      <w:r>
        <w:rPr>
          <w:szCs w:val="22"/>
          <w:lang w:val="en-CA"/>
        </w:rPr>
        <w:t>) can be added into the reference picture list of the current picture.</w:t>
      </w:r>
    </w:p>
    <w:p w:rsidR="00183DE5" w:rsidRDefault="00C74ECD" w:rsidP="0018217D">
      <w:pPr>
        <w:numPr>
          <w:ilvl w:val="1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To avoid unnecessary reference picture list modification, </w:t>
      </w:r>
      <w:r w:rsidR="00534E45">
        <w:rPr>
          <w:szCs w:val="22"/>
          <w:lang w:val="en-CA"/>
        </w:rPr>
        <w:t xml:space="preserve">a new syntax </w:t>
      </w:r>
      <w:r w:rsidR="001B077B">
        <w:rPr>
          <w:szCs w:val="22"/>
          <w:lang w:val="en-CA"/>
        </w:rPr>
        <w:t xml:space="preserve">element </w:t>
      </w:r>
      <w:r w:rsidR="00534E45">
        <w:rPr>
          <w:szCs w:val="22"/>
          <w:lang w:val="en-CA"/>
        </w:rPr>
        <w:t xml:space="preserve">is introduced in slice header to specify the </w:t>
      </w:r>
      <w:r w:rsidR="00FD08F5">
        <w:rPr>
          <w:szCs w:val="22"/>
          <w:lang w:val="en-CA"/>
        </w:rPr>
        <w:t>initial</w:t>
      </w:r>
      <w:r w:rsidR="00534E45">
        <w:rPr>
          <w:szCs w:val="22"/>
          <w:lang w:val="en-CA"/>
        </w:rPr>
        <w:t xml:space="preserve"> position of the inter-view reference picture (s) in the reference picture list. </w:t>
      </w:r>
    </w:p>
    <w:p w:rsidR="002802D2" w:rsidRPr="00D46200" w:rsidRDefault="002802D2" w:rsidP="002802D2">
      <w:pPr>
        <w:pStyle w:val="Heading2"/>
        <w:ind w:left="720" w:hanging="720"/>
        <w:rPr>
          <w:lang w:val="en-CA"/>
        </w:rPr>
      </w:pPr>
      <w:r>
        <w:rPr>
          <w:lang w:val="en-CA"/>
        </w:rPr>
        <w:t>Motion</w:t>
      </w:r>
      <w:r w:rsidR="00534E45">
        <w:rPr>
          <w:lang w:val="en-CA"/>
        </w:rPr>
        <w:t xml:space="preserve"> prediction</w:t>
      </w:r>
    </w:p>
    <w:p w:rsidR="00D46200" w:rsidRDefault="00D87E2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MV-HEVC, all the inter-view reference pictures are used as long-term reference pictures. Therefore, </w:t>
      </w:r>
      <w:r w:rsidR="003C2B74">
        <w:rPr>
          <w:szCs w:val="22"/>
          <w:lang w:val="en-CA"/>
        </w:rPr>
        <w:t xml:space="preserve">in various places, </w:t>
      </w:r>
      <w:r w:rsidR="00F33CC6">
        <w:rPr>
          <w:szCs w:val="22"/>
          <w:lang w:val="en-CA"/>
        </w:rPr>
        <w:t xml:space="preserve">identifying </w:t>
      </w:r>
      <w:r w:rsidR="000A1141">
        <w:rPr>
          <w:szCs w:val="22"/>
          <w:lang w:val="en-CA"/>
        </w:rPr>
        <w:t>an inter-view reference based comparing of POC value or view order index are replaced by checking whether the reference picture is</w:t>
      </w:r>
      <w:r w:rsidR="00A232FC">
        <w:rPr>
          <w:szCs w:val="22"/>
          <w:lang w:val="en-CA"/>
        </w:rPr>
        <w:t>/was</w:t>
      </w:r>
      <w:r w:rsidR="000A1141">
        <w:rPr>
          <w:szCs w:val="22"/>
          <w:lang w:val="en-CA"/>
        </w:rPr>
        <w:t xml:space="preserve"> long-term or not, including the following aspects. </w:t>
      </w:r>
    </w:p>
    <w:p w:rsidR="00EE0476" w:rsidRPr="0018217D" w:rsidRDefault="00EE0476" w:rsidP="0018217D">
      <w:pPr>
        <w:numPr>
          <w:ilvl w:val="0"/>
          <w:numId w:val="13"/>
        </w:numPr>
        <w:jc w:val="both"/>
        <w:rPr>
          <w:szCs w:val="22"/>
        </w:rPr>
      </w:pPr>
      <w:r w:rsidRPr="0018217D">
        <w:rPr>
          <w:szCs w:val="22"/>
        </w:rPr>
        <w:t>AMVP</w:t>
      </w:r>
    </w:p>
    <w:p w:rsidR="00EE0476" w:rsidRDefault="00F10DA4" w:rsidP="0018217D">
      <w:pPr>
        <w:numPr>
          <w:ilvl w:val="1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Unless a neighboring (spatial or temporal) block and the current block both refer to the same type of reference pictures, i.e., either both short-term or both long-term, the </w:t>
      </w:r>
      <w:r w:rsidR="00C3762A">
        <w:rPr>
          <w:szCs w:val="22"/>
          <w:lang w:val="en-CA"/>
        </w:rPr>
        <w:t xml:space="preserve">candidate from the </w:t>
      </w:r>
      <w:r>
        <w:rPr>
          <w:szCs w:val="22"/>
          <w:lang w:val="en-CA"/>
        </w:rPr>
        <w:t>neighboring block is considered as unavailable</w:t>
      </w:r>
      <w:r w:rsidR="00EE0476">
        <w:rPr>
          <w:szCs w:val="22"/>
          <w:lang w:val="en-CA"/>
        </w:rPr>
        <w:t>.</w:t>
      </w:r>
    </w:p>
    <w:p w:rsidR="00E411BD" w:rsidRDefault="00F10DA4" w:rsidP="0018217D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M</w:t>
      </w:r>
      <w:r w:rsidR="00EE0476">
        <w:rPr>
          <w:szCs w:val="22"/>
          <w:lang w:val="en-CA"/>
        </w:rPr>
        <w:t>erge</w:t>
      </w:r>
    </w:p>
    <w:p w:rsidR="00EE0476" w:rsidRDefault="00F10DA4" w:rsidP="006F2BF4">
      <w:pPr>
        <w:numPr>
          <w:ilvl w:val="1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</w:t>
      </w:r>
      <w:r w:rsidR="00EE0476">
        <w:rPr>
          <w:szCs w:val="22"/>
          <w:lang w:val="en-CA"/>
        </w:rPr>
        <w:t>target reference index of temporal merging candidate is always set to 0</w:t>
      </w:r>
      <w:r>
        <w:rPr>
          <w:szCs w:val="22"/>
          <w:lang w:val="en-CA"/>
        </w:rPr>
        <w:t xml:space="preserve"> to be aligned with the latest HM</w:t>
      </w:r>
      <w:r w:rsidR="00EE0476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  <w:r w:rsidR="00C3762A">
        <w:rPr>
          <w:szCs w:val="22"/>
          <w:lang w:val="en-CA"/>
        </w:rPr>
        <w:t xml:space="preserve">When a co-located block in </w:t>
      </w:r>
      <w:r w:rsidR="00E0480C">
        <w:rPr>
          <w:szCs w:val="22"/>
          <w:lang w:val="en-CA"/>
        </w:rPr>
        <w:t xml:space="preserve">the co-located picture </w:t>
      </w:r>
      <w:r w:rsidR="00C3762A">
        <w:rPr>
          <w:szCs w:val="22"/>
          <w:lang w:val="en-CA"/>
        </w:rPr>
        <w:t>refers to a reference picture which has a different type (short-term or long-term) than identified by the target reference index (0), the candidate from the co-located block is considered as unavailable.</w:t>
      </w:r>
    </w:p>
    <w:p w:rsidR="00BA346A" w:rsidRPr="005B217D" w:rsidRDefault="007E3BEB" w:rsidP="00BA346A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F670B1" w:rsidRDefault="0080247F" w:rsidP="00F670B1">
      <w:pPr>
        <w:spacing w:before="240"/>
        <w:jc w:val="both"/>
        <w:rPr>
          <w:szCs w:val="22"/>
          <w:lang w:eastAsia="zh-TW"/>
        </w:rPr>
      </w:pPr>
      <w:r>
        <w:rPr>
          <w:rFonts w:hint="eastAsia"/>
          <w:szCs w:val="22"/>
          <w:lang w:eastAsia="zh-CN"/>
        </w:rPr>
        <w:t>To evaluate the performance of the proposed software,</w:t>
      </w:r>
      <w:r w:rsidR="00F670B1">
        <w:rPr>
          <w:szCs w:val="22"/>
          <w:lang w:eastAsia="zh-TW"/>
        </w:rPr>
        <w:t xml:space="preserve"> </w:t>
      </w:r>
      <w:r>
        <w:rPr>
          <w:rFonts w:hint="eastAsia"/>
          <w:szCs w:val="22"/>
          <w:lang w:eastAsia="zh-CN"/>
        </w:rPr>
        <w:t>3D-HTM 4.0 is used as the anchor and c</w:t>
      </w:r>
      <w:r w:rsidR="00F670B1">
        <w:rPr>
          <w:szCs w:val="22"/>
          <w:lang w:eastAsia="ja-JP"/>
        </w:rPr>
        <w:t xml:space="preserve">ommon test conditions </w:t>
      </w:r>
      <w:r w:rsidR="00F670B1">
        <w:rPr>
          <w:szCs w:val="22"/>
          <w:lang w:eastAsia="ja-JP"/>
        </w:rPr>
        <w:fldChar w:fldCharType="begin"/>
      </w:r>
      <w:r w:rsidR="00F670B1">
        <w:rPr>
          <w:szCs w:val="22"/>
          <w:lang w:eastAsia="ja-JP"/>
        </w:rPr>
        <w:instrText xml:space="preserve"> REF _Ref336845974 \r \h </w:instrText>
      </w:r>
      <w:r w:rsidR="00F670B1">
        <w:rPr>
          <w:szCs w:val="22"/>
          <w:lang w:eastAsia="ja-JP"/>
        </w:rPr>
      </w:r>
      <w:r w:rsidR="00F670B1">
        <w:rPr>
          <w:szCs w:val="22"/>
          <w:lang w:eastAsia="ja-JP"/>
        </w:rPr>
        <w:fldChar w:fldCharType="separate"/>
      </w:r>
      <w:r w:rsidR="00F670B1">
        <w:rPr>
          <w:szCs w:val="22"/>
          <w:lang w:eastAsia="ja-JP"/>
        </w:rPr>
        <w:t>[2]</w:t>
      </w:r>
      <w:r w:rsidR="00F670B1">
        <w:rPr>
          <w:szCs w:val="22"/>
          <w:lang w:eastAsia="ja-JP"/>
        </w:rPr>
        <w:fldChar w:fldCharType="end"/>
      </w:r>
      <w:r w:rsidR="00F670B1">
        <w:rPr>
          <w:szCs w:val="22"/>
          <w:lang w:eastAsia="ja-JP"/>
        </w:rPr>
        <w:t xml:space="preserve"> for coding texture views are utilized except that low-level coding tools </w:t>
      </w:r>
      <w:r w:rsidR="00F27FE8">
        <w:rPr>
          <w:szCs w:val="22"/>
          <w:lang w:eastAsia="ja-JP"/>
        </w:rPr>
        <w:t xml:space="preserve">such as </w:t>
      </w:r>
      <w:r w:rsidR="00F670B1">
        <w:rPr>
          <w:szCs w:val="22"/>
          <w:lang w:eastAsia="ja-JP"/>
        </w:rPr>
        <w:t>inter-view motion/residual prediction are disabled</w:t>
      </w:r>
      <w:r w:rsidR="00F670B1">
        <w:rPr>
          <w:szCs w:val="22"/>
          <w:lang w:eastAsia="zh-TW"/>
        </w:rPr>
        <w:t xml:space="preserve">. </w:t>
      </w:r>
      <w:r w:rsidR="00404B59">
        <w:rPr>
          <w:szCs w:val="22"/>
          <w:lang w:eastAsia="zh-TW"/>
        </w:rPr>
        <w:t xml:space="preserve">Note the target reference index of temporal merging candidate is set to 0 </w:t>
      </w:r>
      <w:r w:rsidR="00494D78">
        <w:rPr>
          <w:szCs w:val="22"/>
          <w:lang w:eastAsia="zh-TW"/>
        </w:rPr>
        <w:t xml:space="preserve">in </w:t>
      </w:r>
      <w:r w:rsidR="00404B59">
        <w:rPr>
          <w:szCs w:val="22"/>
          <w:lang w:eastAsia="zh-TW"/>
        </w:rPr>
        <w:t xml:space="preserve">3D-HTM4.0 </w:t>
      </w:r>
      <w:r w:rsidR="00494D78">
        <w:rPr>
          <w:szCs w:val="22"/>
          <w:lang w:eastAsia="zh-TW"/>
        </w:rPr>
        <w:t>to be consistent of HEVC</w:t>
      </w:r>
      <w:r w:rsidR="00404B59">
        <w:rPr>
          <w:szCs w:val="22"/>
          <w:lang w:eastAsia="zh-TW"/>
        </w:rPr>
        <w:t>.</w:t>
      </w:r>
    </w:p>
    <w:p w:rsidR="00344BCE" w:rsidRDefault="00494D78" w:rsidP="00F670B1">
      <w:pPr>
        <w:spacing w:before="240"/>
        <w:jc w:val="both"/>
        <w:rPr>
          <w:szCs w:val="22"/>
        </w:rPr>
      </w:pPr>
      <w:r>
        <w:rPr>
          <w:szCs w:val="22"/>
        </w:rPr>
        <w:t xml:space="preserve">The performance of the MV-HEVC software compared with 3D-HTM4.0 is illustrated in </w:t>
      </w:r>
      <w:r w:rsidR="00F670B1" w:rsidRPr="009E1204">
        <w:rPr>
          <w:szCs w:val="22"/>
        </w:rPr>
        <w:t>Table 1</w:t>
      </w:r>
      <w:r>
        <w:rPr>
          <w:szCs w:val="22"/>
        </w:rPr>
        <w:t>,</w:t>
      </w:r>
      <w:r w:rsidR="00CE2F82">
        <w:rPr>
          <w:szCs w:val="22"/>
        </w:rPr>
        <w:t xml:space="preserve"> where </w:t>
      </w:r>
      <w:r>
        <w:rPr>
          <w:szCs w:val="22"/>
        </w:rPr>
        <w:t>temporal scalability is not supported by the encoder (</w:t>
      </w:r>
      <w:r w:rsidR="00422D75">
        <w:rPr>
          <w:rFonts w:hint="eastAsia"/>
          <w:szCs w:val="22"/>
          <w:lang w:eastAsia="zh-CN"/>
        </w:rPr>
        <w:t>fixed</w:t>
      </w:r>
      <w:r w:rsidR="00422D75" w:rsidRPr="009E1204">
        <w:rPr>
          <w:szCs w:val="22"/>
        </w:rPr>
        <w:t xml:space="preserve"> </w:t>
      </w:r>
      <w:r w:rsidR="00422D75">
        <w:rPr>
          <w:szCs w:val="22"/>
          <w:lang w:val="en-CA"/>
        </w:rPr>
        <w:t>temporalID</w:t>
      </w:r>
      <w:r w:rsidR="00422D75">
        <w:rPr>
          <w:rFonts w:hint="eastAsia"/>
          <w:szCs w:val="22"/>
          <w:lang w:eastAsia="zh-CN"/>
        </w:rPr>
        <w:t>,</w:t>
      </w:r>
      <w:r w:rsidR="009F5293" w:rsidRPr="009E1204">
        <w:rPr>
          <w:szCs w:val="22"/>
        </w:rPr>
        <w:t xml:space="preserve"> i.e., 0</w:t>
      </w:r>
      <w:r w:rsidR="00422D75">
        <w:rPr>
          <w:rFonts w:hint="eastAsia"/>
          <w:szCs w:val="22"/>
          <w:lang w:eastAsia="zh-CN"/>
        </w:rPr>
        <w:t xml:space="preserve"> for all frames</w:t>
      </w:r>
      <w:r>
        <w:rPr>
          <w:szCs w:val="22"/>
          <w:lang w:eastAsia="zh-CN"/>
        </w:rPr>
        <w:t>)</w:t>
      </w:r>
      <w:r w:rsidR="00CE2F82">
        <w:rPr>
          <w:szCs w:val="22"/>
          <w:lang w:eastAsia="zh-CN"/>
        </w:rPr>
        <w:t xml:space="preserve">. </w:t>
      </w:r>
    </w:p>
    <w:p w:rsidR="00F670B1" w:rsidRDefault="00494D78" w:rsidP="00F670B1">
      <w:pPr>
        <w:spacing w:before="240"/>
        <w:jc w:val="both"/>
        <w:rPr>
          <w:szCs w:val="22"/>
          <w:lang w:eastAsia="zh-CN"/>
        </w:rPr>
      </w:pPr>
      <w:r>
        <w:rPr>
          <w:szCs w:val="22"/>
        </w:rPr>
        <w:t xml:space="preserve">Results are also provided when </w:t>
      </w:r>
      <w:r w:rsidR="0061424F">
        <w:rPr>
          <w:szCs w:val="22"/>
          <w:lang w:val="en-CA"/>
        </w:rPr>
        <w:t>temporalID</w:t>
      </w:r>
      <w:r w:rsidR="0061424F">
        <w:rPr>
          <w:rFonts w:hint="eastAsia"/>
          <w:szCs w:val="22"/>
          <w:lang w:val="en-CA" w:eastAsia="zh-CN"/>
        </w:rPr>
        <w:t xml:space="preserve"> </w:t>
      </w:r>
      <w:r>
        <w:rPr>
          <w:szCs w:val="22"/>
          <w:lang w:val="en-CA" w:eastAsia="zh-CN"/>
        </w:rPr>
        <w:t xml:space="preserve">setting is </w:t>
      </w:r>
      <w:r w:rsidR="00E95668" w:rsidRPr="009E1204">
        <w:rPr>
          <w:szCs w:val="22"/>
        </w:rPr>
        <w:t xml:space="preserve">aligned with HM, </w:t>
      </w:r>
      <w:r>
        <w:rPr>
          <w:szCs w:val="22"/>
        </w:rPr>
        <w:t xml:space="preserve">as shown </w:t>
      </w:r>
      <w:r w:rsidR="00344BCE">
        <w:rPr>
          <w:szCs w:val="22"/>
        </w:rPr>
        <w:t xml:space="preserve">in Table 2. </w:t>
      </w:r>
      <w:r w:rsidR="002F70ED">
        <w:rPr>
          <w:szCs w:val="22"/>
        </w:rPr>
        <w:t xml:space="preserve">Even with some minor loss in the base view, some minor overall </w:t>
      </w:r>
      <w:r w:rsidR="00344BCE">
        <w:rPr>
          <w:szCs w:val="22"/>
        </w:rPr>
        <w:t xml:space="preserve">bitrate saving </w:t>
      </w:r>
      <w:r w:rsidR="002F70ED">
        <w:rPr>
          <w:szCs w:val="22"/>
          <w:lang w:eastAsia="zh-CN"/>
        </w:rPr>
        <w:t>(</w:t>
      </w:r>
      <w:r w:rsidR="002F70ED" w:rsidRPr="009E1204">
        <w:rPr>
          <w:szCs w:val="22"/>
        </w:rPr>
        <w:t>0.0</w:t>
      </w:r>
      <w:r w:rsidR="002F70ED" w:rsidRPr="00A622A7">
        <w:rPr>
          <w:szCs w:val="22"/>
        </w:rPr>
        <w:t>3%</w:t>
      </w:r>
      <w:r w:rsidR="002F70ED">
        <w:rPr>
          <w:szCs w:val="22"/>
        </w:rPr>
        <w:t xml:space="preserve">) </w:t>
      </w:r>
      <w:r w:rsidR="00E95668" w:rsidRPr="009E1204">
        <w:rPr>
          <w:szCs w:val="22"/>
        </w:rPr>
        <w:t xml:space="preserve">is </w:t>
      </w:r>
      <w:r w:rsidR="002F70ED">
        <w:rPr>
          <w:szCs w:val="22"/>
        </w:rPr>
        <w:t>observed</w:t>
      </w:r>
      <w:r w:rsidR="001A27D8">
        <w:rPr>
          <w:szCs w:val="22"/>
        </w:rPr>
        <w:t>.</w:t>
      </w:r>
      <w:r w:rsidR="00962ED1"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The loss in the base view is relatively small and is aligned with the loss that can be observed when similar changes (by setting tempoalID values in a hierarchical fashion at the encoder) </w:t>
      </w:r>
      <w:r w:rsidR="002F70ED">
        <w:rPr>
          <w:szCs w:val="22"/>
          <w:lang w:eastAsia="zh-CN"/>
        </w:rPr>
        <w:t xml:space="preserve">were </w:t>
      </w:r>
      <w:r>
        <w:rPr>
          <w:szCs w:val="22"/>
          <w:lang w:eastAsia="zh-CN"/>
        </w:rPr>
        <w:t xml:space="preserve">made in HM. </w:t>
      </w:r>
    </w:p>
    <w:p w:rsidR="00F670B1" w:rsidRDefault="00F670B1" w:rsidP="00F670B1">
      <w:pPr>
        <w:pStyle w:val="Caption"/>
        <w:keepNext/>
        <w:spacing w:before="20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Table </w:t>
      </w:r>
      <w:r>
        <w:rPr>
          <w:b w:val="0"/>
          <w:color w:val="000000"/>
          <w:sz w:val="22"/>
          <w:szCs w:val="22"/>
        </w:rPr>
        <w:fldChar w:fldCharType="begin"/>
      </w:r>
      <w:r>
        <w:rPr>
          <w:b w:val="0"/>
          <w:color w:val="000000"/>
          <w:sz w:val="22"/>
          <w:szCs w:val="22"/>
        </w:rPr>
        <w:instrText xml:space="preserve"> SEQ Table \* ARABIC </w:instrText>
      </w:r>
      <w:r>
        <w:rPr>
          <w:b w:val="0"/>
          <w:color w:val="000000"/>
          <w:sz w:val="22"/>
          <w:szCs w:val="22"/>
        </w:rPr>
        <w:fldChar w:fldCharType="separate"/>
      </w:r>
      <w:r>
        <w:rPr>
          <w:b w:val="0"/>
          <w:noProof/>
          <w:color w:val="000000"/>
          <w:sz w:val="22"/>
          <w:szCs w:val="22"/>
        </w:rPr>
        <w:t>1</w:t>
      </w:r>
      <w:r>
        <w:rPr>
          <w:b w:val="0"/>
          <w:color w:val="000000"/>
          <w:sz w:val="22"/>
          <w:szCs w:val="22"/>
        </w:rPr>
        <w:fldChar w:fldCharType="end"/>
      </w:r>
      <w:r>
        <w:rPr>
          <w:b w:val="0"/>
          <w:color w:val="000000"/>
          <w:sz w:val="22"/>
          <w:szCs w:val="22"/>
        </w:rPr>
        <w:t xml:space="preserve">: </w:t>
      </w:r>
      <w:r w:rsidR="002F70ED">
        <w:rPr>
          <w:b w:val="0"/>
          <w:color w:val="000000"/>
          <w:sz w:val="22"/>
          <w:szCs w:val="22"/>
        </w:rPr>
        <w:t>MV-HEVC</w:t>
      </w:r>
      <w:r>
        <w:rPr>
          <w:b w:val="0"/>
          <w:color w:val="000000"/>
          <w:sz w:val="22"/>
          <w:szCs w:val="22"/>
        </w:rPr>
        <w:t xml:space="preserve"> </w:t>
      </w:r>
      <w:r w:rsidR="002F70ED">
        <w:rPr>
          <w:b w:val="0"/>
          <w:color w:val="000000"/>
          <w:sz w:val="22"/>
          <w:szCs w:val="22"/>
        </w:rPr>
        <w:t>(</w:t>
      </w:r>
      <w:r w:rsidR="002F70ED">
        <w:rPr>
          <w:b w:val="0"/>
          <w:color w:val="000000"/>
          <w:sz w:val="22"/>
          <w:szCs w:val="22"/>
          <w:lang w:val="en-CA"/>
        </w:rPr>
        <w:t>without temporal scalability</w:t>
      </w:r>
      <w:r w:rsidR="002F70ED">
        <w:rPr>
          <w:b w:val="0"/>
          <w:color w:val="000000"/>
          <w:sz w:val="22"/>
          <w:szCs w:val="22"/>
        </w:rPr>
        <w:t xml:space="preserve">) VS </w:t>
      </w:r>
      <w:r>
        <w:rPr>
          <w:b w:val="0"/>
          <w:color w:val="000000"/>
          <w:sz w:val="22"/>
          <w:szCs w:val="22"/>
        </w:rPr>
        <w:t>HTM4.0 anchor</w:t>
      </w:r>
      <w:r w:rsidR="00037D8F">
        <w:rPr>
          <w:b w:val="0"/>
          <w:color w:val="000000"/>
          <w:sz w:val="22"/>
          <w:szCs w:val="22"/>
        </w:rPr>
        <w:t xml:space="preserve"> </w:t>
      </w:r>
    </w:p>
    <w:tbl>
      <w:tblPr>
        <w:tblW w:w="6181" w:type="dxa"/>
        <w:jc w:val="center"/>
        <w:tblLook w:val="04A0" w:firstRow="1" w:lastRow="0" w:firstColumn="1" w:lastColumn="0" w:noHBand="0" w:noVBand="1"/>
      </w:tblPr>
      <w:tblGrid>
        <w:gridCol w:w="2009"/>
        <w:gridCol w:w="964"/>
        <w:gridCol w:w="964"/>
        <w:gridCol w:w="964"/>
        <w:gridCol w:w="1280"/>
      </w:tblGrid>
      <w:tr w:rsidR="00F670B1" w:rsidTr="00ED4767">
        <w:trPr>
          <w:trHeight w:val="268"/>
          <w:jc w:val="center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F670B1" w:rsidRDefault="00F670B1" w:rsidP="00ED4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CN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F670B1" w:rsidRDefault="00F670B1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F670B1" w:rsidRDefault="00F670B1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F670B1" w:rsidRDefault="00F670B1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F670B1" w:rsidRDefault="00F670B1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only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Balloons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Kendo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Newspapercc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GhostTownFly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-0.8%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-1.4%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-0.3%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lastRenderedPageBreak/>
              <w:t>PoznanHall2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-0.4%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PoznanStreet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5903FA" w:rsidTr="00A622A7">
        <w:trPr>
          <w:trHeight w:val="268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UndoDancer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5903FA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1024x768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5903FA" w:rsidTr="00A622A7">
        <w:trPr>
          <w:trHeight w:val="268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1920x1088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-0.3%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</w:tr>
      <w:tr w:rsidR="005903FA" w:rsidTr="00A622A7">
        <w:trPr>
          <w:trHeight w:val="268"/>
          <w:jc w:val="center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5903FA" w:rsidRDefault="005903FA" w:rsidP="00ED4767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b/>
                <w:bCs/>
                <w:color w:val="000000"/>
                <w:sz w:val="20"/>
                <w:lang w:eastAsia="zh-CN"/>
              </w:rPr>
            </w:pPr>
            <w:r>
              <w:t>average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903FA" w:rsidRPr="005903FA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20"/>
                <w:lang w:eastAsia="zh-CN"/>
              </w:rPr>
            </w:pPr>
            <w:r w:rsidRPr="00A622A7">
              <w:rPr>
                <w:b/>
                <w:bCs/>
                <w:color w:val="000000"/>
                <w:sz w:val="20"/>
              </w:rPr>
              <w:t>0.04%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b/>
                <w:bCs/>
                <w:color w:val="000000"/>
                <w:sz w:val="20"/>
              </w:rPr>
              <w:t>-0.24%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b/>
                <w:bCs/>
                <w:color w:val="000000"/>
                <w:sz w:val="20"/>
              </w:rPr>
              <w:t>-0.36%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03FA" w:rsidRPr="00A622A7" w:rsidRDefault="005903F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b/>
                <w:bCs/>
                <w:color w:val="000000"/>
                <w:sz w:val="20"/>
              </w:rPr>
              <w:t>-0.08%</w:t>
            </w:r>
          </w:p>
        </w:tc>
      </w:tr>
    </w:tbl>
    <w:p w:rsidR="00037D8F" w:rsidRDefault="00037D8F" w:rsidP="00037D8F">
      <w:pPr>
        <w:pStyle w:val="Caption"/>
        <w:keepNext/>
        <w:spacing w:before="20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Table </w:t>
      </w:r>
      <w:r>
        <w:rPr>
          <w:b w:val="0"/>
          <w:color w:val="000000"/>
          <w:sz w:val="22"/>
          <w:szCs w:val="22"/>
        </w:rPr>
        <w:fldChar w:fldCharType="begin"/>
      </w:r>
      <w:r>
        <w:rPr>
          <w:b w:val="0"/>
          <w:color w:val="000000"/>
          <w:sz w:val="22"/>
          <w:szCs w:val="22"/>
        </w:rPr>
        <w:instrText xml:space="preserve"> SEQ Table \* ARABIC </w:instrText>
      </w:r>
      <w:r>
        <w:rPr>
          <w:b w:val="0"/>
          <w:color w:val="000000"/>
          <w:sz w:val="22"/>
          <w:szCs w:val="22"/>
        </w:rPr>
        <w:fldChar w:fldCharType="separate"/>
      </w:r>
      <w:r>
        <w:rPr>
          <w:b w:val="0"/>
          <w:noProof/>
          <w:color w:val="000000"/>
          <w:sz w:val="22"/>
          <w:szCs w:val="22"/>
        </w:rPr>
        <w:t>2</w:t>
      </w:r>
      <w:r>
        <w:rPr>
          <w:b w:val="0"/>
          <w:color w:val="000000"/>
          <w:sz w:val="22"/>
          <w:szCs w:val="22"/>
        </w:rPr>
        <w:fldChar w:fldCharType="end"/>
      </w:r>
      <w:r>
        <w:rPr>
          <w:b w:val="0"/>
          <w:color w:val="000000"/>
          <w:sz w:val="22"/>
          <w:szCs w:val="22"/>
        </w:rPr>
        <w:t xml:space="preserve">: </w:t>
      </w:r>
      <w:r w:rsidR="002F70ED">
        <w:rPr>
          <w:b w:val="0"/>
          <w:color w:val="000000"/>
          <w:sz w:val="22"/>
          <w:szCs w:val="22"/>
        </w:rPr>
        <w:t xml:space="preserve">MV-HEVC (with temporal scalability) VS </w:t>
      </w:r>
      <w:r>
        <w:rPr>
          <w:b w:val="0"/>
          <w:color w:val="000000"/>
          <w:sz w:val="22"/>
          <w:szCs w:val="22"/>
        </w:rPr>
        <w:t xml:space="preserve">HTM4.0 anchor </w:t>
      </w:r>
    </w:p>
    <w:tbl>
      <w:tblPr>
        <w:tblW w:w="6181" w:type="dxa"/>
        <w:jc w:val="center"/>
        <w:tblLook w:val="04A0" w:firstRow="1" w:lastRow="0" w:firstColumn="1" w:lastColumn="0" w:noHBand="0" w:noVBand="1"/>
      </w:tblPr>
      <w:tblGrid>
        <w:gridCol w:w="2009"/>
        <w:gridCol w:w="964"/>
        <w:gridCol w:w="964"/>
        <w:gridCol w:w="964"/>
        <w:gridCol w:w="1280"/>
      </w:tblGrid>
      <w:tr w:rsidR="00037D8F" w:rsidTr="003D601B">
        <w:trPr>
          <w:trHeight w:val="268"/>
          <w:jc w:val="center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037D8F" w:rsidRDefault="00037D8F" w:rsidP="003D601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CN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037D8F" w:rsidRDefault="00037D8F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037D8F" w:rsidRDefault="00037D8F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037D8F" w:rsidRDefault="00037D8F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037D8F" w:rsidRDefault="00037D8F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t>Video only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Balloons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Kendo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Newspapercc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GhostTownFly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-0.4%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-1.2%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PoznanHall2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-0.9%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PoznanStreet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</w:tr>
      <w:tr w:rsidR="00A554DD" w:rsidTr="00A622A7">
        <w:trPr>
          <w:trHeight w:val="268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UndoDancer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0.2%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</w:tr>
      <w:tr w:rsidR="00A554DD" w:rsidTr="00A622A7">
        <w:trPr>
          <w:trHeight w:val="256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1024x768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-0.2%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A554DD" w:rsidTr="00A622A7">
        <w:trPr>
          <w:trHeight w:val="268"/>
          <w:jc w:val="center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t>1920x1088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 w:rsidRPr="00A622A7">
              <w:rPr>
                <w:color w:val="000000"/>
                <w:sz w:val="20"/>
              </w:rPr>
              <w:t>0.1%</w:t>
            </w:r>
          </w:p>
        </w:tc>
        <w:tc>
          <w:tcPr>
            <w:tcW w:w="964" w:type="dxa"/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-0.1%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-0.5%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color w:val="000000"/>
                <w:sz w:val="20"/>
              </w:rPr>
              <w:t>0.0%</w:t>
            </w:r>
          </w:p>
        </w:tc>
      </w:tr>
      <w:tr w:rsidR="00A554DD" w:rsidTr="00A622A7">
        <w:trPr>
          <w:trHeight w:val="268"/>
          <w:jc w:val="center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A554DD" w:rsidRDefault="00A554DD" w:rsidP="003D601B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b/>
                <w:bCs/>
                <w:color w:val="000000"/>
                <w:sz w:val="20"/>
                <w:lang w:eastAsia="zh-CN"/>
              </w:rPr>
            </w:pPr>
            <w:r>
              <w:t>average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554DD" w:rsidRPr="00A554DD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20"/>
                <w:lang w:eastAsia="zh-CN"/>
              </w:rPr>
            </w:pPr>
            <w:r w:rsidRPr="00A622A7">
              <w:rPr>
                <w:b/>
                <w:bCs/>
                <w:color w:val="000000"/>
                <w:sz w:val="20"/>
              </w:rPr>
              <w:t>0.10%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b/>
                <w:bCs/>
                <w:color w:val="000000"/>
                <w:sz w:val="20"/>
              </w:rPr>
              <w:t>-0.13%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b/>
                <w:bCs/>
                <w:color w:val="000000"/>
                <w:sz w:val="20"/>
              </w:rPr>
              <w:t>-0.34%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554DD" w:rsidRPr="00A622A7" w:rsidRDefault="00A554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9C6500"/>
                <w:sz w:val="20"/>
              </w:rPr>
            </w:pPr>
            <w:r w:rsidRPr="00A622A7">
              <w:rPr>
                <w:b/>
                <w:bCs/>
                <w:color w:val="000000"/>
                <w:sz w:val="20"/>
              </w:rPr>
              <w:t>-0.03%</w:t>
            </w:r>
          </w:p>
        </w:tc>
      </w:tr>
    </w:tbl>
    <w:p w:rsidR="00CD6797" w:rsidRDefault="00CD6797" w:rsidP="00CD6797">
      <w:pPr>
        <w:spacing w:before="240"/>
        <w:jc w:val="both"/>
        <w:rPr>
          <w:ins w:id="0" w:author="JCT3V-B0047(Li Zhang)" w:date="2012-10-18T11:56:00Z"/>
          <w:szCs w:val="22"/>
        </w:rPr>
      </w:pPr>
      <w:ins w:id="1" w:author="JCT3V-B0047(Li Zhang)" w:date="2012-10-18T11:56:00Z">
        <w:r w:rsidRPr="00A67C1B">
          <w:rPr>
            <w:szCs w:val="22"/>
          </w:rPr>
          <w:t xml:space="preserve">To evaluate the </w:t>
        </w:r>
        <w:r>
          <w:rPr>
            <w:rFonts w:hint="eastAsia"/>
            <w:szCs w:val="22"/>
          </w:rPr>
          <w:t xml:space="preserve">performance of the proposed </w:t>
        </w:r>
        <w:r w:rsidRPr="00A67C1B">
          <w:rPr>
            <w:szCs w:val="22"/>
          </w:rPr>
          <w:t>reference picture list construction</w:t>
        </w:r>
        <w:r>
          <w:rPr>
            <w:szCs w:val="22"/>
          </w:rPr>
          <w:t xml:space="preserve"> method, the coding gain of the proposed method with respect to the </w:t>
        </w:r>
      </w:ins>
      <w:ins w:id="2" w:author="JCT3V-B0047(Li Zhang)" w:date="2012-10-18T11:58:00Z">
        <w:r w:rsidR="001823FB">
          <w:rPr>
            <w:szCs w:val="22"/>
          </w:rPr>
          <w:t xml:space="preserve">original </w:t>
        </w:r>
      </w:ins>
      <w:ins w:id="3" w:author="JCT3V-B0047(Li Zhang)" w:date="2012-10-18T11:56:00Z">
        <w:r>
          <w:rPr>
            <w:szCs w:val="22"/>
          </w:rPr>
          <w:t xml:space="preserve">method in HTM </w:t>
        </w:r>
      </w:ins>
      <w:ins w:id="4" w:author="JCT3V-B0047(Li Zhang)" w:date="2012-10-18T11:58:00Z">
        <w:r w:rsidR="001823FB">
          <w:rPr>
            <w:szCs w:val="22"/>
          </w:rPr>
          <w:t xml:space="preserve">(the proposed method is disabled) </w:t>
        </w:r>
      </w:ins>
      <w:ins w:id="5" w:author="JCT3V-B0047(Li Zhang)" w:date="2012-10-18T11:56:00Z">
        <w:r>
          <w:rPr>
            <w:szCs w:val="22"/>
          </w:rPr>
          <w:t>is listed in the following table.</w:t>
        </w:r>
        <w:r w:rsidR="00233C4A">
          <w:rPr>
            <w:szCs w:val="22"/>
          </w:rPr>
          <w:t xml:space="preserve"> It can be observed that there is 0.1% and 0.05% bit rate reduction for dependent views and overall texture views, respectively.</w:t>
        </w:r>
      </w:ins>
      <w:ins w:id="6" w:author="JCT3V-B0047(Li Zhang)" w:date="2012-10-18T11:59:00Z">
        <w:r w:rsidR="002E4EF5">
          <w:rPr>
            <w:szCs w:val="22"/>
          </w:rPr>
          <w:t xml:space="preserve"> Detail results could be found in the attached </w:t>
        </w:r>
      </w:ins>
      <w:ins w:id="7" w:author="JCT3V-B0047(Li Zhang)" w:date="2012-10-18T12:00:00Z">
        <w:r w:rsidR="00D007E2">
          <w:rPr>
            <w:szCs w:val="22"/>
          </w:rPr>
          <w:t>file</w:t>
        </w:r>
        <w:r w:rsidR="00D007E2">
          <w:rPr>
            <w:szCs w:val="22"/>
          </w:rPr>
          <w:t xml:space="preserve"> with the title as </w:t>
        </w:r>
      </w:ins>
      <w:bookmarkStart w:id="8" w:name="_GoBack"/>
      <w:bookmarkEnd w:id="8"/>
      <w:ins w:id="9" w:author="JCT3V-B0047(Li Zhang)" w:date="2012-10-18T11:59:00Z">
        <w:r w:rsidR="002E4EF5">
          <w:rPr>
            <w:szCs w:val="22"/>
          </w:rPr>
          <w:t>‘</w:t>
        </w:r>
        <w:r w:rsidR="002E4EF5" w:rsidRPr="002E4EF5">
          <w:rPr>
            <w:szCs w:val="22"/>
          </w:rPr>
          <w:t>JCT3V-B0046_RPLI on vs off</w:t>
        </w:r>
        <w:r w:rsidR="002E4EF5">
          <w:rPr>
            <w:szCs w:val="22"/>
          </w:rPr>
          <w:t>.xls’</w:t>
        </w:r>
        <w:r w:rsidR="00B06FA1">
          <w:rPr>
            <w:szCs w:val="22"/>
          </w:rPr>
          <w:t>.</w:t>
        </w:r>
      </w:ins>
    </w:p>
    <w:p w:rsidR="00CD6797" w:rsidRDefault="00CD6797" w:rsidP="00CD6797">
      <w:pPr>
        <w:pStyle w:val="Caption"/>
        <w:keepNext/>
        <w:spacing w:before="200"/>
        <w:jc w:val="center"/>
        <w:rPr>
          <w:ins w:id="10" w:author="JCT3V-B0047(Li Zhang)" w:date="2012-10-18T11:56:00Z"/>
          <w:b w:val="0"/>
          <w:color w:val="000000"/>
          <w:sz w:val="22"/>
          <w:szCs w:val="22"/>
        </w:rPr>
      </w:pPr>
      <w:ins w:id="11" w:author="JCT3V-B0047(Li Zhang)" w:date="2012-10-18T11:56:00Z">
        <w:r>
          <w:rPr>
            <w:b w:val="0"/>
            <w:color w:val="000000"/>
            <w:sz w:val="22"/>
            <w:szCs w:val="22"/>
          </w:rPr>
          <w:t xml:space="preserve">Table </w:t>
        </w:r>
        <w:r>
          <w:rPr>
            <w:b w:val="0"/>
            <w:color w:val="000000"/>
            <w:sz w:val="22"/>
            <w:szCs w:val="22"/>
          </w:rPr>
          <w:fldChar w:fldCharType="begin"/>
        </w:r>
        <w:r>
          <w:rPr>
            <w:b w:val="0"/>
            <w:color w:val="000000"/>
            <w:sz w:val="22"/>
            <w:szCs w:val="22"/>
          </w:rPr>
          <w:instrText xml:space="preserve"> SEQ Table \* ARABIC </w:instrText>
        </w:r>
        <w:r>
          <w:rPr>
            <w:b w:val="0"/>
            <w:color w:val="000000"/>
            <w:sz w:val="22"/>
            <w:szCs w:val="22"/>
          </w:rPr>
          <w:fldChar w:fldCharType="separate"/>
        </w:r>
        <w:r w:rsidR="00233C4A">
          <w:rPr>
            <w:b w:val="0"/>
            <w:noProof/>
            <w:color w:val="000000"/>
            <w:sz w:val="22"/>
            <w:szCs w:val="22"/>
          </w:rPr>
          <w:t>3</w:t>
        </w:r>
        <w:r>
          <w:rPr>
            <w:b w:val="0"/>
            <w:color w:val="000000"/>
            <w:sz w:val="22"/>
            <w:szCs w:val="22"/>
          </w:rPr>
          <w:fldChar w:fldCharType="end"/>
        </w:r>
        <w:r>
          <w:rPr>
            <w:b w:val="0"/>
            <w:color w:val="000000"/>
            <w:sz w:val="22"/>
            <w:szCs w:val="22"/>
          </w:rPr>
          <w:t>: Coding gain of proposed reference picture list modification</w:t>
        </w:r>
      </w:ins>
      <w:ins w:id="12" w:author="JCT3V-B0047(Li Zhang)" w:date="2012-10-18T11:59:00Z">
        <w:r w:rsidR="00034BB7">
          <w:rPr>
            <w:b w:val="0"/>
            <w:color w:val="000000"/>
            <w:sz w:val="22"/>
            <w:szCs w:val="22"/>
          </w:rPr>
          <w:t xml:space="preserve"> </w:t>
        </w:r>
        <w:r w:rsidR="00034BB7">
          <w:rPr>
            <w:b w:val="0"/>
            <w:color w:val="000000"/>
            <w:sz w:val="22"/>
            <w:szCs w:val="22"/>
          </w:rPr>
          <w:t>(</w:t>
        </w:r>
        <w:r w:rsidR="00034BB7">
          <w:rPr>
            <w:b w:val="0"/>
            <w:color w:val="000000"/>
            <w:sz w:val="22"/>
            <w:szCs w:val="22"/>
            <w:lang w:val="en-CA"/>
          </w:rPr>
          <w:t>without temporal scalability</w:t>
        </w:r>
        <w:r w:rsidR="00034BB7">
          <w:rPr>
            <w:b w:val="0"/>
            <w:color w:val="000000"/>
            <w:sz w:val="22"/>
            <w:szCs w:val="22"/>
          </w:rPr>
          <w:t>)</w:t>
        </w:r>
      </w:ins>
    </w:p>
    <w:tbl>
      <w:tblPr>
        <w:tblW w:w="6181" w:type="dxa"/>
        <w:jc w:val="center"/>
        <w:tblLook w:val="04A0" w:firstRow="1" w:lastRow="0" w:firstColumn="1" w:lastColumn="0" w:noHBand="0" w:noVBand="1"/>
      </w:tblPr>
      <w:tblGrid>
        <w:gridCol w:w="2009"/>
        <w:gridCol w:w="964"/>
        <w:gridCol w:w="964"/>
        <w:gridCol w:w="964"/>
        <w:gridCol w:w="1280"/>
      </w:tblGrid>
      <w:tr w:rsidR="00CD6797" w:rsidTr="00225E2E">
        <w:trPr>
          <w:trHeight w:val="268"/>
          <w:jc w:val="center"/>
          <w:ins w:id="13" w:author="JCT3V-B0047(Li Zhang)" w:date="2012-10-18T11:56:00Z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CD6797" w:rsidRDefault="00CD6797" w:rsidP="00225E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ins w:id="14" w:author="JCT3V-B0047(Li Zhang)" w:date="2012-10-18T11:56:00Z"/>
                <w:sz w:val="20"/>
                <w:lang w:eastAsia="zh-CN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5" w:author="JCT3V-B0047(Li Zhang)" w:date="2012-10-18T11:56:00Z"/>
                <w:color w:val="000000"/>
                <w:sz w:val="20"/>
                <w:lang w:eastAsia="zh-CN"/>
              </w:rPr>
            </w:pPr>
            <w:ins w:id="16" w:author="JCT3V-B0047(Li Zhang)" w:date="2012-10-18T11:56:00Z">
              <w:r>
                <w:t>Video 0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7" w:author="JCT3V-B0047(Li Zhang)" w:date="2012-10-18T11:56:00Z"/>
                <w:color w:val="000000"/>
                <w:sz w:val="20"/>
                <w:lang w:eastAsia="zh-CN"/>
              </w:rPr>
            </w:pPr>
            <w:ins w:id="18" w:author="JCT3V-B0047(Li Zhang)" w:date="2012-10-18T11:56:00Z">
              <w:r>
                <w:t>Video 1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9" w:author="JCT3V-B0047(Li Zhang)" w:date="2012-10-18T11:56:00Z"/>
                <w:color w:val="000000"/>
                <w:sz w:val="20"/>
                <w:lang w:eastAsia="zh-CN"/>
              </w:rPr>
            </w:pPr>
            <w:ins w:id="20" w:author="JCT3V-B0047(Li Zhang)" w:date="2012-10-18T11:56:00Z">
              <w:r>
                <w:t>Video 2</w:t>
              </w:r>
            </w:ins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21" w:author="JCT3V-B0047(Li Zhang)" w:date="2012-10-18T11:56:00Z"/>
                <w:color w:val="000000"/>
                <w:sz w:val="20"/>
                <w:lang w:eastAsia="zh-CN"/>
              </w:rPr>
            </w:pPr>
            <w:ins w:id="22" w:author="JCT3V-B0047(Li Zhang)" w:date="2012-10-18T11:56:00Z">
              <w:r>
                <w:t>Video only</w:t>
              </w:r>
            </w:ins>
          </w:p>
        </w:tc>
      </w:tr>
      <w:tr w:rsidR="00CD6797" w:rsidTr="00225E2E">
        <w:trPr>
          <w:trHeight w:val="256"/>
          <w:jc w:val="center"/>
          <w:ins w:id="23" w:author="JCT3V-B0047(Li Zhang)" w:date="2012-10-18T11:56:00Z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24" w:author="JCT3V-B0047(Li Zhang)" w:date="2012-10-18T11:56:00Z"/>
                <w:color w:val="000000"/>
                <w:sz w:val="20"/>
                <w:lang w:eastAsia="zh-CN"/>
              </w:rPr>
            </w:pPr>
            <w:ins w:id="25" w:author="JCT3V-B0047(Li Zhang)" w:date="2012-10-18T11:56:00Z">
              <w:r>
                <w:t>Balloons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26" w:author="JCT3V-B0047(Li Zhang)" w:date="2012-10-18T11:56:00Z"/>
                <w:color w:val="000000"/>
                <w:sz w:val="20"/>
                <w:lang w:eastAsia="zh-CN"/>
              </w:rPr>
            </w:pPr>
            <w:ins w:id="27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28" w:author="JCT3V-B0047(Li Zhang)" w:date="2012-10-18T11:56:00Z"/>
                <w:color w:val="9C6500"/>
                <w:sz w:val="20"/>
              </w:rPr>
            </w:pPr>
            <w:ins w:id="29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30" w:author="JCT3V-B0047(Li Zhang)" w:date="2012-10-18T11:56:00Z"/>
                <w:color w:val="9C6500"/>
                <w:sz w:val="20"/>
              </w:rPr>
            </w:pPr>
            <w:ins w:id="31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32" w:author="JCT3V-B0047(Li Zhang)" w:date="2012-10-18T11:56:00Z"/>
                <w:color w:val="9C6500"/>
                <w:sz w:val="20"/>
              </w:rPr>
            </w:pPr>
            <w:ins w:id="33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CD6797" w:rsidTr="00225E2E">
        <w:trPr>
          <w:trHeight w:val="256"/>
          <w:jc w:val="center"/>
          <w:ins w:id="34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35" w:author="JCT3V-B0047(Li Zhang)" w:date="2012-10-18T11:56:00Z"/>
                <w:color w:val="000000"/>
                <w:sz w:val="20"/>
                <w:lang w:eastAsia="zh-CN"/>
              </w:rPr>
            </w:pPr>
            <w:ins w:id="36" w:author="JCT3V-B0047(Li Zhang)" w:date="2012-10-18T11:56:00Z">
              <w:r>
                <w:t>Kendo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37" w:author="JCT3V-B0047(Li Zhang)" w:date="2012-10-18T11:56:00Z"/>
                <w:color w:val="000000"/>
                <w:sz w:val="20"/>
                <w:lang w:eastAsia="zh-CN"/>
              </w:rPr>
            </w:pPr>
            <w:ins w:id="38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39" w:author="JCT3V-B0047(Li Zhang)" w:date="2012-10-18T11:56:00Z"/>
                <w:color w:val="9C6500"/>
                <w:sz w:val="20"/>
              </w:rPr>
            </w:pPr>
            <w:ins w:id="40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41" w:author="JCT3V-B0047(Li Zhang)" w:date="2012-10-18T11:56:00Z"/>
                <w:color w:val="9C6500"/>
                <w:sz w:val="20"/>
              </w:rPr>
            </w:pPr>
            <w:ins w:id="42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43" w:author="JCT3V-B0047(Li Zhang)" w:date="2012-10-18T11:56:00Z"/>
                <w:color w:val="9C6500"/>
                <w:sz w:val="20"/>
              </w:rPr>
            </w:pPr>
            <w:ins w:id="44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CD6797" w:rsidTr="00225E2E">
        <w:trPr>
          <w:trHeight w:val="256"/>
          <w:jc w:val="center"/>
          <w:ins w:id="45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46" w:author="JCT3V-B0047(Li Zhang)" w:date="2012-10-18T11:56:00Z"/>
                <w:color w:val="000000"/>
                <w:sz w:val="20"/>
                <w:lang w:eastAsia="zh-CN"/>
              </w:rPr>
            </w:pPr>
            <w:ins w:id="47" w:author="JCT3V-B0047(Li Zhang)" w:date="2012-10-18T11:56:00Z">
              <w:r>
                <w:t>Newspapercc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48" w:author="JCT3V-B0047(Li Zhang)" w:date="2012-10-18T11:56:00Z"/>
                <w:color w:val="000000"/>
                <w:sz w:val="20"/>
                <w:lang w:eastAsia="zh-CN"/>
              </w:rPr>
            </w:pPr>
            <w:ins w:id="49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50" w:author="JCT3V-B0047(Li Zhang)" w:date="2012-10-18T11:56:00Z"/>
                <w:color w:val="9C6500"/>
                <w:sz w:val="20"/>
              </w:rPr>
            </w:pPr>
            <w:ins w:id="51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52" w:author="JCT3V-B0047(Li Zhang)" w:date="2012-10-18T11:56:00Z"/>
                <w:color w:val="9C6500"/>
                <w:sz w:val="20"/>
              </w:rPr>
            </w:pPr>
            <w:ins w:id="53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54" w:author="JCT3V-B0047(Li Zhang)" w:date="2012-10-18T11:56:00Z"/>
                <w:color w:val="9C6500"/>
                <w:sz w:val="20"/>
              </w:rPr>
            </w:pPr>
            <w:ins w:id="55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CD6797" w:rsidTr="00225E2E">
        <w:trPr>
          <w:trHeight w:val="256"/>
          <w:jc w:val="center"/>
          <w:ins w:id="56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57" w:author="JCT3V-B0047(Li Zhang)" w:date="2012-10-18T11:56:00Z"/>
                <w:color w:val="000000"/>
                <w:sz w:val="20"/>
                <w:lang w:eastAsia="zh-CN"/>
              </w:rPr>
            </w:pPr>
            <w:ins w:id="58" w:author="JCT3V-B0047(Li Zhang)" w:date="2012-10-18T11:56:00Z">
              <w:r>
                <w:t>GhostTownFly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59" w:author="JCT3V-B0047(Li Zhang)" w:date="2012-10-18T11:56:00Z"/>
                <w:color w:val="000000"/>
                <w:sz w:val="20"/>
                <w:lang w:eastAsia="zh-CN"/>
              </w:rPr>
            </w:pPr>
            <w:ins w:id="60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61" w:author="JCT3V-B0047(Li Zhang)" w:date="2012-10-18T11:56:00Z"/>
                <w:color w:val="9C6500"/>
                <w:sz w:val="20"/>
              </w:rPr>
            </w:pPr>
            <w:ins w:id="62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63" w:author="JCT3V-B0047(Li Zhang)" w:date="2012-10-18T11:56:00Z"/>
                <w:color w:val="9C6500"/>
                <w:sz w:val="20"/>
              </w:rPr>
            </w:pPr>
            <w:ins w:id="64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65" w:author="JCT3V-B0047(Li Zhang)" w:date="2012-10-18T11:56:00Z"/>
                <w:color w:val="9C6500"/>
                <w:sz w:val="20"/>
              </w:rPr>
            </w:pPr>
            <w:ins w:id="66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</w:tr>
      <w:tr w:rsidR="00CD6797" w:rsidTr="00225E2E">
        <w:trPr>
          <w:trHeight w:val="256"/>
          <w:jc w:val="center"/>
          <w:ins w:id="67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68" w:author="JCT3V-B0047(Li Zhang)" w:date="2012-10-18T11:56:00Z"/>
                <w:color w:val="000000"/>
                <w:sz w:val="20"/>
                <w:lang w:eastAsia="zh-CN"/>
              </w:rPr>
            </w:pPr>
            <w:ins w:id="69" w:author="JCT3V-B0047(Li Zhang)" w:date="2012-10-18T11:56:00Z">
              <w:r>
                <w:t>PoznanHall2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70" w:author="JCT3V-B0047(Li Zhang)" w:date="2012-10-18T11:56:00Z"/>
                <w:color w:val="000000"/>
                <w:sz w:val="20"/>
                <w:lang w:eastAsia="zh-CN"/>
              </w:rPr>
            </w:pPr>
            <w:ins w:id="71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72" w:author="JCT3V-B0047(Li Zhang)" w:date="2012-10-18T11:56:00Z"/>
                <w:color w:val="9C6500"/>
                <w:sz w:val="20"/>
              </w:rPr>
            </w:pPr>
            <w:ins w:id="73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74" w:author="JCT3V-B0047(Li Zhang)" w:date="2012-10-18T11:56:00Z"/>
                <w:color w:val="9C6500"/>
                <w:sz w:val="20"/>
              </w:rPr>
            </w:pPr>
            <w:ins w:id="75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76" w:author="JCT3V-B0047(Li Zhang)" w:date="2012-10-18T11:56:00Z"/>
                <w:color w:val="9C6500"/>
                <w:sz w:val="20"/>
              </w:rPr>
            </w:pPr>
            <w:ins w:id="77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CD6797" w:rsidTr="00225E2E">
        <w:trPr>
          <w:trHeight w:val="256"/>
          <w:jc w:val="center"/>
          <w:ins w:id="78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79" w:author="JCT3V-B0047(Li Zhang)" w:date="2012-10-18T11:56:00Z"/>
                <w:color w:val="000000"/>
                <w:sz w:val="20"/>
                <w:lang w:eastAsia="zh-CN"/>
              </w:rPr>
            </w:pPr>
            <w:ins w:id="80" w:author="JCT3V-B0047(Li Zhang)" w:date="2012-10-18T11:56:00Z">
              <w:r>
                <w:t>PoznanStreet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81" w:author="JCT3V-B0047(Li Zhang)" w:date="2012-10-18T11:56:00Z"/>
                <w:color w:val="000000"/>
                <w:sz w:val="20"/>
                <w:lang w:eastAsia="zh-CN"/>
              </w:rPr>
            </w:pPr>
            <w:ins w:id="82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83" w:author="JCT3V-B0047(Li Zhang)" w:date="2012-10-18T11:56:00Z"/>
                <w:color w:val="9C6500"/>
                <w:sz w:val="20"/>
              </w:rPr>
            </w:pPr>
            <w:ins w:id="84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85" w:author="JCT3V-B0047(Li Zhang)" w:date="2012-10-18T11:56:00Z"/>
                <w:color w:val="9C6500"/>
                <w:sz w:val="20"/>
              </w:rPr>
            </w:pPr>
            <w:ins w:id="86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87" w:author="JCT3V-B0047(Li Zhang)" w:date="2012-10-18T11:56:00Z"/>
                <w:color w:val="9C6500"/>
                <w:sz w:val="20"/>
              </w:rPr>
            </w:pPr>
            <w:ins w:id="88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</w:tr>
      <w:tr w:rsidR="00CD6797" w:rsidTr="00225E2E">
        <w:trPr>
          <w:trHeight w:val="268"/>
          <w:jc w:val="center"/>
          <w:ins w:id="89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90" w:author="JCT3V-B0047(Li Zhang)" w:date="2012-10-18T11:56:00Z"/>
                <w:color w:val="000000"/>
                <w:sz w:val="20"/>
                <w:lang w:eastAsia="zh-CN"/>
              </w:rPr>
            </w:pPr>
            <w:ins w:id="91" w:author="JCT3V-B0047(Li Zhang)" w:date="2012-10-18T11:56:00Z">
              <w:r>
                <w:t>UndoDancer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92" w:author="JCT3V-B0047(Li Zhang)" w:date="2012-10-18T11:56:00Z"/>
                <w:color w:val="000000"/>
                <w:sz w:val="20"/>
                <w:lang w:eastAsia="zh-CN"/>
              </w:rPr>
            </w:pPr>
            <w:ins w:id="93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94" w:author="JCT3V-B0047(Li Zhang)" w:date="2012-10-18T11:56:00Z"/>
                <w:color w:val="9C6500"/>
                <w:sz w:val="20"/>
              </w:rPr>
            </w:pPr>
            <w:ins w:id="95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96" w:author="JCT3V-B0047(Li Zhang)" w:date="2012-10-18T11:56:00Z"/>
                <w:color w:val="9C6500"/>
                <w:sz w:val="20"/>
              </w:rPr>
            </w:pPr>
            <w:ins w:id="97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98" w:author="JCT3V-B0047(Li Zhang)" w:date="2012-10-18T11:56:00Z"/>
                <w:color w:val="9C6500"/>
                <w:sz w:val="20"/>
              </w:rPr>
            </w:pPr>
            <w:ins w:id="99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</w:tr>
      <w:tr w:rsidR="00CD6797" w:rsidTr="00225E2E">
        <w:trPr>
          <w:trHeight w:val="256"/>
          <w:jc w:val="center"/>
          <w:ins w:id="100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101" w:author="JCT3V-B0047(Li Zhang)" w:date="2012-10-18T11:56:00Z"/>
                <w:color w:val="000000"/>
                <w:sz w:val="20"/>
                <w:lang w:eastAsia="zh-CN"/>
              </w:rPr>
            </w:pPr>
            <w:ins w:id="102" w:author="JCT3V-B0047(Li Zhang)" w:date="2012-10-18T11:56:00Z">
              <w:r>
                <w:t>1024x768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03" w:author="JCT3V-B0047(Li Zhang)" w:date="2012-10-18T11:56:00Z"/>
                <w:color w:val="000000"/>
                <w:sz w:val="20"/>
                <w:lang w:eastAsia="zh-CN"/>
              </w:rPr>
            </w:pPr>
            <w:ins w:id="104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05" w:author="JCT3V-B0047(Li Zhang)" w:date="2012-10-18T11:56:00Z"/>
                <w:color w:val="9C6500"/>
                <w:sz w:val="20"/>
              </w:rPr>
            </w:pPr>
            <w:ins w:id="106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07" w:author="JCT3V-B0047(Li Zhang)" w:date="2012-10-18T11:56:00Z"/>
                <w:color w:val="9C6500"/>
                <w:sz w:val="20"/>
              </w:rPr>
            </w:pPr>
            <w:ins w:id="108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09" w:author="JCT3V-B0047(Li Zhang)" w:date="2012-10-18T11:56:00Z"/>
                <w:color w:val="9C6500"/>
                <w:sz w:val="20"/>
              </w:rPr>
            </w:pPr>
            <w:ins w:id="110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</w:tr>
      <w:tr w:rsidR="00CD6797" w:rsidTr="00225E2E">
        <w:trPr>
          <w:trHeight w:val="268"/>
          <w:jc w:val="center"/>
          <w:ins w:id="111" w:author="JCT3V-B0047(Li Zhang)" w:date="2012-10-18T11:56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112" w:author="JCT3V-B0047(Li Zhang)" w:date="2012-10-18T11:56:00Z"/>
                <w:color w:val="000000"/>
                <w:sz w:val="20"/>
                <w:lang w:eastAsia="zh-CN"/>
              </w:rPr>
            </w:pPr>
            <w:ins w:id="113" w:author="JCT3V-B0047(Li Zhang)" w:date="2012-10-18T11:56:00Z">
              <w:r>
                <w:t>1920x1088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14" w:author="JCT3V-B0047(Li Zhang)" w:date="2012-10-18T11:56:00Z"/>
                <w:color w:val="000000"/>
                <w:sz w:val="20"/>
                <w:lang w:eastAsia="zh-CN"/>
              </w:rPr>
            </w:pPr>
            <w:ins w:id="115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64" w:type="dxa"/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16" w:author="JCT3V-B0047(Li Zhang)" w:date="2012-10-18T11:56:00Z"/>
                <w:color w:val="9C6500"/>
                <w:sz w:val="20"/>
              </w:rPr>
            </w:pPr>
            <w:ins w:id="117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18" w:author="JCT3V-B0047(Li Zhang)" w:date="2012-10-18T11:56:00Z"/>
                <w:color w:val="9C6500"/>
                <w:sz w:val="20"/>
              </w:rPr>
            </w:pPr>
            <w:ins w:id="119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20" w:author="JCT3V-B0047(Li Zhang)" w:date="2012-10-18T11:56:00Z"/>
                <w:color w:val="9C6500"/>
                <w:sz w:val="20"/>
              </w:rPr>
            </w:pPr>
            <w:ins w:id="121" w:author="JCT3V-B0047(Li Zhang)" w:date="2012-10-18T11:56:00Z">
              <w:r w:rsidRPr="00CD6797">
                <w:rPr>
                  <w:color w:val="000000"/>
                  <w:sz w:val="18"/>
                  <w:szCs w:val="18"/>
                </w:rPr>
                <w:t>0.0%</w:t>
              </w:r>
            </w:ins>
          </w:p>
        </w:tc>
      </w:tr>
      <w:tr w:rsidR="00CD6797" w:rsidTr="00225E2E">
        <w:trPr>
          <w:trHeight w:val="268"/>
          <w:jc w:val="center"/>
          <w:ins w:id="122" w:author="JCT3V-B0047(Li Zhang)" w:date="2012-10-18T11:56:00Z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CD6797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ins w:id="123" w:author="JCT3V-B0047(Li Zhang)" w:date="2012-10-18T11:56:00Z"/>
                <w:b/>
                <w:bCs/>
                <w:color w:val="000000"/>
                <w:sz w:val="20"/>
                <w:lang w:eastAsia="zh-CN"/>
              </w:rPr>
            </w:pPr>
            <w:ins w:id="124" w:author="JCT3V-B0047(Li Zhang)" w:date="2012-10-18T11:56:00Z">
              <w:r>
                <w:t>average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25" w:author="JCT3V-B0047(Li Zhang)" w:date="2012-10-18T11:56:00Z"/>
                <w:b/>
                <w:bCs/>
                <w:color w:val="000000"/>
                <w:sz w:val="20"/>
                <w:lang w:eastAsia="zh-CN"/>
              </w:rPr>
            </w:pPr>
            <w:ins w:id="126" w:author="JCT3V-B0047(Li Zhang)" w:date="2012-10-18T11:56:00Z">
              <w:r w:rsidRPr="00CD6797">
                <w:rPr>
                  <w:b/>
                  <w:bCs/>
                  <w:color w:val="000000"/>
                  <w:sz w:val="20"/>
                </w:rPr>
                <w:t>0.00%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27" w:author="JCT3V-B0047(Li Zhang)" w:date="2012-10-18T11:56:00Z"/>
                <w:color w:val="9C6500"/>
                <w:sz w:val="20"/>
              </w:rPr>
            </w:pPr>
            <w:ins w:id="128" w:author="JCT3V-B0047(Li Zhang)" w:date="2012-10-18T11:56:00Z">
              <w:r w:rsidRPr="00CD6797">
                <w:rPr>
                  <w:b/>
                  <w:bCs/>
                  <w:color w:val="000000"/>
                  <w:sz w:val="20"/>
                </w:rPr>
                <w:t>-0.12%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29" w:author="JCT3V-B0047(Li Zhang)" w:date="2012-10-18T11:56:00Z"/>
                <w:color w:val="9C6500"/>
                <w:sz w:val="20"/>
              </w:rPr>
            </w:pPr>
            <w:ins w:id="130" w:author="JCT3V-B0047(Li Zhang)" w:date="2012-10-18T11:56:00Z">
              <w:r w:rsidRPr="00CD6797">
                <w:rPr>
                  <w:b/>
                  <w:bCs/>
                  <w:color w:val="000000"/>
                  <w:sz w:val="20"/>
                </w:rPr>
                <w:t>-0.11%</w:t>
              </w:r>
            </w:ins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6797" w:rsidRPr="003110E9" w:rsidRDefault="00CD6797" w:rsidP="00225E2E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ins w:id="131" w:author="JCT3V-B0047(Li Zhang)" w:date="2012-10-18T11:56:00Z"/>
                <w:color w:val="9C6500"/>
                <w:sz w:val="20"/>
              </w:rPr>
            </w:pPr>
            <w:ins w:id="132" w:author="JCT3V-B0047(Li Zhang)" w:date="2012-10-18T11:56:00Z">
              <w:r w:rsidRPr="00CD6797">
                <w:rPr>
                  <w:b/>
                  <w:bCs/>
                  <w:color w:val="000000"/>
                  <w:sz w:val="20"/>
                </w:rPr>
                <w:t>-0.05%</w:t>
              </w:r>
            </w:ins>
          </w:p>
        </w:tc>
      </w:tr>
    </w:tbl>
    <w:p w:rsidR="00D46200" w:rsidDel="00CD6797" w:rsidRDefault="00D46200" w:rsidP="009234A5">
      <w:pPr>
        <w:jc w:val="both"/>
        <w:rPr>
          <w:del w:id="133" w:author="JCT3V-B0047(Li Zhang)" w:date="2012-10-18T11:56:00Z"/>
          <w:szCs w:val="22"/>
          <w:lang w:val="en-CA"/>
        </w:rPr>
      </w:pPr>
    </w:p>
    <w:p w:rsidR="007E3BEB" w:rsidRPr="005B217D" w:rsidRDefault="007E3BEB" w:rsidP="007E3BEB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7E3BEB" w:rsidRDefault="0009127C" w:rsidP="0018217D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To </w:t>
      </w:r>
      <w:r w:rsidR="0013296D">
        <w:rPr>
          <w:szCs w:val="22"/>
          <w:lang w:val="en-CA"/>
        </w:rPr>
        <w:t xml:space="preserve">adopt the proposed MV-HEVC software as part of </w:t>
      </w:r>
      <w:r>
        <w:rPr>
          <w:szCs w:val="22"/>
          <w:lang w:val="en-CA"/>
        </w:rPr>
        <w:t>the HTM software</w:t>
      </w:r>
      <w:r w:rsidR="0013296D">
        <w:rPr>
          <w:szCs w:val="22"/>
          <w:lang w:val="en-CA"/>
        </w:rPr>
        <w:t xml:space="preserve"> package</w:t>
      </w:r>
      <w:r w:rsidR="00963D13">
        <w:rPr>
          <w:szCs w:val="22"/>
          <w:lang w:val="en-CA"/>
        </w:rPr>
        <w:t>.</w:t>
      </w:r>
    </w:p>
    <w:p w:rsidR="00963D13" w:rsidRDefault="004E0358" w:rsidP="0018217D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To start </w:t>
      </w:r>
      <w:r w:rsidR="00A26CDB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>migration of the HTM software to be aligned to HM</w:t>
      </w:r>
      <w:r w:rsidR="0013296D">
        <w:rPr>
          <w:szCs w:val="22"/>
          <w:lang w:val="en-CA"/>
        </w:rPr>
        <w:t xml:space="preserve"> 8 or </w:t>
      </w:r>
      <w:r>
        <w:rPr>
          <w:szCs w:val="22"/>
          <w:lang w:val="en-CA"/>
        </w:rPr>
        <w:t xml:space="preserve">9. </w:t>
      </w:r>
    </w:p>
    <w:p w:rsidR="00963D13" w:rsidRPr="0009127C" w:rsidRDefault="00963D13" w:rsidP="0018217D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To align the </w:t>
      </w:r>
      <w:r w:rsidR="008F5AF1">
        <w:rPr>
          <w:szCs w:val="22"/>
          <w:lang w:val="en-CA"/>
        </w:rPr>
        <w:t>3D</w:t>
      </w:r>
      <w:r>
        <w:rPr>
          <w:szCs w:val="22"/>
          <w:lang w:val="en-CA"/>
        </w:rPr>
        <w:t xml:space="preserve">-HEVC </w:t>
      </w:r>
      <w:r w:rsidR="008F5AF1">
        <w:rPr>
          <w:szCs w:val="22"/>
          <w:lang w:val="en-CA"/>
        </w:rPr>
        <w:t xml:space="preserve">functions with MV-HEVC if applicable. </w:t>
      </w:r>
    </w:p>
    <w:p w:rsidR="007E3BEB" w:rsidRDefault="007E3BEB" w:rsidP="009234A5">
      <w:pPr>
        <w:jc w:val="both"/>
        <w:rPr>
          <w:szCs w:val="22"/>
          <w:lang w:val="en-CA"/>
        </w:rPr>
      </w:pPr>
    </w:p>
    <w:p w:rsidR="00D4606B" w:rsidRDefault="00D4606B" w:rsidP="006F2BF4">
      <w:pPr>
        <w:pStyle w:val="Heading1"/>
        <w:ind w:left="360" w:hanging="360"/>
      </w:pPr>
      <w:r>
        <w:t>References</w:t>
      </w:r>
    </w:p>
    <w:p w:rsidR="00D4606B" w:rsidRDefault="00B1757E" w:rsidP="007A233F">
      <w:pPr>
        <w:numPr>
          <w:ilvl w:val="0"/>
          <w:numId w:val="17"/>
        </w:numPr>
        <w:jc w:val="both"/>
      </w:pPr>
      <w:bookmarkStart w:id="134" w:name="_Ref336843752"/>
      <w:r>
        <w:t xml:space="preserve">G. </w:t>
      </w:r>
      <w:r w:rsidR="00F54D39">
        <w:t xml:space="preserve">Tech, </w:t>
      </w:r>
      <w:r>
        <w:rPr>
          <w:szCs w:val="22"/>
        </w:rPr>
        <w:t>K.</w:t>
      </w:r>
      <w:r w:rsidRPr="006D7A2B">
        <w:rPr>
          <w:szCs w:val="22"/>
        </w:rPr>
        <w:t xml:space="preserve"> </w:t>
      </w:r>
      <w:r w:rsidR="00F54D39" w:rsidRPr="006D7A2B">
        <w:rPr>
          <w:szCs w:val="22"/>
        </w:rPr>
        <w:t>Wegner</w:t>
      </w:r>
      <w:r w:rsidR="00F54D39">
        <w:rPr>
          <w:szCs w:val="22"/>
        </w:rPr>
        <w:t xml:space="preserve">, </w:t>
      </w:r>
      <w:r>
        <w:rPr>
          <w:szCs w:val="22"/>
        </w:rPr>
        <w:t xml:space="preserve">Y. </w:t>
      </w:r>
      <w:r w:rsidR="00F54D39">
        <w:rPr>
          <w:szCs w:val="22"/>
        </w:rPr>
        <w:t xml:space="preserve">Chen, </w:t>
      </w:r>
      <w:r>
        <w:rPr>
          <w:szCs w:val="22"/>
        </w:rPr>
        <w:t xml:space="preserve">M. M. </w:t>
      </w:r>
      <w:r w:rsidR="00F54D39" w:rsidRPr="006D7A2B">
        <w:rPr>
          <w:szCs w:val="22"/>
        </w:rPr>
        <w:t>Hannuksela</w:t>
      </w:r>
      <w:r w:rsidR="00D4606B">
        <w:t>, "</w:t>
      </w:r>
      <w:r w:rsidR="007A233F" w:rsidRPr="007A233F">
        <w:t>MV-HEVC Working Draft 1</w:t>
      </w:r>
      <w:r w:rsidR="00D4606B">
        <w:t>," ITU-T SG 16 WP 3 and ISO/IEC JTC 1/SC 29/WG 11, JCT3V-A</w:t>
      </w:r>
      <w:r w:rsidR="007A233F">
        <w:t>1004</w:t>
      </w:r>
      <w:r w:rsidR="00D4606B">
        <w:t>, 1st Meeting: Stockholm, SE, 16–20 July 2012.</w:t>
      </w:r>
      <w:bookmarkEnd w:id="134"/>
    </w:p>
    <w:p w:rsidR="00566180" w:rsidRPr="0018217D" w:rsidRDefault="00B1757E" w:rsidP="0018217D">
      <w:pPr>
        <w:numPr>
          <w:ilvl w:val="0"/>
          <w:numId w:val="17"/>
        </w:numPr>
        <w:jc w:val="both"/>
        <w:rPr>
          <w:szCs w:val="22"/>
        </w:rPr>
      </w:pPr>
      <w:bookmarkStart w:id="135" w:name="_Ref336845974"/>
      <w:bookmarkStart w:id="136" w:name="_Ref336884737"/>
      <w:r>
        <w:lastRenderedPageBreak/>
        <w:t>D.</w:t>
      </w:r>
      <w:r w:rsidRPr="00282478">
        <w:t xml:space="preserve"> </w:t>
      </w:r>
      <w:r w:rsidR="00D4606B" w:rsidRPr="00282478">
        <w:t xml:space="preserve">Rusanovskyy, </w:t>
      </w:r>
      <w:r>
        <w:t xml:space="preserve">K. </w:t>
      </w:r>
      <w:r w:rsidR="00D4606B" w:rsidRPr="00282478">
        <w:t xml:space="preserve">Müller, </w:t>
      </w:r>
      <w:r>
        <w:t xml:space="preserve">A. </w:t>
      </w:r>
      <w:r w:rsidR="00D4606B" w:rsidRPr="00282478">
        <w:t>Vetro</w:t>
      </w:r>
      <w:r w:rsidR="00D4606B">
        <w:t>, "</w:t>
      </w:r>
      <w:r w:rsidR="00D4606B" w:rsidRPr="00DB1917">
        <w:t>Common Test Conditions of 3DV Core Experiments</w:t>
      </w:r>
      <w:r w:rsidR="00D4606B">
        <w:t>," ITU-T SG 16 WP 3 and ISO/IEC JTC 1/SC 29/WG 11, JCT3V-A1100, 1st Meeting: Stockholm, SE, 16–20 July 2012.</w:t>
      </w:r>
      <w:bookmarkEnd w:id="135"/>
      <w:bookmarkEnd w:id="136"/>
    </w:p>
    <w:p w:rsidR="001F2594" w:rsidRPr="005B217D" w:rsidRDefault="001F2594" w:rsidP="006F2BF4">
      <w:pPr>
        <w:pStyle w:val="Heading1"/>
        <w:ind w:left="360" w:hanging="360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893FF6" w:rsidP="009234A5">
      <w:pPr>
        <w:jc w:val="both"/>
        <w:rPr>
          <w:szCs w:val="22"/>
          <w:lang w:val="en-CA"/>
        </w:rPr>
      </w:pPr>
      <w:r w:rsidRPr="0018217D">
        <w:rPr>
          <w:b/>
          <w:szCs w:val="22"/>
          <w:lang w:val="en-CA"/>
        </w:rPr>
        <w:t>Qualcomm</w:t>
      </w:r>
      <w:r w:rsidR="009234A5" w:rsidRPr="0018217D">
        <w:rPr>
          <w:b/>
          <w:szCs w:val="22"/>
          <w:lang w:val="en-CA"/>
        </w:rPr>
        <w:t> </w:t>
      </w:r>
      <w:r w:rsidR="002165D7" w:rsidRPr="002165D7">
        <w:rPr>
          <w:b/>
          <w:szCs w:val="22"/>
          <w:lang w:val="en-CA"/>
        </w:rPr>
        <w:t xml:space="preserve">Incorporated </w:t>
      </w:r>
      <w:r w:rsidR="001F2594" w:rsidRPr="002165D7">
        <w:rPr>
          <w:b/>
          <w:szCs w:val="22"/>
          <w:lang w:val="en-CA"/>
        </w:rPr>
        <w:t xml:space="preserve">may have </w:t>
      </w:r>
      <w:r w:rsidR="0098551D" w:rsidRPr="002165D7">
        <w:rPr>
          <w:b/>
          <w:szCs w:val="22"/>
          <w:lang w:val="en-CA"/>
        </w:rPr>
        <w:t>current or pending</w:t>
      </w:r>
      <w:r w:rsidR="001F2594" w:rsidRPr="00A37059">
        <w:rPr>
          <w:b/>
          <w:szCs w:val="22"/>
          <w:lang w:val="en-CA"/>
        </w:rPr>
        <w:t xml:space="preserve"> </w:t>
      </w:r>
      <w:r w:rsidR="0098551D" w:rsidRPr="00A37059">
        <w:rPr>
          <w:b/>
          <w:szCs w:val="22"/>
          <w:lang w:val="en-CA"/>
        </w:rPr>
        <w:t xml:space="preserve">patent rights </w:t>
      </w:r>
      <w:r w:rsidR="001F2594" w:rsidRPr="00A37059">
        <w:rPr>
          <w:b/>
          <w:szCs w:val="22"/>
          <w:lang w:val="en-CA"/>
        </w:rPr>
        <w:t>relating to the</w:t>
      </w:r>
      <w:r w:rsidR="001F2594" w:rsidRPr="005B217D">
        <w:rPr>
          <w:b/>
          <w:szCs w:val="22"/>
          <w:lang w:val="en-CA"/>
        </w:rPr>
        <w:t xml:space="preserve">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F3" w:rsidRDefault="00BF77F3">
      <w:r>
        <w:separator/>
      </w:r>
    </w:p>
  </w:endnote>
  <w:endnote w:type="continuationSeparator" w:id="0">
    <w:p w:rsidR="00BF77F3" w:rsidRDefault="00BF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007E2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67C1B">
      <w:rPr>
        <w:rStyle w:val="PageNumber"/>
        <w:noProof/>
      </w:rPr>
      <w:t>2012-10-08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F3" w:rsidRDefault="00BF77F3">
      <w:r>
        <w:separator/>
      </w:r>
    </w:p>
  </w:footnote>
  <w:footnote w:type="continuationSeparator" w:id="0">
    <w:p w:rsidR="00BF77F3" w:rsidRDefault="00BF7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B36E3"/>
    <w:multiLevelType w:val="hybridMultilevel"/>
    <w:tmpl w:val="D548A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A3787"/>
    <w:multiLevelType w:val="hybridMultilevel"/>
    <w:tmpl w:val="AD60D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10E59"/>
    <w:multiLevelType w:val="hybridMultilevel"/>
    <w:tmpl w:val="393AB3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08412A"/>
    <w:multiLevelType w:val="hybridMultilevel"/>
    <w:tmpl w:val="7930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EE21C05"/>
    <w:multiLevelType w:val="hybridMultilevel"/>
    <w:tmpl w:val="35B4A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670A75"/>
    <w:multiLevelType w:val="hybridMultilevel"/>
    <w:tmpl w:val="A468D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3"/>
  </w:num>
  <w:num w:numId="13">
    <w:abstractNumId w:val="2"/>
  </w:num>
  <w:num w:numId="14">
    <w:abstractNumId w:val="5"/>
  </w:num>
  <w:num w:numId="15">
    <w:abstractNumId w:val="5"/>
  </w:num>
  <w:num w:numId="16">
    <w:abstractNumId w:val="7"/>
  </w:num>
  <w:num w:numId="17">
    <w:abstractNumId w:val="12"/>
  </w:num>
  <w:num w:numId="18">
    <w:abstractNumId w:val="5"/>
  </w:num>
  <w:num w:numId="19">
    <w:abstractNumId w:val="8"/>
  </w:num>
  <w:num w:numId="20">
    <w:abstractNumId w:val="16"/>
  </w:num>
  <w:num w:numId="21">
    <w:abstractNumId w:val="15"/>
  </w:num>
  <w:num w:numId="22">
    <w:abstractNumId w:val="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0FA"/>
    <w:rsid w:val="00022AA6"/>
    <w:rsid w:val="00034BB7"/>
    <w:rsid w:val="0003695D"/>
    <w:rsid w:val="00037D8F"/>
    <w:rsid w:val="000458BC"/>
    <w:rsid w:val="00045C41"/>
    <w:rsid w:val="00046C03"/>
    <w:rsid w:val="00056506"/>
    <w:rsid w:val="0005702C"/>
    <w:rsid w:val="00057DEF"/>
    <w:rsid w:val="000673B8"/>
    <w:rsid w:val="0007104F"/>
    <w:rsid w:val="0007614F"/>
    <w:rsid w:val="00080D6A"/>
    <w:rsid w:val="0009127C"/>
    <w:rsid w:val="000A1141"/>
    <w:rsid w:val="000A2EB2"/>
    <w:rsid w:val="000A3516"/>
    <w:rsid w:val="000A6DE5"/>
    <w:rsid w:val="000A7175"/>
    <w:rsid w:val="000B1C6B"/>
    <w:rsid w:val="000B4FF9"/>
    <w:rsid w:val="000C09AC"/>
    <w:rsid w:val="000E00F3"/>
    <w:rsid w:val="000E6C26"/>
    <w:rsid w:val="000F158C"/>
    <w:rsid w:val="00102F3D"/>
    <w:rsid w:val="0010643D"/>
    <w:rsid w:val="00124E38"/>
    <w:rsid w:val="0012580B"/>
    <w:rsid w:val="00131226"/>
    <w:rsid w:val="00131F90"/>
    <w:rsid w:val="0013296D"/>
    <w:rsid w:val="00134060"/>
    <w:rsid w:val="0013526E"/>
    <w:rsid w:val="00147FCA"/>
    <w:rsid w:val="00150763"/>
    <w:rsid w:val="00166D4D"/>
    <w:rsid w:val="0016720E"/>
    <w:rsid w:val="00171371"/>
    <w:rsid w:val="00175A24"/>
    <w:rsid w:val="0018217D"/>
    <w:rsid w:val="001823FB"/>
    <w:rsid w:val="00183DE5"/>
    <w:rsid w:val="00187E58"/>
    <w:rsid w:val="001A27D8"/>
    <w:rsid w:val="001A297E"/>
    <w:rsid w:val="001A368E"/>
    <w:rsid w:val="001A7329"/>
    <w:rsid w:val="001B077B"/>
    <w:rsid w:val="001B4E28"/>
    <w:rsid w:val="001C3525"/>
    <w:rsid w:val="001D1A45"/>
    <w:rsid w:val="001D1BD2"/>
    <w:rsid w:val="001D1E44"/>
    <w:rsid w:val="001D368F"/>
    <w:rsid w:val="001E02BE"/>
    <w:rsid w:val="001E3B37"/>
    <w:rsid w:val="001F2594"/>
    <w:rsid w:val="002055A6"/>
    <w:rsid w:val="00206460"/>
    <w:rsid w:val="002069B4"/>
    <w:rsid w:val="00215DFC"/>
    <w:rsid w:val="002165D7"/>
    <w:rsid w:val="002212DF"/>
    <w:rsid w:val="00227BA7"/>
    <w:rsid w:val="00233C4A"/>
    <w:rsid w:val="00234F46"/>
    <w:rsid w:val="002607A3"/>
    <w:rsid w:val="00261CD4"/>
    <w:rsid w:val="00263398"/>
    <w:rsid w:val="0027122F"/>
    <w:rsid w:val="00275BCF"/>
    <w:rsid w:val="0027626A"/>
    <w:rsid w:val="00277A67"/>
    <w:rsid w:val="002802D2"/>
    <w:rsid w:val="00292257"/>
    <w:rsid w:val="002A0938"/>
    <w:rsid w:val="002A41D7"/>
    <w:rsid w:val="002A54E0"/>
    <w:rsid w:val="002B1595"/>
    <w:rsid w:val="002B191D"/>
    <w:rsid w:val="002D017B"/>
    <w:rsid w:val="002D0AF6"/>
    <w:rsid w:val="002E1F74"/>
    <w:rsid w:val="002E3DB4"/>
    <w:rsid w:val="002E4EF5"/>
    <w:rsid w:val="002E78E7"/>
    <w:rsid w:val="002F164D"/>
    <w:rsid w:val="002F300E"/>
    <w:rsid w:val="002F481D"/>
    <w:rsid w:val="002F70ED"/>
    <w:rsid w:val="00305CC4"/>
    <w:rsid w:val="00306206"/>
    <w:rsid w:val="00306254"/>
    <w:rsid w:val="0031065C"/>
    <w:rsid w:val="003110E9"/>
    <w:rsid w:val="00317D85"/>
    <w:rsid w:val="00325DA5"/>
    <w:rsid w:val="00327C56"/>
    <w:rsid w:val="00327E27"/>
    <w:rsid w:val="003315A1"/>
    <w:rsid w:val="003373EC"/>
    <w:rsid w:val="00342FF4"/>
    <w:rsid w:val="003436F2"/>
    <w:rsid w:val="00344BCE"/>
    <w:rsid w:val="00352FB1"/>
    <w:rsid w:val="00354239"/>
    <w:rsid w:val="0036173D"/>
    <w:rsid w:val="0036613E"/>
    <w:rsid w:val="003706CC"/>
    <w:rsid w:val="00377710"/>
    <w:rsid w:val="00385CD3"/>
    <w:rsid w:val="003A2D8E"/>
    <w:rsid w:val="003A57E8"/>
    <w:rsid w:val="003B3A46"/>
    <w:rsid w:val="003C20E4"/>
    <w:rsid w:val="003C2B74"/>
    <w:rsid w:val="003E17AB"/>
    <w:rsid w:val="003E18F9"/>
    <w:rsid w:val="003E6F90"/>
    <w:rsid w:val="003F1BC3"/>
    <w:rsid w:val="003F5D0F"/>
    <w:rsid w:val="00402188"/>
    <w:rsid w:val="00404B59"/>
    <w:rsid w:val="00414101"/>
    <w:rsid w:val="00417FC1"/>
    <w:rsid w:val="00422D75"/>
    <w:rsid w:val="00433DDB"/>
    <w:rsid w:val="00437619"/>
    <w:rsid w:val="00443E8B"/>
    <w:rsid w:val="00451441"/>
    <w:rsid w:val="00451C94"/>
    <w:rsid w:val="00470D92"/>
    <w:rsid w:val="00474B1A"/>
    <w:rsid w:val="00487599"/>
    <w:rsid w:val="00490396"/>
    <w:rsid w:val="00493D9A"/>
    <w:rsid w:val="00494D78"/>
    <w:rsid w:val="00494E6C"/>
    <w:rsid w:val="004A2A63"/>
    <w:rsid w:val="004B210C"/>
    <w:rsid w:val="004B4C00"/>
    <w:rsid w:val="004D405F"/>
    <w:rsid w:val="004E0358"/>
    <w:rsid w:val="004E4F4F"/>
    <w:rsid w:val="004E5FD2"/>
    <w:rsid w:val="004E6789"/>
    <w:rsid w:val="004F61E3"/>
    <w:rsid w:val="00500E93"/>
    <w:rsid w:val="005012EE"/>
    <w:rsid w:val="0051015C"/>
    <w:rsid w:val="0051093C"/>
    <w:rsid w:val="00514219"/>
    <w:rsid w:val="00516CF1"/>
    <w:rsid w:val="00524D38"/>
    <w:rsid w:val="00531AE9"/>
    <w:rsid w:val="0053377E"/>
    <w:rsid w:val="00534E45"/>
    <w:rsid w:val="00542889"/>
    <w:rsid w:val="00550A66"/>
    <w:rsid w:val="00551F93"/>
    <w:rsid w:val="00553F6C"/>
    <w:rsid w:val="00560D7A"/>
    <w:rsid w:val="00564799"/>
    <w:rsid w:val="00566180"/>
    <w:rsid w:val="00567EC7"/>
    <w:rsid w:val="00570013"/>
    <w:rsid w:val="005801A2"/>
    <w:rsid w:val="005809F3"/>
    <w:rsid w:val="005903FA"/>
    <w:rsid w:val="005952A5"/>
    <w:rsid w:val="00596068"/>
    <w:rsid w:val="005A33A1"/>
    <w:rsid w:val="005A52CB"/>
    <w:rsid w:val="005B217D"/>
    <w:rsid w:val="005B272A"/>
    <w:rsid w:val="005C385F"/>
    <w:rsid w:val="005C4E68"/>
    <w:rsid w:val="005C5DB7"/>
    <w:rsid w:val="005D6A3F"/>
    <w:rsid w:val="005E1AC6"/>
    <w:rsid w:val="005E42C7"/>
    <w:rsid w:val="005F1457"/>
    <w:rsid w:val="005F6F1B"/>
    <w:rsid w:val="006029D1"/>
    <w:rsid w:val="006074FD"/>
    <w:rsid w:val="00610D43"/>
    <w:rsid w:val="0061424F"/>
    <w:rsid w:val="006142C3"/>
    <w:rsid w:val="006205CC"/>
    <w:rsid w:val="00624B33"/>
    <w:rsid w:val="006263E1"/>
    <w:rsid w:val="00630AA2"/>
    <w:rsid w:val="00632C6B"/>
    <w:rsid w:val="0063371A"/>
    <w:rsid w:val="00640055"/>
    <w:rsid w:val="00643D45"/>
    <w:rsid w:val="00644613"/>
    <w:rsid w:val="00645EAD"/>
    <w:rsid w:val="00646707"/>
    <w:rsid w:val="00654355"/>
    <w:rsid w:val="00662E58"/>
    <w:rsid w:val="00663F50"/>
    <w:rsid w:val="00664DCF"/>
    <w:rsid w:val="006755C9"/>
    <w:rsid w:val="00677BBE"/>
    <w:rsid w:val="00684FB6"/>
    <w:rsid w:val="006A5567"/>
    <w:rsid w:val="006B69FB"/>
    <w:rsid w:val="006C392B"/>
    <w:rsid w:val="006C45D4"/>
    <w:rsid w:val="006C50B1"/>
    <w:rsid w:val="006C5D39"/>
    <w:rsid w:val="006D49CC"/>
    <w:rsid w:val="006E2810"/>
    <w:rsid w:val="006E5417"/>
    <w:rsid w:val="006F2A10"/>
    <w:rsid w:val="006F2BF4"/>
    <w:rsid w:val="00701FA2"/>
    <w:rsid w:val="00705DBA"/>
    <w:rsid w:val="00712F60"/>
    <w:rsid w:val="00714CFD"/>
    <w:rsid w:val="00720E3B"/>
    <w:rsid w:val="00734864"/>
    <w:rsid w:val="007420A8"/>
    <w:rsid w:val="00745F6B"/>
    <w:rsid w:val="00747543"/>
    <w:rsid w:val="0075585E"/>
    <w:rsid w:val="00757883"/>
    <w:rsid w:val="00767903"/>
    <w:rsid w:val="00770571"/>
    <w:rsid w:val="00774F1D"/>
    <w:rsid w:val="007768FF"/>
    <w:rsid w:val="00777A6A"/>
    <w:rsid w:val="007824D3"/>
    <w:rsid w:val="00796EE3"/>
    <w:rsid w:val="007A233F"/>
    <w:rsid w:val="007A60AA"/>
    <w:rsid w:val="007A7D29"/>
    <w:rsid w:val="007B1BA3"/>
    <w:rsid w:val="007B4AB8"/>
    <w:rsid w:val="007B524D"/>
    <w:rsid w:val="007B6973"/>
    <w:rsid w:val="007D6916"/>
    <w:rsid w:val="007E3BEB"/>
    <w:rsid w:val="007E475A"/>
    <w:rsid w:val="007E4B9A"/>
    <w:rsid w:val="007F1F8B"/>
    <w:rsid w:val="007F5008"/>
    <w:rsid w:val="007F67A1"/>
    <w:rsid w:val="0080247F"/>
    <w:rsid w:val="0081562C"/>
    <w:rsid w:val="008206C8"/>
    <w:rsid w:val="0082237F"/>
    <w:rsid w:val="0084060A"/>
    <w:rsid w:val="00842745"/>
    <w:rsid w:val="00864429"/>
    <w:rsid w:val="00864C5E"/>
    <w:rsid w:val="0087363B"/>
    <w:rsid w:val="00874A6C"/>
    <w:rsid w:val="008753EE"/>
    <w:rsid w:val="008759E8"/>
    <w:rsid w:val="00876C65"/>
    <w:rsid w:val="0089083C"/>
    <w:rsid w:val="00893FF6"/>
    <w:rsid w:val="00894E63"/>
    <w:rsid w:val="008A2C7E"/>
    <w:rsid w:val="008A4B4C"/>
    <w:rsid w:val="008C239F"/>
    <w:rsid w:val="008C60BB"/>
    <w:rsid w:val="008D6F54"/>
    <w:rsid w:val="008E3E5C"/>
    <w:rsid w:val="008E480C"/>
    <w:rsid w:val="008F537A"/>
    <w:rsid w:val="008F5AF1"/>
    <w:rsid w:val="00907757"/>
    <w:rsid w:val="009212B0"/>
    <w:rsid w:val="00922846"/>
    <w:rsid w:val="009234A5"/>
    <w:rsid w:val="0092553B"/>
    <w:rsid w:val="00925683"/>
    <w:rsid w:val="0092785D"/>
    <w:rsid w:val="00930B73"/>
    <w:rsid w:val="009336F7"/>
    <w:rsid w:val="009374A7"/>
    <w:rsid w:val="00937F7E"/>
    <w:rsid w:val="00943C39"/>
    <w:rsid w:val="00946C59"/>
    <w:rsid w:val="00947F04"/>
    <w:rsid w:val="00953D29"/>
    <w:rsid w:val="00954154"/>
    <w:rsid w:val="00954270"/>
    <w:rsid w:val="00954416"/>
    <w:rsid w:val="00955D10"/>
    <w:rsid w:val="009563A7"/>
    <w:rsid w:val="00962ED1"/>
    <w:rsid w:val="00963D13"/>
    <w:rsid w:val="0098551D"/>
    <w:rsid w:val="00987384"/>
    <w:rsid w:val="00990012"/>
    <w:rsid w:val="00991C24"/>
    <w:rsid w:val="00994F08"/>
    <w:rsid w:val="0099518F"/>
    <w:rsid w:val="009A173F"/>
    <w:rsid w:val="009A523D"/>
    <w:rsid w:val="009C16C8"/>
    <w:rsid w:val="009C3EC9"/>
    <w:rsid w:val="009C3FCD"/>
    <w:rsid w:val="009D3C1E"/>
    <w:rsid w:val="009D5755"/>
    <w:rsid w:val="009E1204"/>
    <w:rsid w:val="009E6C56"/>
    <w:rsid w:val="009F496B"/>
    <w:rsid w:val="009F5293"/>
    <w:rsid w:val="009F53D1"/>
    <w:rsid w:val="009F7338"/>
    <w:rsid w:val="00A01439"/>
    <w:rsid w:val="00A02E61"/>
    <w:rsid w:val="00A05CFF"/>
    <w:rsid w:val="00A232FC"/>
    <w:rsid w:val="00A26CDB"/>
    <w:rsid w:val="00A2758E"/>
    <w:rsid w:val="00A37059"/>
    <w:rsid w:val="00A371D5"/>
    <w:rsid w:val="00A545AF"/>
    <w:rsid w:val="00A554DD"/>
    <w:rsid w:val="00A56B97"/>
    <w:rsid w:val="00A6093D"/>
    <w:rsid w:val="00A622A7"/>
    <w:rsid w:val="00A67C1B"/>
    <w:rsid w:val="00A76A6D"/>
    <w:rsid w:val="00A83253"/>
    <w:rsid w:val="00A83D0F"/>
    <w:rsid w:val="00A920B5"/>
    <w:rsid w:val="00AA4F0E"/>
    <w:rsid w:val="00AA5FE8"/>
    <w:rsid w:val="00AA6E84"/>
    <w:rsid w:val="00AB2494"/>
    <w:rsid w:val="00AB26B8"/>
    <w:rsid w:val="00AB280D"/>
    <w:rsid w:val="00AC2C45"/>
    <w:rsid w:val="00AC76D8"/>
    <w:rsid w:val="00AE341B"/>
    <w:rsid w:val="00AE3B36"/>
    <w:rsid w:val="00AF2341"/>
    <w:rsid w:val="00B00A43"/>
    <w:rsid w:val="00B01780"/>
    <w:rsid w:val="00B06FA1"/>
    <w:rsid w:val="00B07CA7"/>
    <w:rsid w:val="00B1279A"/>
    <w:rsid w:val="00B156A8"/>
    <w:rsid w:val="00B158D3"/>
    <w:rsid w:val="00B1757E"/>
    <w:rsid w:val="00B24DC6"/>
    <w:rsid w:val="00B30C07"/>
    <w:rsid w:val="00B32334"/>
    <w:rsid w:val="00B33D3C"/>
    <w:rsid w:val="00B33DF1"/>
    <w:rsid w:val="00B4430C"/>
    <w:rsid w:val="00B51EB6"/>
    <w:rsid w:val="00B5222E"/>
    <w:rsid w:val="00B531CF"/>
    <w:rsid w:val="00B53E24"/>
    <w:rsid w:val="00B618DC"/>
    <w:rsid w:val="00B61C96"/>
    <w:rsid w:val="00B64911"/>
    <w:rsid w:val="00B73A2A"/>
    <w:rsid w:val="00B74ABA"/>
    <w:rsid w:val="00B936F1"/>
    <w:rsid w:val="00B94B06"/>
    <w:rsid w:val="00B94C28"/>
    <w:rsid w:val="00BA346A"/>
    <w:rsid w:val="00BC02EC"/>
    <w:rsid w:val="00BC059E"/>
    <w:rsid w:val="00BC10BA"/>
    <w:rsid w:val="00BC3E25"/>
    <w:rsid w:val="00BC52CB"/>
    <w:rsid w:val="00BC5AFD"/>
    <w:rsid w:val="00BD09AA"/>
    <w:rsid w:val="00BE56BC"/>
    <w:rsid w:val="00BE7811"/>
    <w:rsid w:val="00BE7FAB"/>
    <w:rsid w:val="00BF77F3"/>
    <w:rsid w:val="00C00695"/>
    <w:rsid w:val="00C04F43"/>
    <w:rsid w:val="00C05D30"/>
    <w:rsid w:val="00C0609D"/>
    <w:rsid w:val="00C10C42"/>
    <w:rsid w:val="00C115AB"/>
    <w:rsid w:val="00C200A9"/>
    <w:rsid w:val="00C24A42"/>
    <w:rsid w:val="00C272FD"/>
    <w:rsid w:val="00C30249"/>
    <w:rsid w:val="00C3043C"/>
    <w:rsid w:val="00C327FA"/>
    <w:rsid w:val="00C3723B"/>
    <w:rsid w:val="00C3762A"/>
    <w:rsid w:val="00C558FF"/>
    <w:rsid w:val="00C5673A"/>
    <w:rsid w:val="00C606C9"/>
    <w:rsid w:val="00C61C0D"/>
    <w:rsid w:val="00C73707"/>
    <w:rsid w:val="00C7400F"/>
    <w:rsid w:val="00C74ECD"/>
    <w:rsid w:val="00C80288"/>
    <w:rsid w:val="00C84003"/>
    <w:rsid w:val="00C848AD"/>
    <w:rsid w:val="00C90650"/>
    <w:rsid w:val="00C97D78"/>
    <w:rsid w:val="00CA252A"/>
    <w:rsid w:val="00CA7959"/>
    <w:rsid w:val="00CC2AAE"/>
    <w:rsid w:val="00CC53A4"/>
    <w:rsid w:val="00CC5A42"/>
    <w:rsid w:val="00CD0EAB"/>
    <w:rsid w:val="00CD22B9"/>
    <w:rsid w:val="00CD3E69"/>
    <w:rsid w:val="00CD6797"/>
    <w:rsid w:val="00CE0A4C"/>
    <w:rsid w:val="00CE2F82"/>
    <w:rsid w:val="00CE4165"/>
    <w:rsid w:val="00CF32E2"/>
    <w:rsid w:val="00CF34DB"/>
    <w:rsid w:val="00CF558F"/>
    <w:rsid w:val="00D007E2"/>
    <w:rsid w:val="00D009C5"/>
    <w:rsid w:val="00D073E2"/>
    <w:rsid w:val="00D14F71"/>
    <w:rsid w:val="00D25C3E"/>
    <w:rsid w:val="00D32019"/>
    <w:rsid w:val="00D446EC"/>
    <w:rsid w:val="00D4606B"/>
    <w:rsid w:val="00D46200"/>
    <w:rsid w:val="00D51BF0"/>
    <w:rsid w:val="00D55942"/>
    <w:rsid w:val="00D807BF"/>
    <w:rsid w:val="00D87A4B"/>
    <w:rsid w:val="00D87E27"/>
    <w:rsid w:val="00DA7887"/>
    <w:rsid w:val="00DB2C26"/>
    <w:rsid w:val="00DB44EC"/>
    <w:rsid w:val="00DB68F0"/>
    <w:rsid w:val="00DC030F"/>
    <w:rsid w:val="00DE6B43"/>
    <w:rsid w:val="00DF1DE4"/>
    <w:rsid w:val="00DF3455"/>
    <w:rsid w:val="00E0480C"/>
    <w:rsid w:val="00E05FB7"/>
    <w:rsid w:val="00E11923"/>
    <w:rsid w:val="00E21F20"/>
    <w:rsid w:val="00E25411"/>
    <w:rsid w:val="00E262D4"/>
    <w:rsid w:val="00E26FBC"/>
    <w:rsid w:val="00E31801"/>
    <w:rsid w:val="00E36250"/>
    <w:rsid w:val="00E411BD"/>
    <w:rsid w:val="00E463CF"/>
    <w:rsid w:val="00E50269"/>
    <w:rsid w:val="00E53393"/>
    <w:rsid w:val="00E54511"/>
    <w:rsid w:val="00E61DAC"/>
    <w:rsid w:val="00E63B79"/>
    <w:rsid w:val="00E7113A"/>
    <w:rsid w:val="00E72B80"/>
    <w:rsid w:val="00E75FE3"/>
    <w:rsid w:val="00E807A4"/>
    <w:rsid w:val="00E84FDC"/>
    <w:rsid w:val="00E86C4C"/>
    <w:rsid w:val="00E94078"/>
    <w:rsid w:val="00E95668"/>
    <w:rsid w:val="00EA266B"/>
    <w:rsid w:val="00EA3D34"/>
    <w:rsid w:val="00EA6089"/>
    <w:rsid w:val="00EB7AB1"/>
    <w:rsid w:val="00ED4767"/>
    <w:rsid w:val="00EE0476"/>
    <w:rsid w:val="00EF48CC"/>
    <w:rsid w:val="00F058A1"/>
    <w:rsid w:val="00F070F4"/>
    <w:rsid w:val="00F077E1"/>
    <w:rsid w:val="00F10DA4"/>
    <w:rsid w:val="00F13BF0"/>
    <w:rsid w:val="00F15407"/>
    <w:rsid w:val="00F27FE8"/>
    <w:rsid w:val="00F32CFE"/>
    <w:rsid w:val="00F33247"/>
    <w:rsid w:val="00F33CC6"/>
    <w:rsid w:val="00F3799F"/>
    <w:rsid w:val="00F40E8D"/>
    <w:rsid w:val="00F54D39"/>
    <w:rsid w:val="00F629C5"/>
    <w:rsid w:val="00F670B1"/>
    <w:rsid w:val="00F73032"/>
    <w:rsid w:val="00F848FC"/>
    <w:rsid w:val="00F9282A"/>
    <w:rsid w:val="00F93F1B"/>
    <w:rsid w:val="00F9569C"/>
    <w:rsid w:val="00F96BAD"/>
    <w:rsid w:val="00F97F7A"/>
    <w:rsid w:val="00FA0166"/>
    <w:rsid w:val="00FA51AB"/>
    <w:rsid w:val="00FB0E84"/>
    <w:rsid w:val="00FB2C80"/>
    <w:rsid w:val="00FD01C2"/>
    <w:rsid w:val="00FD08F5"/>
    <w:rsid w:val="00FE5164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DF1DE4"/>
  </w:style>
  <w:style w:type="paragraph" w:customStyle="1" w:styleId="Equation">
    <w:name w:val="Equation"/>
    <w:basedOn w:val="Normal"/>
    <w:uiPriority w:val="99"/>
    <w:rsid w:val="00F97F7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tableheading">
    <w:name w:val="table heading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53D2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53D29"/>
    <w:rPr>
      <w:rFonts w:ascii="Times" w:eastAsia="Malgun Gothic" w:hAnsi="Times"/>
      <w:lang w:val="en-GB" w:eastAsia="en-US"/>
    </w:rPr>
  </w:style>
  <w:style w:type="character" w:customStyle="1" w:styleId="CaptionChar">
    <w:name w:val="Caption Char"/>
    <w:aliases w:val="Figure Char"/>
    <w:link w:val="Caption"/>
    <w:uiPriority w:val="35"/>
    <w:semiHidden/>
    <w:locked/>
    <w:rsid w:val="00F670B1"/>
    <w:rPr>
      <w:b/>
      <w:bCs/>
      <w:color w:val="4F81BD"/>
      <w:sz w:val="18"/>
      <w:szCs w:val="18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semiHidden/>
    <w:unhideWhenUsed/>
    <w:qFormat/>
    <w:rsid w:val="00F670B1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character" w:styleId="CommentReference">
    <w:name w:val="annotation reference"/>
    <w:rsid w:val="00C567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673A"/>
    <w:rPr>
      <w:sz w:val="20"/>
    </w:rPr>
  </w:style>
  <w:style w:type="character" w:customStyle="1" w:styleId="CommentTextChar">
    <w:name w:val="Comment Text Char"/>
    <w:link w:val="CommentText"/>
    <w:rsid w:val="00C567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5673A"/>
    <w:rPr>
      <w:b/>
      <w:bCs/>
    </w:rPr>
  </w:style>
  <w:style w:type="character" w:customStyle="1" w:styleId="CommentSubjectChar">
    <w:name w:val="Comment Subject Char"/>
    <w:link w:val="CommentSubject"/>
    <w:rsid w:val="00C5673A"/>
    <w:rPr>
      <w:b/>
      <w:bCs/>
      <w:lang w:eastAsia="en-US"/>
    </w:rPr>
  </w:style>
  <w:style w:type="paragraph" w:styleId="Revision">
    <w:name w:val="Revision"/>
    <w:hidden/>
    <w:uiPriority w:val="99"/>
    <w:semiHidden/>
    <w:rsid w:val="00C5673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91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DF1DE4"/>
  </w:style>
  <w:style w:type="paragraph" w:customStyle="1" w:styleId="Equation">
    <w:name w:val="Equation"/>
    <w:basedOn w:val="Normal"/>
    <w:uiPriority w:val="99"/>
    <w:rsid w:val="00F97F7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tableheading">
    <w:name w:val="table heading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53D2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53D29"/>
    <w:rPr>
      <w:rFonts w:ascii="Times" w:eastAsia="Malgun Gothic" w:hAnsi="Times"/>
      <w:lang w:val="en-GB" w:eastAsia="en-US"/>
    </w:rPr>
  </w:style>
  <w:style w:type="character" w:customStyle="1" w:styleId="CaptionChar">
    <w:name w:val="Caption Char"/>
    <w:aliases w:val="Figure Char"/>
    <w:link w:val="Caption"/>
    <w:uiPriority w:val="35"/>
    <w:semiHidden/>
    <w:locked/>
    <w:rsid w:val="00F670B1"/>
    <w:rPr>
      <w:b/>
      <w:bCs/>
      <w:color w:val="4F81BD"/>
      <w:sz w:val="18"/>
      <w:szCs w:val="18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semiHidden/>
    <w:unhideWhenUsed/>
    <w:qFormat/>
    <w:rsid w:val="00F670B1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character" w:styleId="CommentReference">
    <w:name w:val="annotation reference"/>
    <w:rsid w:val="00C567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673A"/>
    <w:rPr>
      <w:sz w:val="20"/>
    </w:rPr>
  </w:style>
  <w:style w:type="character" w:customStyle="1" w:styleId="CommentTextChar">
    <w:name w:val="Comment Text Char"/>
    <w:link w:val="CommentText"/>
    <w:rsid w:val="00C567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5673A"/>
    <w:rPr>
      <w:b/>
      <w:bCs/>
    </w:rPr>
  </w:style>
  <w:style w:type="character" w:customStyle="1" w:styleId="CommentSubjectChar">
    <w:name w:val="Comment Subject Char"/>
    <w:link w:val="CommentSubject"/>
    <w:rsid w:val="00C5673A"/>
    <w:rPr>
      <w:b/>
      <w:bCs/>
      <w:lang w:eastAsia="en-US"/>
    </w:rPr>
  </w:style>
  <w:style w:type="paragraph" w:styleId="Revision">
    <w:name w:val="Revision"/>
    <w:hidden/>
    <w:uiPriority w:val="99"/>
    <w:semiHidden/>
    <w:rsid w:val="00C5673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9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6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93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30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42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621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jewonk@qti.qualcom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ti.qualcom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izh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1566</Words>
  <Characters>8930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10476</CharactersWithSpaces>
  <SharedDoc>false</SharedDoc>
  <HLinks>
    <vt:vector size="18" baseType="variant">
      <vt:variant>
        <vt:i4>1966188</vt:i4>
      </vt:variant>
      <vt:variant>
        <vt:i4>6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JCT3V-B0047(Li Zhang)</cp:lastModifiedBy>
  <cp:revision>13</cp:revision>
  <cp:lastPrinted>2012-10-04T20:47:00Z</cp:lastPrinted>
  <dcterms:created xsi:type="dcterms:W3CDTF">2012-10-18T03:53:00Z</dcterms:created>
  <dcterms:modified xsi:type="dcterms:W3CDTF">2012-10-18T04:00:00Z</dcterms:modified>
</cp:coreProperties>
</file>