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A10A90" w14:paraId="35DF1517" w14:textId="77777777" w:rsidTr="00E21F20">
        <w:tc>
          <w:tcPr>
            <w:tcW w:w="6858" w:type="dxa"/>
          </w:tcPr>
          <w:p w14:paraId="107A2954" w14:textId="77777777" w:rsidR="006C5D39" w:rsidRPr="00A10A90" w:rsidRDefault="00EF77E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10A90">
              <w:rPr>
                <w:b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B62F986" wp14:editId="2F0B57C2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Df1CTP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A10A90">
              <w:rPr>
                <w:b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61326B4A" wp14:editId="664AF07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90">
              <w:rPr>
                <w:b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63F7E55D" wp14:editId="3826FC5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A10A90">
              <w:rPr>
                <w:b/>
                <w:szCs w:val="22"/>
              </w:rPr>
              <w:t xml:space="preserve">Joint </w:t>
            </w:r>
            <w:r w:rsidR="006C5D39" w:rsidRPr="00A10A90">
              <w:rPr>
                <w:b/>
                <w:szCs w:val="22"/>
              </w:rPr>
              <w:t>Collaborative</w:t>
            </w:r>
            <w:r w:rsidR="00E61DAC" w:rsidRPr="00A10A90">
              <w:rPr>
                <w:b/>
                <w:szCs w:val="22"/>
              </w:rPr>
              <w:t xml:space="preserve"> Team </w:t>
            </w:r>
            <w:r w:rsidR="006C5D39" w:rsidRPr="00A10A90">
              <w:rPr>
                <w:b/>
                <w:szCs w:val="22"/>
              </w:rPr>
              <w:t xml:space="preserve">on </w:t>
            </w:r>
            <w:r w:rsidR="00E21F20" w:rsidRPr="00A10A90">
              <w:rPr>
                <w:b/>
                <w:szCs w:val="22"/>
              </w:rPr>
              <w:t>3D Video Coding Extension Development</w:t>
            </w:r>
          </w:p>
          <w:p w14:paraId="39904612" w14:textId="77777777" w:rsidR="00E61DAC" w:rsidRPr="00A10A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proofErr w:type="gramStart"/>
            <w:r w:rsidRPr="00A10A90">
              <w:rPr>
                <w:b/>
                <w:szCs w:val="22"/>
              </w:rPr>
              <w:t>of</w:t>
            </w:r>
            <w:proofErr w:type="gramEnd"/>
            <w:r w:rsidRPr="00A10A90">
              <w:rPr>
                <w:b/>
                <w:szCs w:val="22"/>
              </w:rPr>
              <w:t xml:space="preserve"> </w:t>
            </w:r>
            <w:r w:rsidR="007F1F8B" w:rsidRPr="00A10A90">
              <w:rPr>
                <w:b/>
                <w:szCs w:val="22"/>
              </w:rPr>
              <w:t>ITU-T SG</w:t>
            </w:r>
            <w:r w:rsidR="005E1AC6" w:rsidRPr="00A10A90">
              <w:rPr>
                <w:b/>
                <w:szCs w:val="22"/>
              </w:rPr>
              <w:t> </w:t>
            </w:r>
            <w:r w:rsidR="007F1F8B" w:rsidRPr="00A10A90">
              <w:rPr>
                <w:b/>
                <w:szCs w:val="22"/>
              </w:rPr>
              <w:t>16 WP</w:t>
            </w:r>
            <w:r w:rsidR="005E1AC6" w:rsidRPr="00A10A90">
              <w:rPr>
                <w:b/>
                <w:szCs w:val="22"/>
              </w:rPr>
              <w:t> </w:t>
            </w:r>
            <w:r w:rsidR="007F1F8B" w:rsidRPr="00A10A90">
              <w:rPr>
                <w:b/>
                <w:szCs w:val="22"/>
              </w:rPr>
              <w:t>3 and ISO/IEC JTC</w:t>
            </w:r>
            <w:r w:rsidR="005E1AC6" w:rsidRPr="00A10A90">
              <w:rPr>
                <w:b/>
                <w:szCs w:val="22"/>
              </w:rPr>
              <w:t> </w:t>
            </w:r>
            <w:r w:rsidR="007F1F8B" w:rsidRPr="00A10A90">
              <w:rPr>
                <w:b/>
                <w:szCs w:val="22"/>
              </w:rPr>
              <w:t>1/SC</w:t>
            </w:r>
            <w:r w:rsidR="005E1AC6" w:rsidRPr="00A10A90">
              <w:rPr>
                <w:b/>
                <w:szCs w:val="22"/>
              </w:rPr>
              <w:t> </w:t>
            </w:r>
            <w:r w:rsidR="007F1F8B" w:rsidRPr="00A10A90">
              <w:rPr>
                <w:b/>
                <w:szCs w:val="22"/>
              </w:rPr>
              <w:t>29/WG</w:t>
            </w:r>
            <w:r w:rsidR="005E1AC6" w:rsidRPr="00A10A90">
              <w:rPr>
                <w:b/>
                <w:szCs w:val="22"/>
              </w:rPr>
              <w:t> </w:t>
            </w:r>
            <w:r w:rsidR="007F1F8B" w:rsidRPr="00A10A90">
              <w:rPr>
                <w:b/>
                <w:szCs w:val="22"/>
              </w:rPr>
              <w:t>11</w:t>
            </w:r>
          </w:p>
          <w:p w14:paraId="6EDCF01C" w14:textId="77777777" w:rsidR="00E61DAC" w:rsidRPr="00A10A90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10A90">
              <w:rPr>
                <w:szCs w:val="22"/>
              </w:rPr>
              <w:t>1st</w:t>
            </w:r>
            <w:r w:rsidR="00E61DAC" w:rsidRPr="00A10A90">
              <w:rPr>
                <w:szCs w:val="22"/>
              </w:rPr>
              <w:t xml:space="preserve"> Meeting: </w:t>
            </w:r>
            <w:r w:rsidR="000B4FF9" w:rsidRPr="00A10A90">
              <w:rPr>
                <w:szCs w:val="22"/>
              </w:rPr>
              <w:t>Stockholm</w:t>
            </w:r>
            <w:r w:rsidR="005E1AC6" w:rsidRPr="00A10A90">
              <w:rPr>
                <w:szCs w:val="22"/>
              </w:rPr>
              <w:t xml:space="preserve">, </w:t>
            </w:r>
            <w:r w:rsidR="000B4FF9" w:rsidRPr="00A10A90">
              <w:rPr>
                <w:szCs w:val="22"/>
              </w:rPr>
              <w:t>SE</w:t>
            </w:r>
            <w:r w:rsidR="005E1AC6" w:rsidRPr="00A10A90">
              <w:rPr>
                <w:szCs w:val="22"/>
              </w:rPr>
              <w:t xml:space="preserve">, </w:t>
            </w:r>
            <w:r w:rsidRPr="00A10A90">
              <w:rPr>
                <w:szCs w:val="22"/>
              </w:rPr>
              <w:t>16</w:t>
            </w:r>
            <w:r w:rsidR="005E1AC6" w:rsidRPr="00A10A90">
              <w:rPr>
                <w:szCs w:val="22"/>
              </w:rPr>
              <w:t>–</w:t>
            </w:r>
            <w:r w:rsidR="000B4FF9" w:rsidRPr="00A10A90">
              <w:rPr>
                <w:szCs w:val="22"/>
              </w:rPr>
              <w:t>20</w:t>
            </w:r>
            <w:r w:rsidR="005E1AC6" w:rsidRPr="00A10A90">
              <w:rPr>
                <w:szCs w:val="22"/>
              </w:rPr>
              <w:t xml:space="preserve"> </w:t>
            </w:r>
            <w:r w:rsidR="000B4FF9" w:rsidRPr="00A10A90">
              <w:rPr>
                <w:szCs w:val="22"/>
              </w:rPr>
              <w:t>Jul</w:t>
            </w:r>
            <w:r w:rsidR="005E1AC6" w:rsidRPr="00A10A90">
              <w:rPr>
                <w:szCs w:val="22"/>
              </w:rPr>
              <w:t>y 2012</w:t>
            </w:r>
          </w:p>
        </w:tc>
        <w:tc>
          <w:tcPr>
            <w:tcW w:w="2718" w:type="dxa"/>
          </w:tcPr>
          <w:p w14:paraId="2CF45EA1" w14:textId="77777777" w:rsidR="008A4B4C" w:rsidRPr="00A10A90" w:rsidRDefault="00E61DAC" w:rsidP="00E21F20">
            <w:pPr>
              <w:tabs>
                <w:tab w:val="left" w:pos="7200"/>
              </w:tabs>
            </w:pPr>
            <w:r w:rsidRPr="00A10A90">
              <w:t>Document</w:t>
            </w:r>
            <w:r w:rsidR="006C5D39" w:rsidRPr="00A10A90">
              <w:t>: JC</w:t>
            </w:r>
            <w:r w:rsidRPr="00A10A90">
              <w:t>T</w:t>
            </w:r>
            <w:r w:rsidR="00E21F20" w:rsidRPr="00A10A90">
              <w:t>2</w:t>
            </w:r>
            <w:r w:rsidRPr="00A10A90">
              <w:t>-</w:t>
            </w:r>
            <w:r w:rsidR="00E21F20" w:rsidRPr="00A10A90">
              <w:t>A</w:t>
            </w:r>
            <w:r w:rsidR="00CA2510" w:rsidRPr="00A10A90">
              <w:t>0150</w:t>
            </w:r>
          </w:p>
        </w:tc>
      </w:tr>
    </w:tbl>
    <w:p w14:paraId="4A38DB96" w14:textId="77777777" w:rsidR="00E61DAC" w:rsidRPr="00A10A90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10A90" w14:paraId="13C14DEF" w14:textId="77777777">
        <w:tc>
          <w:tcPr>
            <w:tcW w:w="1458" w:type="dxa"/>
          </w:tcPr>
          <w:p w14:paraId="024CE73B" w14:textId="77777777" w:rsidR="00E61DAC" w:rsidRPr="00A10A90" w:rsidRDefault="00E61DAC">
            <w:pPr>
              <w:spacing w:before="60" w:after="60"/>
              <w:rPr>
                <w:i/>
                <w:szCs w:val="22"/>
              </w:rPr>
            </w:pPr>
            <w:r w:rsidRPr="00A10A90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5B4F7ED3" w14:textId="77777777" w:rsidR="00E61DAC" w:rsidRPr="00A10A90" w:rsidRDefault="002878F8" w:rsidP="00AB2494">
            <w:pPr>
              <w:spacing w:before="60" w:after="60"/>
              <w:rPr>
                <w:b/>
                <w:szCs w:val="22"/>
              </w:rPr>
            </w:pPr>
            <w:r w:rsidRPr="00A10A90">
              <w:rPr>
                <w:b/>
                <w:szCs w:val="22"/>
              </w:rPr>
              <w:t>3DV: Quality assessment of stereo pairs formed from two synthesized views</w:t>
            </w:r>
          </w:p>
        </w:tc>
      </w:tr>
      <w:tr w:rsidR="00E61DAC" w:rsidRPr="00A10A90" w14:paraId="01796A6B" w14:textId="77777777">
        <w:tc>
          <w:tcPr>
            <w:tcW w:w="1458" w:type="dxa"/>
          </w:tcPr>
          <w:p w14:paraId="79D775CE" w14:textId="77777777" w:rsidR="00E61DAC" w:rsidRPr="00A10A90" w:rsidRDefault="00E61DAC">
            <w:pPr>
              <w:spacing w:before="60" w:after="60"/>
              <w:rPr>
                <w:i/>
                <w:szCs w:val="22"/>
              </w:rPr>
            </w:pPr>
            <w:r w:rsidRPr="00A10A90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59CF5193" w14:textId="77777777" w:rsidR="00E61DAC" w:rsidRPr="00A10A90" w:rsidRDefault="00E61DAC" w:rsidP="00CA2510">
            <w:pPr>
              <w:spacing w:before="60" w:after="60"/>
              <w:rPr>
                <w:szCs w:val="22"/>
              </w:rPr>
            </w:pPr>
            <w:r w:rsidRPr="00A10A90">
              <w:rPr>
                <w:szCs w:val="22"/>
              </w:rPr>
              <w:t>Input Document</w:t>
            </w:r>
          </w:p>
        </w:tc>
      </w:tr>
      <w:tr w:rsidR="00E61DAC" w:rsidRPr="00A10A90" w14:paraId="5FDC0A8D" w14:textId="77777777">
        <w:tc>
          <w:tcPr>
            <w:tcW w:w="1458" w:type="dxa"/>
          </w:tcPr>
          <w:p w14:paraId="29F44192" w14:textId="77777777" w:rsidR="00E61DAC" w:rsidRPr="00A10A90" w:rsidRDefault="00E61DAC">
            <w:pPr>
              <w:spacing w:before="60" w:after="60"/>
              <w:rPr>
                <w:i/>
                <w:szCs w:val="22"/>
              </w:rPr>
            </w:pPr>
            <w:r w:rsidRPr="00A10A90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1A844872" w14:textId="77777777" w:rsidR="00E61DAC" w:rsidRPr="00A10A90" w:rsidRDefault="00CA2510" w:rsidP="005E1AC6">
            <w:pPr>
              <w:spacing w:before="60" w:after="60"/>
              <w:rPr>
                <w:szCs w:val="22"/>
              </w:rPr>
            </w:pPr>
            <w:r w:rsidRPr="00A10A90">
              <w:rPr>
                <w:szCs w:val="22"/>
              </w:rPr>
              <w:t>For discussion</w:t>
            </w:r>
          </w:p>
        </w:tc>
      </w:tr>
      <w:tr w:rsidR="00E61DAC" w:rsidRPr="00A10A90" w14:paraId="41140ED7" w14:textId="77777777">
        <w:tc>
          <w:tcPr>
            <w:tcW w:w="1458" w:type="dxa"/>
          </w:tcPr>
          <w:p w14:paraId="178DB035" w14:textId="77777777" w:rsidR="00E61DAC" w:rsidRPr="00A10A90" w:rsidRDefault="00E61DAC">
            <w:pPr>
              <w:spacing w:before="60" w:after="60"/>
              <w:rPr>
                <w:i/>
                <w:szCs w:val="22"/>
              </w:rPr>
            </w:pPr>
            <w:r w:rsidRPr="00A10A90">
              <w:rPr>
                <w:i/>
                <w:szCs w:val="22"/>
              </w:rPr>
              <w:t>Author(s) or</w:t>
            </w:r>
            <w:r w:rsidRPr="00A10A90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14:paraId="31ADAF7B" w14:textId="77777777" w:rsidR="00E61DAC" w:rsidRPr="00A10A90" w:rsidRDefault="00CA2510">
            <w:pPr>
              <w:spacing w:before="60" w:after="60"/>
              <w:rPr>
                <w:szCs w:val="22"/>
              </w:rPr>
            </w:pPr>
            <w:r w:rsidRPr="00A10A90">
              <w:rPr>
                <w:szCs w:val="22"/>
              </w:rPr>
              <w:t>Philippe Hanhart</w:t>
            </w:r>
          </w:p>
          <w:p w14:paraId="6F31CD6F" w14:textId="77777777" w:rsidR="00CA2510" w:rsidRPr="00A10A90" w:rsidRDefault="00CA2510" w:rsidP="00CA2510">
            <w:pPr>
              <w:spacing w:before="60" w:after="60"/>
              <w:rPr>
                <w:szCs w:val="22"/>
              </w:rPr>
            </w:pPr>
            <w:proofErr w:type="spellStart"/>
            <w:r w:rsidRPr="00A10A90">
              <w:rPr>
                <w:szCs w:val="22"/>
              </w:rPr>
              <w:t>Touradj</w:t>
            </w:r>
            <w:proofErr w:type="spellEnd"/>
            <w:r w:rsidRPr="00A10A90">
              <w:rPr>
                <w:szCs w:val="22"/>
              </w:rPr>
              <w:t xml:space="preserve"> </w:t>
            </w:r>
            <w:proofErr w:type="spellStart"/>
            <w:r w:rsidRPr="00A10A90">
              <w:rPr>
                <w:szCs w:val="22"/>
              </w:rPr>
              <w:t>Ebrahimi</w:t>
            </w:r>
            <w:proofErr w:type="spellEnd"/>
          </w:p>
        </w:tc>
        <w:tc>
          <w:tcPr>
            <w:tcW w:w="900" w:type="dxa"/>
          </w:tcPr>
          <w:p w14:paraId="64A30DAA" w14:textId="6DF5E3D7" w:rsidR="00E61DAC" w:rsidRPr="00A10A90" w:rsidRDefault="00E61DAC">
            <w:pPr>
              <w:spacing w:before="60" w:after="60"/>
              <w:rPr>
                <w:szCs w:val="22"/>
              </w:rPr>
            </w:pPr>
            <w:r w:rsidRPr="00A10A90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14:paraId="5E5013CA" w14:textId="0D329CDC" w:rsidR="00E61DAC" w:rsidRPr="00A10A90" w:rsidRDefault="00CA2510" w:rsidP="00CA2510">
            <w:pPr>
              <w:spacing w:before="60" w:after="60"/>
              <w:rPr>
                <w:szCs w:val="22"/>
              </w:rPr>
            </w:pPr>
            <w:proofErr w:type="gramStart"/>
            <w:r w:rsidRPr="00A10A90">
              <w:rPr>
                <w:szCs w:val="22"/>
              </w:rPr>
              <w:t>philippe.hanhart@epfl.ch</w:t>
            </w:r>
            <w:proofErr w:type="gramEnd"/>
          </w:p>
        </w:tc>
      </w:tr>
      <w:tr w:rsidR="00E61DAC" w:rsidRPr="00A10A90" w14:paraId="08B0EA09" w14:textId="77777777">
        <w:tc>
          <w:tcPr>
            <w:tcW w:w="1458" w:type="dxa"/>
          </w:tcPr>
          <w:p w14:paraId="398A1B82" w14:textId="77777777" w:rsidR="00E61DAC" w:rsidRPr="00A10A90" w:rsidRDefault="00E61DAC">
            <w:pPr>
              <w:spacing w:before="60" w:after="60"/>
              <w:rPr>
                <w:i/>
                <w:szCs w:val="22"/>
              </w:rPr>
            </w:pPr>
            <w:r w:rsidRPr="00A10A90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14:paraId="024E160F" w14:textId="77777777" w:rsidR="00E61DAC" w:rsidRPr="00A10A90" w:rsidRDefault="00CA2510">
            <w:pPr>
              <w:spacing w:before="60" w:after="60"/>
              <w:rPr>
                <w:szCs w:val="22"/>
              </w:rPr>
            </w:pPr>
            <w:proofErr w:type="spellStart"/>
            <w:r w:rsidRPr="00A10A90">
              <w:rPr>
                <w:szCs w:val="22"/>
              </w:rPr>
              <w:t>Ecole</w:t>
            </w:r>
            <w:proofErr w:type="spellEnd"/>
            <w:r w:rsidRPr="00A10A90">
              <w:rPr>
                <w:szCs w:val="22"/>
              </w:rPr>
              <w:t xml:space="preserve"> </w:t>
            </w:r>
            <w:proofErr w:type="spellStart"/>
            <w:r w:rsidRPr="00A10A90">
              <w:rPr>
                <w:szCs w:val="22"/>
              </w:rPr>
              <w:t>Polytechnique</w:t>
            </w:r>
            <w:proofErr w:type="spellEnd"/>
            <w:r w:rsidRPr="00A10A90">
              <w:rPr>
                <w:szCs w:val="22"/>
              </w:rPr>
              <w:t xml:space="preserve"> </w:t>
            </w:r>
            <w:proofErr w:type="spellStart"/>
            <w:r w:rsidRPr="00A10A90">
              <w:rPr>
                <w:szCs w:val="22"/>
              </w:rPr>
              <w:t>Fédérale</w:t>
            </w:r>
            <w:proofErr w:type="spellEnd"/>
            <w:r w:rsidRPr="00A10A90">
              <w:rPr>
                <w:szCs w:val="22"/>
              </w:rPr>
              <w:t xml:space="preserve"> de Lausanne (EPFL), COST Action IC1003 - QUALINET</w:t>
            </w:r>
          </w:p>
        </w:tc>
      </w:tr>
    </w:tbl>
    <w:p w14:paraId="060F11AC" w14:textId="77777777" w:rsidR="00E61DAC" w:rsidRPr="00A10A90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10A90">
        <w:rPr>
          <w:szCs w:val="22"/>
        </w:rPr>
        <w:t>_____________________________</w:t>
      </w:r>
    </w:p>
    <w:p w14:paraId="0B25B903" w14:textId="77777777" w:rsidR="00275BCF" w:rsidRPr="00A10A90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A10A90">
        <w:t>Abstract</w:t>
      </w:r>
    </w:p>
    <w:p w14:paraId="413761E3" w14:textId="5A4011BD" w:rsidR="00275BCF" w:rsidRPr="00A10A90" w:rsidRDefault="00174420" w:rsidP="00C97D78">
      <w:r w:rsidRPr="00A10A90">
        <w:t xml:space="preserve">In this </w:t>
      </w:r>
      <w:r w:rsidR="0058305D" w:rsidRPr="00A10A90">
        <w:t>contribution</w:t>
      </w:r>
      <w:r w:rsidRPr="00A10A90">
        <w:t>,</w:t>
      </w:r>
      <w:r w:rsidR="003D2E8F" w:rsidRPr="00A10A90">
        <w:t xml:space="preserve"> the objective quality assessment of stereo pairs formed from two synthesized view</w:t>
      </w:r>
      <w:r w:rsidR="00C15D2D" w:rsidRPr="00A10A90">
        <w:t>s</w:t>
      </w:r>
      <w:r w:rsidR="003D2E8F" w:rsidRPr="00A10A90">
        <w:t xml:space="preserve"> is investigated. </w:t>
      </w:r>
      <w:r w:rsidR="006913E0" w:rsidRPr="00A10A90">
        <w:t xml:space="preserve">State-of-the-art 2D </w:t>
      </w:r>
      <w:r w:rsidR="00EF2F15" w:rsidRPr="00A10A90">
        <w:t xml:space="preserve">quality </w:t>
      </w:r>
      <w:r w:rsidR="006913E0" w:rsidRPr="00A10A90">
        <w:t xml:space="preserve">metrics are </w:t>
      </w:r>
      <w:r w:rsidR="003D2E8F" w:rsidRPr="00A10A90">
        <w:t xml:space="preserve">benchmarked using </w:t>
      </w:r>
      <w:r w:rsidR="005350FF" w:rsidRPr="00A10A90">
        <w:t xml:space="preserve">as ground truth </w:t>
      </w:r>
      <w:r w:rsidR="003D2E8F" w:rsidRPr="00A10A90">
        <w:t>a set of subjective data, which has</w:t>
      </w:r>
      <w:r w:rsidRPr="00A10A90">
        <w:t xml:space="preserve"> been collected during the formal evaluation test campaign of the </w:t>
      </w:r>
      <w:r w:rsidR="002728DD" w:rsidRPr="00A10A90">
        <w:rPr>
          <w:lang w:eastAsia="zh-TW"/>
        </w:rPr>
        <w:t>p</w:t>
      </w:r>
      <w:r w:rsidR="005350FF" w:rsidRPr="00A10A90">
        <w:rPr>
          <w:lang w:eastAsia="zh-TW"/>
        </w:rPr>
        <w:t>roposals on 3D Video Compression Technology</w:t>
      </w:r>
      <w:r w:rsidRPr="00A10A90">
        <w:t xml:space="preserve">. </w:t>
      </w:r>
      <w:r w:rsidR="00F722A7" w:rsidRPr="00A10A90">
        <w:t xml:space="preserve">It is reported </w:t>
      </w:r>
      <w:r w:rsidR="008403D0" w:rsidRPr="00A10A90">
        <w:t xml:space="preserve">that some of the considered metrics, such as </w:t>
      </w:r>
      <w:proofErr w:type="spellStart"/>
      <w:r w:rsidR="008403D0" w:rsidRPr="00A10A90">
        <w:t>VIFp</w:t>
      </w:r>
      <w:proofErr w:type="spellEnd"/>
      <w:r w:rsidR="008403D0" w:rsidRPr="00A10A90">
        <w:t xml:space="preserve">, VQM, MS-SSIM, and SSIM, </w:t>
      </w:r>
      <w:r w:rsidR="00F722A7" w:rsidRPr="00A10A90">
        <w:t>are more correlated</w:t>
      </w:r>
      <w:r w:rsidR="008403D0" w:rsidRPr="00A10A90">
        <w:t xml:space="preserve"> with perceived quality than PSNR</w:t>
      </w:r>
      <w:r w:rsidR="005350FF" w:rsidRPr="00A10A90">
        <w:t xml:space="preserve"> </w:t>
      </w:r>
      <w:r w:rsidRPr="00A10A90">
        <w:t>for the scenario under analysis.</w:t>
      </w:r>
    </w:p>
    <w:p w14:paraId="5C60B499" w14:textId="77777777" w:rsidR="00745F6B" w:rsidRPr="00A10A90" w:rsidRDefault="00CA2510" w:rsidP="00E11923">
      <w:pPr>
        <w:pStyle w:val="Heading1"/>
      </w:pPr>
      <w:r w:rsidRPr="00A10A90">
        <w:t>Introduction</w:t>
      </w:r>
    </w:p>
    <w:p w14:paraId="04FD27C1" w14:textId="4760A01C" w:rsidR="00CA2510" w:rsidRPr="00A10A90" w:rsidRDefault="00CA2510" w:rsidP="00CA2510">
      <w:r w:rsidRPr="00A10A90">
        <w:t>In</w:t>
      </w:r>
      <w:r w:rsidR="00A0106D" w:rsidRPr="00A10A90">
        <w:t xml:space="preserve"> </w:t>
      </w:r>
      <w:hyperlink w:anchor="M23908" w:history="1">
        <w:r w:rsidR="00A0106D" w:rsidRPr="00A10A90">
          <w:rPr>
            <w:rStyle w:val="Hyperlink"/>
            <w:color w:val="auto"/>
            <w:u w:val="none"/>
            <w:lang w:eastAsia="zh-TW"/>
          </w:rPr>
          <w:t>M23908</w:t>
        </w:r>
      </w:hyperlink>
      <w:r w:rsidRPr="00A10A90">
        <w:t xml:space="preserve">, the PSNR-based quality assessment of stereo pairs formed from a decoded view and a synthesized view having different visual quality, as in the 2-view configuration, was investigated. It was </w:t>
      </w:r>
      <w:r w:rsidR="00F722A7" w:rsidRPr="00A10A90">
        <w:t>reported</w:t>
      </w:r>
      <w:r w:rsidRPr="00A10A90">
        <w:t xml:space="preserve"> that the PSNR of the decoded view had the highest correlation with perceived quality, while the PSNR of the synthesized view had a significantly lower correlation. In </w:t>
      </w:r>
      <w:hyperlink w:anchor="M24807" w:history="1">
        <w:r w:rsidR="00A0106D" w:rsidRPr="00A10A90">
          <w:rPr>
            <w:rStyle w:val="Hyperlink"/>
            <w:color w:val="auto"/>
            <w:u w:val="none"/>
          </w:rPr>
          <w:t>M24807</w:t>
        </w:r>
      </w:hyperlink>
      <w:r w:rsidRPr="00A10A90">
        <w:t>, the performance of state-of-the-art 2D quality metrics, other than PSNR, was assessed following a similar procedure as in</w:t>
      </w:r>
      <w:r w:rsidR="00A0106D" w:rsidRPr="00A10A90">
        <w:t xml:space="preserve"> </w:t>
      </w:r>
      <w:hyperlink w:anchor="M23908" w:history="1">
        <w:r w:rsidR="00EA3098" w:rsidRPr="00A10A90">
          <w:rPr>
            <w:rStyle w:val="Hyperlink"/>
            <w:color w:val="auto"/>
            <w:u w:val="none"/>
            <w:lang w:eastAsia="zh-TW"/>
          </w:rPr>
          <w:t>M23908</w:t>
        </w:r>
      </w:hyperlink>
      <w:r w:rsidRPr="00A10A90">
        <w:t xml:space="preserve">. </w:t>
      </w:r>
      <w:r w:rsidR="00B05C50" w:rsidRPr="00A10A90">
        <w:t xml:space="preserve">It was reported </w:t>
      </w:r>
      <w:r w:rsidRPr="00A10A90">
        <w:t xml:space="preserve">that some of the considered metrics, such as </w:t>
      </w:r>
      <w:proofErr w:type="spellStart"/>
      <w:r w:rsidRPr="00A10A90">
        <w:t>VIFp</w:t>
      </w:r>
      <w:proofErr w:type="spellEnd"/>
      <w:r w:rsidRPr="00A10A90">
        <w:t xml:space="preserve">, VQM, MS-SSIM, and SSIM, </w:t>
      </w:r>
      <w:r w:rsidR="00F722A7" w:rsidRPr="00A10A90">
        <w:t>are more correlated</w:t>
      </w:r>
      <w:r w:rsidRPr="00A10A90">
        <w:t xml:space="preserve"> with perceived quality than PSNR when the objective quality assessment is based on the synthesized view. In this </w:t>
      </w:r>
      <w:r w:rsidR="00F2332A" w:rsidRPr="00A10A90">
        <w:t>contribution</w:t>
      </w:r>
      <w:r w:rsidRPr="00A10A90">
        <w:t xml:space="preserve">, a similar methodology as in </w:t>
      </w:r>
      <w:hyperlink w:anchor="M24807" w:history="1">
        <w:r w:rsidR="00A0106D" w:rsidRPr="00A10A90">
          <w:rPr>
            <w:rStyle w:val="Hyperlink"/>
            <w:color w:val="auto"/>
            <w:u w:val="none"/>
          </w:rPr>
          <w:t>M24807</w:t>
        </w:r>
      </w:hyperlink>
      <w:r w:rsidRPr="00A10A90">
        <w:t xml:space="preserve"> is used to assess the performance of state-of-the-art 2D quality metrics on stereo pairs formed from two synthesized views, as in the stereoscopic evaluations of the 3-view configuration. </w:t>
      </w:r>
      <w:r w:rsidR="00F722A7" w:rsidRPr="00A10A90">
        <w:t xml:space="preserve">It is reported that </w:t>
      </w:r>
      <w:r w:rsidRPr="00A10A90">
        <w:t xml:space="preserve">the metrics identified in our previous contribution </w:t>
      </w:r>
      <w:r w:rsidR="00F722A7" w:rsidRPr="00A10A90">
        <w:t xml:space="preserve">are more correlated </w:t>
      </w:r>
      <w:r w:rsidRPr="00A10A90">
        <w:t>with perceived quality than PSNR for quality assessment of synthesized views.</w:t>
      </w:r>
    </w:p>
    <w:p w14:paraId="7EEAC63D" w14:textId="77777777" w:rsidR="00CA2510" w:rsidRPr="00A10A90" w:rsidRDefault="00CA2510" w:rsidP="00F77B83">
      <w:pPr>
        <w:pStyle w:val="Heading1"/>
      </w:pPr>
      <w:bookmarkStart w:id="0" w:name="_Ref195778740"/>
      <w:r w:rsidRPr="00A10A90">
        <w:t>Objective quality assessment</w:t>
      </w:r>
      <w:bookmarkEnd w:id="0"/>
    </w:p>
    <w:p w14:paraId="0E33FCCB" w14:textId="57337578" w:rsidR="00CA2510" w:rsidRPr="00A10A90" w:rsidRDefault="00CA2510" w:rsidP="00CA2510">
      <w:r w:rsidRPr="00A10A90">
        <w:t>In the 2-view configuration, as considered in the 3DVC Call for Proposals (</w:t>
      </w:r>
      <w:proofErr w:type="spellStart"/>
      <w:r w:rsidRPr="00A10A90">
        <w:t>CfP</w:t>
      </w:r>
      <w:proofErr w:type="spellEnd"/>
      <w:r w:rsidRPr="00A10A90">
        <w:t>)</w:t>
      </w:r>
      <w:r w:rsidR="00EA3098" w:rsidRPr="00A10A90">
        <w:t xml:space="preserve"> (</w:t>
      </w:r>
      <w:hyperlink w:anchor="N12036" w:history="1">
        <w:r w:rsidR="00EA3098" w:rsidRPr="00A10A90">
          <w:rPr>
            <w:rStyle w:val="Hyperlink"/>
            <w:color w:val="auto"/>
            <w:u w:val="none"/>
          </w:rPr>
          <w:t>N12036</w:t>
        </w:r>
      </w:hyperlink>
      <w:r w:rsidR="00EA3098" w:rsidRPr="00A10A90">
        <w:t>)</w:t>
      </w:r>
      <w:r w:rsidRPr="00A10A90">
        <w:t xml:space="preserve">, a pair of cameras is used to produce the input views at the encoder side. At the decoder side, the displayed stereo pair is formed from the decoded right view and a synthesized view, located in-between the decoded views, as specified in </w:t>
      </w:r>
      <w:r w:rsidRPr="00A10A90">
        <w:fldChar w:fldCharType="begin"/>
      </w:r>
      <w:r w:rsidRPr="00A10A90">
        <w:instrText xml:space="preserve"> REF _Ref228220444 \h </w:instrText>
      </w:r>
      <w:r w:rsidRPr="00A10A90">
        <w:fldChar w:fldCharType="separate"/>
      </w:r>
      <w:r w:rsidRPr="00A10A90">
        <w:t>Table 1</w:t>
      </w:r>
      <w:r w:rsidRPr="00A10A90">
        <w:fldChar w:fldCharType="end"/>
      </w:r>
      <w:r w:rsidRPr="00A10A90">
        <w:t xml:space="preserve">. In the 3-view configuration, as considered in the </w:t>
      </w:r>
      <w:proofErr w:type="spellStart"/>
      <w:r w:rsidRPr="00A10A90">
        <w:t>CfP</w:t>
      </w:r>
      <w:proofErr w:type="spellEnd"/>
      <w:r w:rsidRPr="00A10A90">
        <w:t xml:space="preserve">, three cameras are used to produce the input views at the encoder side, as depicted in </w:t>
      </w:r>
      <w:r w:rsidRPr="00A10A90">
        <w:rPr>
          <w:szCs w:val="22"/>
        </w:rPr>
        <w:fldChar w:fldCharType="begin"/>
      </w:r>
      <w:r w:rsidRPr="00A10A90">
        <w:rPr>
          <w:szCs w:val="22"/>
        </w:rPr>
        <w:instrText xml:space="preserve"> REF _Ref189560067 \h </w:instrText>
      </w:r>
      <w:r w:rsidRPr="00A10A90">
        <w:rPr>
          <w:szCs w:val="22"/>
        </w:rPr>
      </w:r>
      <w:r w:rsidRPr="00A10A90">
        <w:rPr>
          <w:szCs w:val="22"/>
        </w:rPr>
        <w:fldChar w:fldCharType="separate"/>
      </w:r>
      <w:r w:rsidRPr="00A10A90">
        <w:rPr>
          <w:szCs w:val="22"/>
        </w:rPr>
        <w:t>Figure 1</w:t>
      </w:r>
      <w:r w:rsidRPr="00A10A90">
        <w:rPr>
          <w:szCs w:val="22"/>
        </w:rPr>
        <w:fldChar w:fldCharType="end"/>
      </w:r>
      <w:r w:rsidRPr="00A10A90">
        <w:t xml:space="preserve">. The 3-view configuration was evaluated on auto-stereoscopic multiview display and stereoscopic display. In the latter case, the displayed stereo pair is formed from two synthesized views, as specified in </w:t>
      </w:r>
      <w:r w:rsidRPr="00A10A90">
        <w:fldChar w:fldCharType="begin"/>
      </w:r>
      <w:r w:rsidRPr="00A10A90">
        <w:instrText xml:space="preserve"> REF _Ref228220444 \h </w:instrText>
      </w:r>
      <w:r w:rsidRPr="00A10A90">
        <w:fldChar w:fldCharType="separate"/>
      </w:r>
      <w:r w:rsidRPr="00A10A90">
        <w:t>Table 1</w:t>
      </w:r>
      <w:r w:rsidRPr="00A10A90">
        <w:fldChar w:fldCharType="end"/>
      </w:r>
      <w:r w:rsidRPr="00A10A90">
        <w:t xml:space="preserve">. For this configuration, a fixed stereo pair was defined in the </w:t>
      </w:r>
      <w:proofErr w:type="spellStart"/>
      <w:r w:rsidRPr="00A10A90">
        <w:t>CfP</w:t>
      </w:r>
      <w:proofErr w:type="spellEnd"/>
      <w:r w:rsidRPr="00A10A90">
        <w:t>. This stereo pair is centered on the central decoded view and has a baseline equals to half the baseline of the stereo pair from the 2-view configuration. The test coordinator randomly selected a second stereo pair for each Class C content</w:t>
      </w:r>
      <w:r w:rsidR="00EA3098" w:rsidRPr="00A10A90">
        <w:t xml:space="preserve"> (</w:t>
      </w:r>
      <w:hyperlink w:anchor="N12347" w:history="1">
        <w:r w:rsidR="00EA3098" w:rsidRPr="00A10A90">
          <w:rPr>
            <w:rStyle w:val="Hyperlink"/>
            <w:color w:val="auto"/>
            <w:u w:val="none"/>
            <w:lang w:eastAsia="zh-TW"/>
          </w:rPr>
          <w:t>N12347</w:t>
        </w:r>
      </w:hyperlink>
      <w:r w:rsidR="00EA3098" w:rsidRPr="00A10A90">
        <w:t>)</w:t>
      </w:r>
      <w:r w:rsidRPr="00A10A90">
        <w:t>. This random stereo pair has the same baseline as the fixed stereo pair but is located in-between two decoded views rather than centered on the central decoded view. Both stereo pairs were evaluated during the evaluations of the proposals.</w:t>
      </w:r>
    </w:p>
    <w:p w14:paraId="7B75A9B8" w14:textId="66752CC8" w:rsidR="00CA2510" w:rsidRPr="00A10A90" w:rsidRDefault="006F3C05" w:rsidP="006F3C05">
      <w:pPr>
        <w:jc w:val="center"/>
      </w:pPr>
      <w:r w:rsidRPr="00A10A90">
        <w:lastRenderedPageBreak/>
        <w:drawing>
          <wp:inline distT="0" distB="0" distL="0" distR="0" wp14:anchorId="2007186C" wp14:editId="5DD599AB">
            <wp:extent cx="4207510" cy="1503045"/>
            <wp:effectExtent l="0" t="0" r="8890" b="0"/>
            <wp:docPr id="28" name="Picture 28" descr="OSX:Users:philippe:Desktop:3-view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SX:Users:philippe:Desktop:3-view.pd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51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CFDF7" w14:textId="5173338C" w:rsidR="00CA2510" w:rsidRPr="00A10A90" w:rsidRDefault="00CA2510" w:rsidP="00CA2510">
      <w:pPr>
        <w:jc w:val="center"/>
      </w:pPr>
      <w:bookmarkStart w:id="1" w:name="_Ref189560067"/>
      <w:bookmarkStart w:id="2" w:name="_Ref189560053"/>
      <w:r w:rsidRPr="00A10A90">
        <w:rPr>
          <w:i/>
          <w:sz w:val="20"/>
        </w:rPr>
        <w:t xml:space="preserve">Figure </w:t>
      </w:r>
      <w:r w:rsidRPr="00A10A90">
        <w:rPr>
          <w:i/>
          <w:sz w:val="20"/>
        </w:rPr>
        <w:fldChar w:fldCharType="begin"/>
      </w:r>
      <w:r w:rsidRPr="00A10A90">
        <w:rPr>
          <w:i/>
          <w:sz w:val="20"/>
        </w:rPr>
        <w:instrText xml:space="preserve"> SEQ Figure \* ARABIC </w:instrText>
      </w:r>
      <w:r w:rsidRPr="00A10A90">
        <w:rPr>
          <w:i/>
          <w:sz w:val="20"/>
        </w:rPr>
        <w:fldChar w:fldCharType="separate"/>
      </w:r>
      <w:r w:rsidRPr="00A10A90">
        <w:rPr>
          <w:i/>
          <w:sz w:val="20"/>
        </w:rPr>
        <w:t>1</w:t>
      </w:r>
      <w:r w:rsidRPr="00A10A90">
        <w:rPr>
          <w:i/>
          <w:sz w:val="20"/>
        </w:rPr>
        <w:fldChar w:fldCharType="end"/>
      </w:r>
      <w:bookmarkEnd w:id="1"/>
      <w:r w:rsidRPr="00A10A90">
        <w:rPr>
          <w:i/>
          <w:sz w:val="20"/>
        </w:rPr>
        <w:t xml:space="preserve"> – </w:t>
      </w:r>
      <w:bookmarkEnd w:id="2"/>
      <w:r w:rsidR="00621EB3" w:rsidRPr="00A10A90">
        <w:rPr>
          <w:i/>
          <w:sz w:val="20"/>
        </w:rPr>
        <w:t>Stereoscopic and auto-stereoscopic output with 3-view configuration</w:t>
      </w:r>
    </w:p>
    <w:p w14:paraId="76E7E781" w14:textId="77777777" w:rsidR="00CA2510" w:rsidRPr="00A10A90" w:rsidRDefault="00CA2510" w:rsidP="00CA2510">
      <w:pPr>
        <w:pStyle w:val="Caption"/>
      </w:pPr>
      <w:bookmarkStart w:id="3" w:name="_Ref228220444"/>
      <w:r w:rsidRPr="00A10A90">
        <w:t>Table </w:t>
      </w:r>
      <w:fldSimple w:instr=" SEQ Table \* ARABIC ">
        <w:r w:rsidRPr="00A10A90">
          <w:t>1</w:t>
        </w:r>
      </w:fldSimple>
      <w:bookmarkEnd w:id="3"/>
      <w:r w:rsidRPr="00A10A90">
        <w:t>: Input views and displayed stereo pairs</w:t>
      </w:r>
    </w:p>
    <w:tbl>
      <w:tblPr>
        <w:tblW w:w="8891" w:type="dxa"/>
        <w:jc w:val="center"/>
        <w:tblInd w:w="1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527"/>
        <w:gridCol w:w="763"/>
        <w:gridCol w:w="901"/>
        <w:gridCol w:w="1269"/>
        <w:gridCol w:w="851"/>
        <w:gridCol w:w="1275"/>
        <w:gridCol w:w="1547"/>
      </w:tblGrid>
      <w:tr w:rsidR="00CA2510" w:rsidRPr="00A10A90" w14:paraId="0CACFBFC" w14:textId="77777777" w:rsidTr="00CA2510">
        <w:trPr>
          <w:jc w:val="center"/>
        </w:trPr>
        <w:tc>
          <w:tcPr>
            <w:tcW w:w="758" w:type="dxa"/>
            <w:vMerge w:val="restart"/>
            <w:vAlign w:val="center"/>
          </w:tcPr>
          <w:p w14:paraId="39A924F1" w14:textId="77777777" w:rsidR="00CA2510" w:rsidRPr="00A10A90" w:rsidRDefault="00CA2510" w:rsidP="006F3C05">
            <w:pPr>
              <w:spacing w:before="0"/>
              <w:jc w:val="center"/>
              <w:rPr>
                <w:b/>
                <w:bCs/>
                <w:sz w:val="20"/>
              </w:rPr>
            </w:pPr>
            <w:r w:rsidRPr="00A10A90">
              <w:rPr>
                <w:b/>
                <w:bCs/>
                <w:sz w:val="20"/>
              </w:rPr>
              <w:t>Seq.</w:t>
            </w:r>
            <w:r w:rsidRPr="00A10A90">
              <w:rPr>
                <w:b/>
                <w:bCs/>
                <w:sz w:val="20"/>
              </w:rPr>
              <w:br/>
              <w:t>ID</w:t>
            </w:r>
          </w:p>
        </w:tc>
        <w:tc>
          <w:tcPr>
            <w:tcW w:w="1527" w:type="dxa"/>
            <w:vMerge w:val="restart"/>
            <w:vAlign w:val="center"/>
          </w:tcPr>
          <w:p w14:paraId="28FB0CBE" w14:textId="77777777" w:rsidR="00CA2510" w:rsidRPr="00A10A90" w:rsidRDefault="00CA2510" w:rsidP="006F3C05">
            <w:pPr>
              <w:spacing w:before="0"/>
              <w:jc w:val="center"/>
              <w:rPr>
                <w:b/>
                <w:bCs/>
                <w:sz w:val="20"/>
              </w:rPr>
            </w:pPr>
            <w:r w:rsidRPr="00A10A90">
              <w:rPr>
                <w:b/>
                <w:bCs/>
                <w:sz w:val="20"/>
              </w:rPr>
              <w:t>Test</w:t>
            </w:r>
            <w:r w:rsidRPr="00A10A90">
              <w:rPr>
                <w:b/>
                <w:bCs/>
                <w:sz w:val="20"/>
              </w:rPr>
              <w:br/>
              <w:t>Sequence</w:t>
            </w:r>
          </w:p>
        </w:tc>
        <w:tc>
          <w:tcPr>
            <w:tcW w:w="763" w:type="dxa"/>
            <w:vMerge w:val="restart"/>
            <w:vAlign w:val="center"/>
          </w:tcPr>
          <w:p w14:paraId="42248AAC" w14:textId="77777777" w:rsidR="00CA2510" w:rsidRPr="00A10A90" w:rsidRDefault="00CA2510" w:rsidP="006F3C05">
            <w:pPr>
              <w:spacing w:before="0"/>
              <w:jc w:val="center"/>
              <w:rPr>
                <w:b/>
                <w:bCs/>
                <w:sz w:val="20"/>
              </w:rPr>
            </w:pPr>
            <w:r w:rsidRPr="00A10A90">
              <w:rPr>
                <w:b/>
                <w:bCs/>
                <w:sz w:val="20"/>
              </w:rPr>
              <w:t>Test</w:t>
            </w:r>
            <w:r w:rsidRPr="00A10A90">
              <w:rPr>
                <w:b/>
                <w:bCs/>
                <w:sz w:val="20"/>
              </w:rPr>
              <w:br/>
              <w:t>Class</w:t>
            </w:r>
          </w:p>
        </w:tc>
        <w:tc>
          <w:tcPr>
            <w:tcW w:w="2170" w:type="dxa"/>
            <w:gridSpan w:val="2"/>
          </w:tcPr>
          <w:p w14:paraId="0EE8C46D" w14:textId="77777777" w:rsidR="00CA2510" w:rsidRPr="00A10A90" w:rsidRDefault="00CA2510" w:rsidP="006F3C05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2-view configuration</w:t>
            </w:r>
          </w:p>
        </w:tc>
        <w:tc>
          <w:tcPr>
            <w:tcW w:w="3673" w:type="dxa"/>
            <w:gridSpan w:val="3"/>
            <w:vAlign w:val="center"/>
          </w:tcPr>
          <w:p w14:paraId="12C43835" w14:textId="77777777" w:rsidR="00CA2510" w:rsidRPr="00A10A90" w:rsidRDefault="00CA2510" w:rsidP="006F3C05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3-view configuration</w:t>
            </w:r>
          </w:p>
        </w:tc>
      </w:tr>
      <w:tr w:rsidR="00CA2510" w:rsidRPr="00A10A90" w14:paraId="395D86F9" w14:textId="77777777" w:rsidTr="00CA2510">
        <w:trPr>
          <w:jc w:val="center"/>
        </w:trPr>
        <w:tc>
          <w:tcPr>
            <w:tcW w:w="758" w:type="dxa"/>
            <w:vMerge/>
            <w:vAlign w:val="center"/>
          </w:tcPr>
          <w:p w14:paraId="634BA4E6" w14:textId="77777777" w:rsidR="00CA2510" w:rsidRPr="00A10A90" w:rsidRDefault="00CA2510" w:rsidP="006F3C05">
            <w:pPr>
              <w:spacing w:befor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27" w:type="dxa"/>
            <w:vMerge/>
            <w:vAlign w:val="center"/>
          </w:tcPr>
          <w:p w14:paraId="6801E7CA" w14:textId="77777777" w:rsidR="00CA2510" w:rsidRPr="00A10A90" w:rsidRDefault="00CA2510" w:rsidP="006F3C05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763" w:type="dxa"/>
            <w:vMerge/>
            <w:vAlign w:val="center"/>
          </w:tcPr>
          <w:p w14:paraId="2C26213A" w14:textId="77777777" w:rsidR="00CA2510" w:rsidRPr="00A10A90" w:rsidRDefault="00CA2510" w:rsidP="006F3C05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901" w:type="dxa"/>
          </w:tcPr>
          <w:p w14:paraId="4DD576AD" w14:textId="77777777" w:rsidR="00CA2510" w:rsidRPr="00A10A90" w:rsidRDefault="00CA2510" w:rsidP="006F3C05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Input</w:t>
            </w:r>
            <w:r w:rsidRPr="00A10A90">
              <w:rPr>
                <w:b/>
                <w:sz w:val="20"/>
              </w:rPr>
              <w:br/>
              <w:t>views</w:t>
            </w:r>
          </w:p>
        </w:tc>
        <w:tc>
          <w:tcPr>
            <w:tcW w:w="1269" w:type="dxa"/>
            <w:vAlign w:val="center"/>
          </w:tcPr>
          <w:p w14:paraId="1136A511" w14:textId="77777777" w:rsidR="00CA2510" w:rsidRPr="00A10A90" w:rsidRDefault="00CA2510" w:rsidP="006F3C05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Stereo pair</w:t>
            </w:r>
          </w:p>
        </w:tc>
        <w:tc>
          <w:tcPr>
            <w:tcW w:w="851" w:type="dxa"/>
            <w:vAlign w:val="center"/>
          </w:tcPr>
          <w:p w14:paraId="786724F6" w14:textId="77777777" w:rsidR="00CA2510" w:rsidRPr="00A10A90" w:rsidRDefault="00CA2510" w:rsidP="006F3C05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Input</w:t>
            </w:r>
            <w:r w:rsidRPr="00A10A90">
              <w:rPr>
                <w:b/>
                <w:sz w:val="20"/>
              </w:rPr>
              <w:br/>
              <w:t>views</w:t>
            </w:r>
          </w:p>
        </w:tc>
        <w:tc>
          <w:tcPr>
            <w:tcW w:w="1275" w:type="dxa"/>
            <w:vAlign w:val="center"/>
          </w:tcPr>
          <w:p w14:paraId="2801DC84" w14:textId="77777777" w:rsidR="00CA2510" w:rsidRPr="00A10A90" w:rsidRDefault="00CA2510" w:rsidP="006F3C05">
            <w:pPr>
              <w:keepNext/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Fixed</w:t>
            </w:r>
            <w:r w:rsidRPr="00A10A90">
              <w:rPr>
                <w:b/>
                <w:sz w:val="20"/>
              </w:rPr>
              <w:br/>
              <w:t>stereo pair</w:t>
            </w:r>
          </w:p>
        </w:tc>
        <w:tc>
          <w:tcPr>
            <w:tcW w:w="1547" w:type="dxa"/>
            <w:vAlign w:val="center"/>
          </w:tcPr>
          <w:p w14:paraId="6A758433" w14:textId="77777777" w:rsidR="00CA2510" w:rsidRPr="00A10A90" w:rsidRDefault="00CA2510" w:rsidP="006F3C05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Random</w:t>
            </w:r>
            <w:r w:rsidRPr="00A10A90">
              <w:rPr>
                <w:b/>
                <w:sz w:val="20"/>
              </w:rPr>
              <w:br/>
              <w:t>stereo pair</w:t>
            </w:r>
          </w:p>
        </w:tc>
      </w:tr>
      <w:tr w:rsidR="00CA2510" w:rsidRPr="00A10A90" w14:paraId="0D92F085" w14:textId="77777777" w:rsidTr="00CA2510">
        <w:trPr>
          <w:jc w:val="center"/>
        </w:trPr>
        <w:tc>
          <w:tcPr>
            <w:tcW w:w="758" w:type="dxa"/>
          </w:tcPr>
          <w:p w14:paraId="540FCE41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S01</w:t>
            </w:r>
          </w:p>
        </w:tc>
        <w:tc>
          <w:tcPr>
            <w:tcW w:w="1527" w:type="dxa"/>
          </w:tcPr>
          <w:p w14:paraId="7D687E9C" w14:textId="77777777" w:rsidR="00CA2510" w:rsidRPr="00A10A90" w:rsidRDefault="00CA2510" w:rsidP="006F3C05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Poznan_Hall2</w:t>
            </w:r>
          </w:p>
        </w:tc>
        <w:tc>
          <w:tcPr>
            <w:tcW w:w="763" w:type="dxa"/>
            <w:vMerge w:val="restart"/>
            <w:vAlign w:val="center"/>
          </w:tcPr>
          <w:p w14:paraId="2CCE0F33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A</w:t>
            </w:r>
          </w:p>
        </w:tc>
        <w:tc>
          <w:tcPr>
            <w:tcW w:w="901" w:type="dxa"/>
          </w:tcPr>
          <w:p w14:paraId="7829D9FC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7-6</w:t>
            </w:r>
          </w:p>
        </w:tc>
        <w:tc>
          <w:tcPr>
            <w:tcW w:w="1269" w:type="dxa"/>
          </w:tcPr>
          <w:p w14:paraId="789C9D2B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6.5-6</w:t>
            </w:r>
          </w:p>
        </w:tc>
        <w:tc>
          <w:tcPr>
            <w:tcW w:w="851" w:type="dxa"/>
          </w:tcPr>
          <w:p w14:paraId="2B4667F1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7-6-5</w:t>
            </w:r>
          </w:p>
        </w:tc>
        <w:tc>
          <w:tcPr>
            <w:tcW w:w="1275" w:type="dxa"/>
          </w:tcPr>
          <w:p w14:paraId="470E62FD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6.125-5.875</w:t>
            </w:r>
          </w:p>
        </w:tc>
        <w:tc>
          <w:tcPr>
            <w:tcW w:w="1547" w:type="dxa"/>
          </w:tcPr>
          <w:p w14:paraId="0DF866F8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-</w:t>
            </w:r>
          </w:p>
        </w:tc>
      </w:tr>
      <w:tr w:rsidR="00CA2510" w:rsidRPr="00A10A90" w14:paraId="10CC4931" w14:textId="77777777" w:rsidTr="00CA2510">
        <w:trPr>
          <w:jc w:val="center"/>
        </w:trPr>
        <w:tc>
          <w:tcPr>
            <w:tcW w:w="758" w:type="dxa"/>
          </w:tcPr>
          <w:p w14:paraId="5921C92D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S02</w:t>
            </w:r>
          </w:p>
        </w:tc>
        <w:tc>
          <w:tcPr>
            <w:tcW w:w="1527" w:type="dxa"/>
          </w:tcPr>
          <w:p w14:paraId="002F994B" w14:textId="77777777" w:rsidR="00CA2510" w:rsidRPr="00A10A90" w:rsidRDefault="00CA2510" w:rsidP="006F3C05">
            <w:pPr>
              <w:spacing w:before="0"/>
              <w:rPr>
                <w:sz w:val="20"/>
                <w:lang w:eastAsia="ja-JP"/>
              </w:rPr>
            </w:pPr>
            <w:proofErr w:type="spellStart"/>
            <w:r w:rsidRPr="00A10A90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763" w:type="dxa"/>
            <w:vMerge/>
            <w:vAlign w:val="center"/>
          </w:tcPr>
          <w:p w14:paraId="3D1892D6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  <w:tc>
          <w:tcPr>
            <w:tcW w:w="901" w:type="dxa"/>
          </w:tcPr>
          <w:p w14:paraId="72C5E53F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4-3</w:t>
            </w:r>
          </w:p>
        </w:tc>
        <w:tc>
          <w:tcPr>
            <w:tcW w:w="1269" w:type="dxa"/>
          </w:tcPr>
          <w:p w14:paraId="2CF89162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3.5-3</w:t>
            </w:r>
          </w:p>
        </w:tc>
        <w:tc>
          <w:tcPr>
            <w:tcW w:w="851" w:type="dxa"/>
          </w:tcPr>
          <w:p w14:paraId="56EE1ADE" w14:textId="77777777" w:rsidR="00CA2510" w:rsidRPr="00A10A90" w:rsidRDefault="00CA2510" w:rsidP="006F3C05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  <w:lang w:eastAsia="ja-JP"/>
              </w:rPr>
              <w:t>5-4-3</w:t>
            </w:r>
          </w:p>
        </w:tc>
        <w:tc>
          <w:tcPr>
            <w:tcW w:w="1275" w:type="dxa"/>
          </w:tcPr>
          <w:p w14:paraId="07898E51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4.125-3.875</w:t>
            </w:r>
          </w:p>
        </w:tc>
        <w:tc>
          <w:tcPr>
            <w:tcW w:w="1547" w:type="dxa"/>
          </w:tcPr>
          <w:p w14:paraId="432580D5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-</w:t>
            </w:r>
          </w:p>
        </w:tc>
      </w:tr>
      <w:tr w:rsidR="00CA2510" w:rsidRPr="00A10A90" w14:paraId="72DEB637" w14:textId="77777777" w:rsidTr="00CA2510">
        <w:trPr>
          <w:jc w:val="center"/>
        </w:trPr>
        <w:tc>
          <w:tcPr>
            <w:tcW w:w="758" w:type="dxa"/>
          </w:tcPr>
          <w:p w14:paraId="0820A02A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S03</w:t>
            </w:r>
          </w:p>
        </w:tc>
        <w:tc>
          <w:tcPr>
            <w:tcW w:w="1527" w:type="dxa"/>
          </w:tcPr>
          <w:p w14:paraId="66AD2A0C" w14:textId="77777777" w:rsidR="00CA2510" w:rsidRPr="00A10A90" w:rsidRDefault="00CA2510" w:rsidP="006F3C05">
            <w:pPr>
              <w:spacing w:before="0"/>
              <w:rPr>
                <w:sz w:val="20"/>
                <w:lang w:eastAsia="ja-JP"/>
              </w:rPr>
            </w:pPr>
            <w:proofErr w:type="spellStart"/>
            <w:r w:rsidRPr="00A10A90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763" w:type="dxa"/>
            <w:vMerge/>
            <w:vAlign w:val="center"/>
          </w:tcPr>
          <w:p w14:paraId="1C32F071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  <w:tc>
          <w:tcPr>
            <w:tcW w:w="901" w:type="dxa"/>
          </w:tcPr>
          <w:p w14:paraId="693EEFF9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2-5</w:t>
            </w:r>
          </w:p>
        </w:tc>
        <w:tc>
          <w:tcPr>
            <w:tcW w:w="1269" w:type="dxa"/>
          </w:tcPr>
          <w:p w14:paraId="2E8903E4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3-5</w:t>
            </w:r>
          </w:p>
        </w:tc>
        <w:tc>
          <w:tcPr>
            <w:tcW w:w="851" w:type="dxa"/>
          </w:tcPr>
          <w:p w14:paraId="596712E6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1-5-9</w:t>
            </w:r>
          </w:p>
        </w:tc>
        <w:tc>
          <w:tcPr>
            <w:tcW w:w="1275" w:type="dxa"/>
          </w:tcPr>
          <w:p w14:paraId="624CEFEC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4.5-5.5</w:t>
            </w:r>
          </w:p>
        </w:tc>
        <w:tc>
          <w:tcPr>
            <w:tcW w:w="1547" w:type="dxa"/>
          </w:tcPr>
          <w:p w14:paraId="3C9D1FEE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-</w:t>
            </w:r>
          </w:p>
        </w:tc>
      </w:tr>
      <w:tr w:rsidR="00CA2510" w:rsidRPr="00A10A90" w14:paraId="71742089" w14:textId="77777777" w:rsidTr="00CA2510">
        <w:trPr>
          <w:jc w:val="center"/>
        </w:trPr>
        <w:tc>
          <w:tcPr>
            <w:tcW w:w="758" w:type="dxa"/>
          </w:tcPr>
          <w:p w14:paraId="65014421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S04</w:t>
            </w:r>
          </w:p>
        </w:tc>
        <w:tc>
          <w:tcPr>
            <w:tcW w:w="1527" w:type="dxa"/>
          </w:tcPr>
          <w:p w14:paraId="7C9F9268" w14:textId="77777777" w:rsidR="00CA2510" w:rsidRPr="00A10A90" w:rsidRDefault="00CA2510" w:rsidP="006F3C05">
            <w:pPr>
              <w:spacing w:before="0"/>
              <w:rPr>
                <w:sz w:val="20"/>
                <w:lang w:eastAsia="ja-JP"/>
              </w:rPr>
            </w:pPr>
            <w:proofErr w:type="spellStart"/>
            <w:r w:rsidRPr="00A10A90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763" w:type="dxa"/>
            <w:vMerge/>
            <w:vAlign w:val="center"/>
          </w:tcPr>
          <w:p w14:paraId="10C0999E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  <w:tc>
          <w:tcPr>
            <w:tcW w:w="901" w:type="dxa"/>
          </w:tcPr>
          <w:p w14:paraId="47D2035C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5-2</w:t>
            </w:r>
          </w:p>
        </w:tc>
        <w:tc>
          <w:tcPr>
            <w:tcW w:w="1269" w:type="dxa"/>
          </w:tcPr>
          <w:p w14:paraId="5ED7CCC4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4-2</w:t>
            </w:r>
          </w:p>
        </w:tc>
        <w:tc>
          <w:tcPr>
            <w:tcW w:w="851" w:type="dxa"/>
          </w:tcPr>
          <w:p w14:paraId="17D76E12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9-5-1</w:t>
            </w:r>
          </w:p>
        </w:tc>
        <w:tc>
          <w:tcPr>
            <w:tcW w:w="1275" w:type="dxa"/>
          </w:tcPr>
          <w:p w14:paraId="3EA66D79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5.5-4.5</w:t>
            </w:r>
          </w:p>
        </w:tc>
        <w:tc>
          <w:tcPr>
            <w:tcW w:w="1547" w:type="dxa"/>
          </w:tcPr>
          <w:p w14:paraId="11C298FF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-</w:t>
            </w:r>
          </w:p>
        </w:tc>
      </w:tr>
      <w:tr w:rsidR="00CA2510" w:rsidRPr="00A10A90" w14:paraId="6ABBF324" w14:textId="77777777" w:rsidTr="00CA2510">
        <w:trPr>
          <w:jc w:val="center"/>
        </w:trPr>
        <w:tc>
          <w:tcPr>
            <w:tcW w:w="758" w:type="dxa"/>
          </w:tcPr>
          <w:p w14:paraId="0F1126ED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S05</w:t>
            </w:r>
          </w:p>
        </w:tc>
        <w:tc>
          <w:tcPr>
            <w:tcW w:w="1527" w:type="dxa"/>
          </w:tcPr>
          <w:p w14:paraId="200F0F04" w14:textId="77777777" w:rsidR="00CA2510" w:rsidRPr="00A10A90" w:rsidRDefault="00CA2510" w:rsidP="006F3C05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Kendo</w:t>
            </w:r>
          </w:p>
        </w:tc>
        <w:tc>
          <w:tcPr>
            <w:tcW w:w="763" w:type="dxa"/>
            <w:vMerge w:val="restart"/>
            <w:vAlign w:val="center"/>
          </w:tcPr>
          <w:p w14:paraId="7CBFD9C7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C</w:t>
            </w:r>
          </w:p>
        </w:tc>
        <w:tc>
          <w:tcPr>
            <w:tcW w:w="901" w:type="dxa"/>
          </w:tcPr>
          <w:p w14:paraId="67129283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3-5</w:t>
            </w:r>
          </w:p>
        </w:tc>
        <w:tc>
          <w:tcPr>
            <w:tcW w:w="1269" w:type="dxa"/>
          </w:tcPr>
          <w:p w14:paraId="4E8BA918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4-5</w:t>
            </w:r>
          </w:p>
        </w:tc>
        <w:tc>
          <w:tcPr>
            <w:tcW w:w="851" w:type="dxa"/>
          </w:tcPr>
          <w:p w14:paraId="5EE2E112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1-3-5</w:t>
            </w:r>
          </w:p>
        </w:tc>
        <w:tc>
          <w:tcPr>
            <w:tcW w:w="1275" w:type="dxa"/>
          </w:tcPr>
          <w:p w14:paraId="40E16A32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2.75-3.25</w:t>
            </w:r>
          </w:p>
        </w:tc>
        <w:tc>
          <w:tcPr>
            <w:tcW w:w="1547" w:type="dxa"/>
          </w:tcPr>
          <w:p w14:paraId="22B3E744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2.25-2.75</w:t>
            </w:r>
          </w:p>
        </w:tc>
      </w:tr>
      <w:tr w:rsidR="00CA2510" w:rsidRPr="00A10A90" w14:paraId="126F3256" w14:textId="77777777" w:rsidTr="00CA2510">
        <w:trPr>
          <w:jc w:val="center"/>
        </w:trPr>
        <w:tc>
          <w:tcPr>
            <w:tcW w:w="758" w:type="dxa"/>
          </w:tcPr>
          <w:p w14:paraId="476BAB4E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S06</w:t>
            </w:r>
          </w:p>
        </w:tc>
        <w:tc>
          <w:tcPr>
            <w:tcW w:w="1527" w:type="dxa"/>
          </w:tcPr>
          <w:p w14:paraId="0897B983" w14:textId="77777777" w:rsidR="00CA2510" w:rsidRPr="00A10A90" w:rsidRDefault="00CA2510" w:rsidP="006F3C05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Balloons</w:t>
            </w:r>
          </w:p>
        </w:tc>
        <w:tc>
          <w:tcPr>
            <w:tcW w:w="763" w:type="dxa"/>
            <w:vMerge/>
          </w:tcPr>
          <w:p w14:paraId="3FB498D4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  <w:tc>
          <w:tcPr>
            <w:tcW w:w="901" w:type="dxa"/>
          </w:tcPr>
          <w:p w14:paraId="0E57C660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3-5</w:t>
            </w:r>
          </w:p>
        </w:tc>
        <w:tc>
          <w:tcPr>
            <w:tcW w:w="1269" w:type="dxa"/>
          </w:tcPr>
          <w:p w14:paraId="5861FDAE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4-5</w:t>
            </w:r>
          </w:p>
        </w:tc>
        <w:tc>
          <w:tcPr>
            <w:tcW w:w="851" w:type="dxa"/>
          </w:tcPr>
          <w:p w14:paraId="424DEDE1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1-3-5</w:t>
            </w:r>
          </w:p>
        </w:tc>
        <w:tc>
          <w:tcPr>
            <w:tcW w:w="1275" w:type="dxa"/>
          </w:tcPr>
          <w:p w14:paraId="42AB9945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2.75-3.25</w:t>
            </w:r>
          </w:p>
        </w:tc>
        <w:tc>
          <w:tcPr>
            <w:tcW w:w="1547" w:type="dxa"/>
          </w:tcPr>
          <w:p w14:paraId="4C23BF50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4.375-4.875</w:t>
            </w:r>
          </w:p>
        </w:tc>
      </w:tr>
      <w:tr w:rsidR="00CA2510" w:rsidRPr="00A10A90" w14:paraId="6C46F652" w14:textId="77777777" w:rsidTr="00CA2510">
        <w:trPr>
          <w:jc w:val="center"/>
        </w:trPr>
        <w:tc>
          <w:tcPr>
            <w:tcW w:w="758" w:type="dxa"/>
          </w:tcPr>
          <w:p w14:paraId="4EEAD1A7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S07</w:t>
            </w:r>
          </w:p>
        </w:tc>
        <w:tc>
          <w:tcPr>
            <w:tcW w:w="1527" w:type="dxa"/>
          </w:tcPr>
          <w:p w14:paraId="2179C74A" w14:textId="77777777" w:rsidR="00CA2510" w:rsidRPr="00A10A90" w:rsidRDefault="00CA2510" w:rsidP="006F3C05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Lovebird1</w:t>
            </w:r>
          </w:p>
        </w:tc>
        <w:tc>
          <w:tcPr>
            <w:tcW w:w="763" w:type="dxa"/>
            <w:vMerge/>
          </w:tcPr>
          <w:p w14:paraId="57DF30A2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</w:p>
        </w:tc>
        <w:tc>
          <w:tcPr>
            <w:tcW w:w="901" w:type="dxa"/>
          </w:tcPr>
          <w:p w14:paraId="28598D05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rFonts w:eastAsia="SimSun"/>
                <w:sz w:val="20"/>
              </w:rPr>
              <w:t>6-8</w:t>
            </w:r>
          </w:p>
        </w:tc>
        <w:tc>
          <w:tcPr>
            <w:tcW w:w="1269" w:type="dxa"/>
          </w:tcPr>
          <w:p w14:paraId="0E83CE50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sz w:val="20"/>
              </w:rPr>
              <w:t>7-8</w:t>
            </w:r>
          </w:p>
        </w:tc>
        <w:tc>
          <w:tcPr>
            <w:tcW w:w="851" w:type="dxa"/>
          </w:tcPr>
          <w:p w14:paraId="718E9034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rFonts w:eastAsia="SimSun"/>
                <w:sz w:val="20"/>
              </w:rPr>
              <w:t>4-6-8</w:t>
            </w:r>
          </w:p>
        </w:tc>
        <w:tc>
          <w:tcPr>
            <w:tcW w:w="1275" w:type="dxa"/>
          </w:tcPr>
          <w:p w14:paraId="053EFD20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sz w:val="20"/>
              </w:rPr>
              <w:t>5.75-6.25</w:t>
            </w:r>
          </w:p>
        </w:tc>
        <w:tc>
          <w:tcPr>
            <w:tcW w:w="1547" w:type="dxa"/>
          </w:tcPr>
          <w:p w14:paraId="5C816D32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sz w:val="20"/>
              </w:rPr>
              <w:t>4.0833-4.5833</w:t>
            </w:r>
          </w:p>
        </w:tc>
      </w:tr>
      <w:tr w:rsidR="00CA2510" w:rsidRPr="00A10A90" w14:paraId="38BFBCFF" w14:textId="77777777" w:rsidTr="00CA2510">
        <w:trPr>
          <w:jc w:val="center"/>
        </w:trPr>
        <w:tc>
          <w:tcPr>
            <w:tcW w:w="758" w:type="dxa"/>
          </w:tcPr>
          <w:p w14:paraId="79649BDA" w14:textId="77777777" w:rsidR="00CA2510" w:rsidRPr="00A10A90" w:rsidRDefault="00CA2510" w:rsidP="006F3C05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S08</w:t>
            </w:r>
          </w:p>
        </w:tc>
        <w:tc>
          <w:tcPr>
            <w:tcW w:w="1527" w:type="dxa"/>
          </w:tcPr>
          <w:p w14:paraId="23BBE1F9" w14:textId="77777777" w:rsidR="00CA2510" w:rsidRPr="00A10A90" w:rsidRDefault="00CA2510" w:rsidP="006F3C05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Newspaper</w:t>
            </w:r>
          </w:p>
        </w:tc>
        <w:tc>
          <w:tcPr>
            <w:tcW w:w="763" w:type="dxa"/>
            <w:vMerge/>
          </w:tcPr>
          <w:p w14:paraId="79D8D6F5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</w:p>
        </w:tc>
        <w:tc>
          <w:tcPr>
            <w:tcW w:w="901" w:type="dxa"/>
          </w:tcPr>
          <w:p w14:paraId="0EBB7C7A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rFonts w:eastAsia="SimSun"/>
                <w:sz w:val="20"/>
              </w:rPr>
              <w:t>4-6</w:t>
            </w:r>
          </w:p>
        </w:tc>
        <w:tc>
          <w:tcPr>
            <w:tcW w:w="1269" w:type="dxa"/>
          </w:tcPr>
          <w:p w14:paraId="49A31762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sz w:val="20"/>
              </w:rPr>
              <w:t>5-6</w:t>
            </w:r>
          </w:p>
        </w:tc>
        <w:tc>
          <w:tcPr>
            <w:tcW w:w="851" w:type="dxa"/>
          </w:tcPr>
          <w:p w14:paraId="10C4D3E2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rFonts w:eastAsia="SimSun"/>
                <w:sz w:val="20"/>
              </w:rPr>
              <w:t>2-4-6</w:t>
            </w:r>
          </w:p>
        </w:tc>
        <w:tc>
          <w:tcPr>
            <w:tcW w:w="1275" w:type="dxa"/>
          </w:tcPr>
          <w:p w14:paraId="6A01514D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sz w:val="20"/>
              </w:rPr>
              <w:t>3.75-4.25</w:t>
            </w:r>
          </w:p>
        </w:tc>
        <w:tc>
          <w:tcPr>
            <w:tcW w:w="1547" w:type="dxa"/>
          </w:tcPr>
          <w:p w14:paraId="4F98ECC2" w14:textId="77777777" w:rsidR="00CA2510" w:rsidRPr="00A10A90" w:rsidRDefault="00CA2510" w:rsidP="006F3C05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sz w:val="20"/>
              </w:rPr>
              <w:t>4.3333-4.8333</w:t>
            </w:r>
          </w:p>
        </w:tc>
      </w:tr>
    </w:tbl>
    <w:p w14:paraId="70ECAB4B" w14:textId="01617167" w:rsidR="00CA2510" w:rsidRPr="00A10A90" w:rsidRDefault="00CA2510" w:rsidP="00CA2510">
      <w:r w:rsidRPr="00A10A90">
        <w:t>Similarly to</w:t>
      </w:r>
      <w:r w:rsidR="00EA3098" w:rsidRPr="00A10A90">
        <w:t xml:space="preserve"> </w:t>
      </w:r>
      <w:hyperlink w:anchor="M24807" w:history="1">
        <w:r w:rsidR="00EA3098" w:rsidRPr="00A10A90">
          <w:rPr>
            <w:rStyle w:val="Hyperlink"/>
            <w:color w:val="auto"/>
            <w:u w:val="none"/>
            <w:lang w:eastAsia="zh-TW"/>
          </w:rPr>
          <w:t>M24807</w:t>
        </w:r>
      </w:hyperlink>
      <w:r w:rsidRPr="00A10A90">
        <w:t>, the performance of the following objective metrics (OM) is assessed:</w:t>
      </w:r>
    </w:p>
    <w:p w14:paraId="42744525" w14:textId="77777777" w:rsidR="00CA2510" w:rsidRPr="00A10A90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>PSNR: Peak Signal to Noise Ratio,</w:t>
      </w:r>
    </w:p>
    <w:p w14:paraId="018D81AC" w14:textId="545FE6A2" w:rsidR="00CA2510" w:rsidRPr="00A10A90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>SSIM: Structural Similarity Index</w:t>
      </w:r>
      <w:r w:rsidR="00EA3098" w:rsidRPr="00A10A90">
        <w:t xml:space="preserve"> (</w:t>
      </w:r>
      <w:hyperlink w:anchor="Wang2004" w:history="1">
        <w:r w:rsidR="00EA3098" w:rsidRPr="00A10A90">
          <w:rPr>
            <w:rStyle w:val="Hyperlink"/>
            <w:color w:val="auto"/>
            <w:u w:val="none"/>
            <w:lang w:eastAsia="zh-TW"/>
          </w:rPr>
          <w:t xml:space="preserve">Wang </w:t>
        </w:r>
        <w:r w:rsidR="00EA3098" w:rsidRPr="00A10A90">
          <w:rPr>
            <w:rStyle w:val="Hyperlink"/>
            <w:i/>
            <w:color w:val="auto"/>
            <w:u w:val="none"/>
            <w:lang w:eastAsia="zh-TW"/>
          </w:rPr>
          <w:t>et al.</w:t>
        </w:r>
        <w:r w:rsidR="00EA3098" w:rsidRPr="00A10A90">
          <w:rPr>
            <w:rStyle w:val="Hyperlink"/>
            <w:color w:val="auto"/>
            <w:u w:val="none"/>
            <w:lang w:eastAsia="zh-TW"/>
          </w:rPr>
          <w:t>, 2004</w:t>
        </w:r>
      </w:hyperlink>
      <w:r w:rsidR="00EA3098" w:rsidRPr="00A10A90">
        <w:t>)</w:t>
      </w:r>
      <w:r w:rsidRPr="00A10A90">
        <w:t>,</w:t>
      </w:r>
    </w:p>
    <w:p w14:paraId="2CB4662C" w14:textId="710FFFD0" w:rsidR="00CA2510" w:rsidRPr="00A10A90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>MS-SSIM: Multi-Scale Structural Similarity Index</w:t>
      </w:r>
      <w:r w:rsidR="00EA3098" w:rsidRPr="00A10A90">
        <w:t xml:space="preserve"> (</w:t>
      </w:r>
      <w:hyperlink w:anchor="Wang2003" w:history="1">
        <w:r w:rsidR="00EA3098" w:rsidRPr="00A10A90">
          <w:rPr>
            <w:rStyle w:val="Hyperlink"/>
            <w:color w:val="auto"/>
            <w:u w:val="none"/>
            <w:lang w:eastAsia="zh-TW"/>
          </w:rPr>
          <w:t xml:space="preserve">Wang </w:t>
        </w:r>
        <w:r w:rsidR="00EA3098" w:rsidRPr="00A10A90">
          <w:rPr>
            <w:rStyle w:val="Hyperlink"/>
            <w:i/>
            <w:color w:val="auto"/>
            <w:u w:val="none"/>
            <w:lang w:eastAsia="zh-TW"/>
          </w:rPr>
          <w:t>et al.</w:t>
        </w:r>
        <w:r w:rsidR="00EA3098" w:rsidRPr="00A10A90">
          <w:rPr>
            <w:rStyle w:val="Hyperlink"/>
            <w:color w:val="auto"/>
            <w:u w:val="none"/>
            <w:lang w:eastAsia="zh-TW"/>
          </w:rPr>
          <w:t>, 2003</w:t>
        </w:r>
      </w:hyperlink>
      <w:r w:rsidR="00EA3098" w:rsidRPr="00A10A90">
        <w:t>)</w:t>
      </w:r>
      <w:r w:rsidRPr="00A10A90">
        <w:t>,</w:t>
      </w:r>
    </w:p>
    <w:p w14:paraId="1FC072CA" w14:textId="570EED57" w:rsidR="00CA2510" w:rsidRPr="00A10A90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>VSNR: Visual Signal to Noise Ratio</w:t>
      </w:r>
      <w:r w:rsidR="00EA3098" w:rsidRPr="00A10A90">
        <w:t xml:space="preserve"> (</w:t>
      </w:r>
      <w:hyperlink w:anchor="Chandler2007" w:history="1">
        <w:r w:rsidR="00EA3098" w:rsidRPr="00A10A90">
          <w:rPr>
            <w:rStyle w:val="Hyperlink"/>
            <w:color w:val="auto"/>
            <w:u w:val="none"/>
            <w:lang w:eastAsia="zh-TW"/>
          </w:rPr>
          <w:t xml:space="preserve">Chandler and </w:t>
        </w:r>
        <w:proofErr w:type="spellStart"/>
        <w:r w:rsidR="00EA3098" w:rsidRPr="00A10A90">
          <w:rPr>
            <w:rStyle w:val="Hyperlink"/>
            <w:color w:val="auto"/>
            <w:u w:val="none"/>
            <w:lang w:eastAsia="zh-TW"/>
          </w:rPr>
          <w:t>Hemami</w:t>
        </w:r>
        <w:proofErr w:type="spellEnd"/>
        <w:r w:rsidR="00EA3098" w:rsidRPr="00A10A90">
          <w:rPr>
            <w:rStyle w:val="Hyperlink"/>
            <w:color w:val="auto"/>
            <w:u w:val="none"/>
            <w:lang w:eastAsia="zh-TW"/>
          </w:rPr>
          <w:t>, 2007</w:t>
        </w:r>
      </w:hyperlink>
      <w:r w:rsidR="00EA3098" w:rsidRPr="00A10A90">
        <w:t>)</w:t>
      </w:r>
      <w:r w:rsidRPr="00A10A90">
        <w:t>,</w:t>
      </w:r>
    </w:p>
    <w:p w14:paraId="35007554" w14:textId="073DD21E" w:rsidR="00CA2510" w:rsidRPr="00A10A90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proofErr w:type="spellStart"/>
      <w:r w:rsidRPr="00A10A90">
        <w:t>VIFp</w:t>
      </w:r>
      <w:proofErr w:type="spellEnd"/>
      <w:r w:rsidRPr="00A10A90">
        <w:t>: Visual Information Fidelity</w:t>
      </w:r>
      <w:r w:rsidR="00EA3098" w:rsidRPr="00A10A90">
        <w:t xml:space="preserve"> (</w:t>
      </w:r>
      <w:hyperlink w:anchor="Sheikh2006" w:history="1">
        <w:r w:rsidR="00EA3098" w:rsidRPr="00A10A90">
          <w:rPr>
            <w:rStyle w:val="Hyperlink"/>
            <w:color w:val="auto"/>
            <w:u w:val="none"/>
          </w:rPr>
          <w:t xml:space="preserve">Sheikh and </w:t>
        </w:r>
        <w:proofErr w:type="spellStart"/>
        <w:r w:rsidR="00EA3098" w:rsidRPr="00A10A90">
          <w:rPr>
            <w:rStyle w:val="Hyperlink"/>
            <w:color w:val="auto"/>
            <w:u w:val="none"/>
          </w:rPr>
          <w:t>Bovik</w:t>
        </w:r>
        <w:proofErr w:type="spellEnd"/>
        <w:r w:rsidR="00EA3098" w:rsidRPr="00A10A90">
          <w:rPr>
            <w:rStyle w:val="Hyperlink"/>
            <w:color w:val="auto"/>
            <w:u w:val="none"/>
          </w:rPr>
          <w:t>, 2006</w:t>
        </w:r>
      </w:hyperlink>
      <w:r w:rsidR="00EA3098" w:rsidRPr="00A10A90">
        <w:t>)</w:t>
      </w:r>
      <w:r w:rsidRPr="00A10A90">
        <w:t>, pixel domain version,</w:t>
      </w:r>
    </w:p>
    <w:p w14:paraId="6DA1F3B6" w14:textId="7B456B94" w:rsidR="00CA2510" w:rsidRPr="00A10A90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>WSNR: Weighted Signal to Noise Ratio</w:t>
      </w:r>
      <w:r w:rsidRPr="00A10A90">
        <w:rPr>
          <w:rStyle w:val="FootnoteReference"/>
        </w:rPr>
        <w:footnoteReference w:id="1"/>
      </w:r>
      <w:r w:rsidR="00EA3098" w:rsidRPr="00A10A90">
        <w:t xml:space="preserve"> (</w:t>
      </w:r>
      <w:hyperlink w:anchor="Damera2000" w:history="1">
        <w:proofErr w:type="spellStart"/>
        <w:r w:rsidR="00EA3098" w:rsidRPr="00A10A90">
          <w:rPr>
            <w:rStyle w:val="Hyperlink"/>
            <w:color w:val="auto"/>
            <w:u w:val="none"/>
            <w:lang w:eastAsia="zh-TW"/>
          </w:rPr>
          <w:t>Damera-Venkata</w:t>
        </w:r>
        <w:proofErr w:type="spellEnd"/>
        <w:r w:rsidR="00EA3098" w:rsidRPr="00A10A90">
          <w:rPr>
            <w:rStyle w:val="Hyperlink"/>
            <w:color w:val="auto"/>
            <w:u w:val="none"/>
            <w:lang w:eastAsia="zh-TW"/>
          </w:rPr>
          <w:t xml:space="preserve"> </w:t>
        </w:r>
        <w:r w:rsidR="00EA3098" w:rsidRPr="00A10A90">
          <w:rPr>
            <w:rStyle w:val="Hyperlink"/>
            <w:i/>
            <w:color w:val="auto"/>
            <w:u w:val="none"/>
            <w:lang w:eastAsia="zh-TW"/>
          </w:rPr>
          <w:t>et al.</w:t>
        </w:r>
        <w:r w:rsidR="00EA3098" w:rsidRPr="00A10A90">
          <w:rPr>
            <w:rStyle w:val="Hyperlink"/>
            <w:color w:val="auto"/>
            <w:u w:val="none"/>
            <w:lang w:eastAsia="zh-TW"/>
          </w:rPr>
          <w:t>, 2000</w:t>
        </w:r>
      </w:hyperlink>
      <w:r w:rsidR="00EA3098" w:rsidRPr="00A10A90">
        <w:t>)</w:t>
      </w:r>
      <w:r w:rsidRPr="00A10A90">
        <w:t>,</w:t>
      </w:r>
    </w:p>
    <w:p w14:paraId="790F8DA7" w14:textId="4E8C7C5C" w:rsidR="00CA2510" w:rsidRPr="00A10A90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>PSNR-HVS: PSNR Human Visual System</w:t>
      </w:r>
      <w:r w:rsidR="00EA3098" w:rsidRPr="00A10A90">
        <w:t xml:space="preserve"> (</w:t>
      </w:r>
      <w:hyperlink w:anchor="Egiazarian2006" w:history="1">
        <w:proofErr w:type="spellStart"/>
        <w:r w:rsidR="00EA3098" w:rsidRPr="00A10A90">
          <w:rPr>
            <w:rStyle w:val="Hyperlink"/>
            <w:color w:val="auto"/>
            <w:u w:val="none"/>
            <w:lang w:eastAsia="zh-TW"/>
          </w:rPr>
          <w:t>Egiazarian</w:t>
        </w:r>
        <w:proofErr w:type="spellEnd"/>
        <w:r w:rsidR="00EA3098" w:rsidRPr="00A10A90">
          <w:rPr>
            <w:rStyle w:val="Hyperlink"/>
            <w:color w:val="auto"/>
            <w:u w:val="none"/>
            <w:lang w:eastAsia="zh-TW"/>
          </w:rPr>
          <w:t xml:space="preserve"> </w:t>
        </w:r>
        <w:r w:rsidR="00EA3098" w:rsidRPr="00A10A90">
          <w:rPr>
            <w:rStyle w:val="Hyperlink"/>
            <w:i/>
            <w:color w:val="auto"/>
            <w:u w:val="none"/>
            <w:lang w:eastAsia="zh-TW"/>
          </w:rPr>
          <w:t>et al.</w:t>
        </w:r>
        <w:r w:rsidR="00EA3098" w:rsidRPr="00A10A90">
          <w:rPr>
            <w:rStyle w:val="Hyperlink"/>
            <w:color w:val="auto"/>
            <w:u w:val="none"/>
            <w:lang w:eastAsia="zh-TW"/>
          </w:rPr>
          <w:t>, 2006</w:t>
        </w:r>
      </w:hyperlink>
      <w:r w:rsidR="00EA3098" w:rsidRPr="00A10A90">
        <w:t>)</w:t>
      </w:r>
      <w:r w:rsidRPr="00A10A90">
        <w:t>,</w:t>
      </w:r>
    </w:p>
    <w:p w14:paraId="64BA43EA" w14:textId="61EE6564" w:rsidR="00CA2510" w:rsidRPr="00A10A90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>PSNR-HVS-M: PSNR Human Visual System Masking</w:t>
      </w:r>
      <w:r w:rsidR="00EA3098" w:rsidRPr="00A10A90">
        <w:t xml:space="preserve"> (</w:t>
      </w:r>
      <w:hyperlink w:anchor="Ponomarenko2007" w:history="1">
        <w:proofErr w:type="spellStart"/>
        <w:r w:rsidR="00EA3098" w:rsidRPr="00A10A90">
          <w:rPr>
            <w:rStyle w:val="Hyperlink"/>
            <w:color w:val="auto"/>
            <w:u w:val="none"/>
            <w:lang w:eastAsia="zh-TW"/>
          </w:rPr>
          <w:t>Ponomarenko</w:t>
        </w:r>
        <w:proofErr w:type="spellEnd"/>
        <w:r w:rsidR="00EA3098" w:rsidRPr="00A10A90">
          <w:rPr>
            <w:rStyle w:val="Hyperlink"/>
            <w:color w:val="auto"/>
            <w:u w:val="none"/>
            <w:lang w:eastAsia="zh-TW"/>
          </w:rPr>
          <w:t xml:space="preserve"> </w:t>
        </w:r>
        <w:r w:rsidR="00EA3098" w:rsidRPr="00A10A90">
          <w:rPr>
            <w:rStyle w:val="Hyperlink"/>
            <w:i/>
            <w:color w:val="auto"/>
            <w:u w:val="none"/>
            <w:lang w:eastAsia="zh-TW"/>
          </w:rPr>
          <w:t>et al.</w:t>
        </w:r>
        <w:r w:rsidR="00EA3098" w:rsidRPr="00A10A90">
          <w:rPr>
            <w:rStyle w:val="Hyperlink"/>
            <w:color w:val="auto"/>
            <w:u w:val="none"/>
            <w:lang w:eastAsia="zh-TW"/>
          </w:rPr>
          <w:t>, 2007</w:t>
        </w:r>
      </w:hyperlink>
      <w:r w:rsidR="00EA3098" w:rsidRPr="00A10A90">
        <w:t>)</w:t>
      </w:r>
      <w:r w:rsidRPr="00A10A90">
        <w:t>,</w:t>
      </w:r>
    </w:p>
    <w:p w14:paraId="58CC58C6" w14:textId="303494E3" w:rsidR="00CA2510" w:rsidRPr="00A10A90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 xml:space="preserve">VQM: Video Quality Metric </w:t>
      </w:r>
      <w:r w:rsidR="00EA3098" w:rsidRPr="00A10A90">
        <w:t>(</w:t>
      </w:r>
      <w:hyperlink w:anchor="J144" w:history="1">
        <w:r w:rsidR="00EA3098" w:rsidRPr="00A10A90">
          <w:rPr>
            <w:rStyle w:val="Hyperlink"/>
            <w:color w:val="auto"/>
            <w:u w:val="none"/>
          </w:rPr>
          <w:t>ITU</w:t>
        </w:r>
        <w:r w:rsidR="0094119E" w:rsidRPr="00A10A90">
          <w:rPr>
            <w:rStyle w:val="Hyperlink"/>
            <w:color w:val="auto"/>
            <w:u w:val="none"/>
          </w:rPr>
          <w:t>-T Recommendation</w:t>
        </w:r>
        <w:r w:rsidR="00EA3098" w:rsidRPr="00A10A90">
          <w:rPr>
            <w:rStyle w:val="Hyperlink"/>
            <w:color w:val="auto"/>
            <w:u w:val="none"/>
          </w:rPr>
          <w:t xml:space="preserve"> J.144, </w:t>
        </w:r>
        <w:r w:rsidR="00DA66BF" w:rsidRPr="00A10A90">
          <w:rPr>
            <w:rStyle w:val="Hyperlink"/>
            <w:color w:val="auto"/>
            <w:u w:val="none"/>
          </w:rPr>
          <w:t>2004</w:t>
        </w:r>
      </w:hyperlink>
      <w:r w:rsidR="00EA3098" w:rsidRPr="00A10A90">
        <w:t>)</w:t>
      </w:r>
      <w:r w:rsidRPr="00A10A90">
        <w:t xml:space="preserve"> (NTIA General Model, no calibration).</w:t>
      </w:r>
    </w:p>
    <w:p w14:paraId="787B195E" w14:textId="4A66A686" w:rsidR="00115B0E" w:rsidRPr="00A10A90" w:rsidRDefault="00115B0E" w:rsidP="00115B0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 xml:space="preserve">All above metrics, except for VQM, are computed on the </w:t>
      </w:r>
      <w:proofErr w:type="spellStart"/>
      <w:r w:rsidRPr="00A10A90">
        <w:t>luma</w:t>
      </w:r>
      <w:proofErr w:type="spellEnd"/>
      <w:r w:rsidRPr="00A10A90">
        <w:t xml:space="preserve"> component of each frame and the resulting values are averaged across the frames to produce a global index for the entire video sequence.</w:t>
      </w:r>
    </w:p>
    <w:p w14:paraId="08E307CD" w14:textId="77777777" w:rsidR="00CA2510" w:rsidRPr="00A10A90" w:rsidRDefault="00CA2510" w:rsidP="00CA2510">
      <w:r w:rsidRPr="00A10A90">
        <w:t>In every objective metric, three different objective video quality models (VQRs) are considered:</w:t>
      </w:r>
    </w:p>
    <w:p w14:paraId="08AEEAE3" w14:textId="77777777" w:rsidR="00CA2510" w:rsidRPr="00A10A90" w:rsidRDefault="00CA2510" w:rsidP="00CA2510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 xml:space="preserve">Quality of the left view, calculated between the synthesized view at the decoder side and the synthesized view at the encoder side: </w:t>
      </w:r>
      <w:proofErr w:type="gramStart"/>
      <m:oMath>
        <m:r>
          <m:rPr>
            <m:nor/>
          </m:rPr>
          <w:rPr>
            <w:rFonts w:ascii="Cambria Math" w:hAnsi="Cambria Math"/>
          </w:rPr>
          <m:t>OM</m:t>
        </m:r>
        <m:r>
          <w:rPr>
            <w:rFonts w:ascii="Cambria Math" w:hAnsi="Cambria Math"/>
          </w:rPr>
          <m:t>(</m:t>
        </m:r>
        <w:proofErr w:type="gramEnd"/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)</m:t>
        </m:r>
      </m:oMath>
    </w:p>
    <w:p w14:paraId="3975CEC5" w14:textId="77777777" w:rsidR="00CA2510" w:rsidRPr="00A10A90" w:rsidRDefault="00CA2510" w:rsidP="00CA2510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 xml:space="preserve">Quality of the right view, calculated between the synthesized view at the decoder side and the synthesized view at the encoder side: </w:t>
      </w:r>
      <w:proofErr w:type="gramStart"/>
      <m:oMath>
        <m:r>
          <m:rPr>
            <m:nor/>
          </m:rPr>
          <w:rPr>
            <w:rFonts w:ascii="Cambria Math" w:hAnsi="Cambria Math"/>
          </w:rPr>
          <m:t>OM</m:t>
        </m:r>
        <m:r>
          <w:rPr>
            <w:rFonts w:ascii="Cambria Math" w:hAnsi="Cambria Math"/>
          </w:rPr>
          <m:t>(</m:t>
        </m:r>
        <w:proofErr w:type="gramEnd"/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R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)</m:t>
        </m:r>
      </m:oMath>
    </w:p>
    <w:p w14:paraId="778A4044" w14:textId="77777777" w:rsidR="00CA2510" w:rsidRPr="00A10A90" w:rsidRDefault="00CA2510" w:rsidP="00CA2510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A10A90">
        <w:t>Average quality of both views, computed as the mean value of a) and b)</w:t>
      </w:r>
    </w:p>
    <w:p w14:paraId="24072700" w14:textId="371EBE56" w:rsidR="00CA2510" w:rsidRPr="00A10A90" w:rsidRDefault="00CA2510" w:rsidP="00CA2510">
      <w:r w:rsidRPr="00A10A90">
        <w:t>The following properties of the VQR estimation of Mean Opinion Scores (MOS)</w:t>
      </w:r>
      <w:r w:rsidRPr="00A10A90" w:rsidDel="00C658D3">
        <w:t xml:space="preserve"> </w:t>
      </w:r>
      <w:r w:rsidRPr="00A10A90">
        <w:t>are considered: accuracy, monotonicity and consistency.</w:t>
      </w:r>
      <w:r w:rsidR="00115B0E" w:rsidRPr="00A10A90">
        <w:t xml:space="preserve"> </w:t>
      </w:r>
      <w:r w:rsidRPr="00A10A90">
        <w:t>A linear least squares regression is fitted for each sequence to each [VQR, MOS] data set:</w:t>
      </w:r>
    </w:p>
    <w:p w14:paraId="00206D2C" w14:textId="717A1BBD" w:rsidR="00CA2510" w:rsidRPr="00A10A90" w:rsidRDefault="006F3C05" w:rsidP="00CA2510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MOS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VQR</m:t>
              </m:r>
            </m:e>
          </m:d>
          <m:r>
            <w:rPr>
              <w:rFonts w:ascii="Cambria Math" w:hAnsi="Cambria Math"/>
            </w:rPr>
            <m:t>=a∙VQR+b</m:t>
          </m:r>
        </m:oMath>
      </m:oMathPara>
    </w:p>
    <w:p w14:paraId="3856B4C7" w14:textId="595085E2" w:rsidR="00CA2510" w:rsidRPr="00A10A90" w:rsidRDefault="00CA2510" w:rsidP="00CA2510">
      <w:r w:rsidRPr="00A10A90">
        <w:t xml:space="preserve">The Pearson linear correlation coefficient (PCC) and the root-mean-square error (RMSE) are used between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Pr="00A10A90">
        <w:t xml:space="preserve"> and </w:t>
      </w:r>
      <m:oMath>
        <m:r>
          <w:rPr>
            <w:rFonts w:ascii="Cambria Math" w:hAnsi="Cambria Math"/>
          </w:rPr>
          <m:t>MOS</m:t>
        </m:r>
      </m:oMath>
      <w:r w:rsidRPr="00A10A90">
        <w:t xml:space="preserve"> to estimate the accuracy of the VQR.</w:t>
      </w:r>
      <w:r w:rsidR="00115B0E" w:rsidRPr="00A10A90">
        <w:t xml:space="preserve"> </w:t>
      </w:r>
      <w:r w:rsidRPr="00A10A90">
        <w:t xml:space="preserve">To estimate monotonicity and consistency, the Spearman rank order correlation coefficient (SCC) is used between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MO</m:t>
            </m:r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Pr="00A10A90">
        <w:t xml:space="preserve"> and </w:t>
      </w:r>
      <m:oMath>
        <m:r>
          <w:rPr>
            <w:rFonts w:ascii="Cambria Math" w:hAnsi="Cambria Math"/>
          </w:rPr>
          <m:t>MOS</m:t>
        </m:r>
      </m:oMath>
      <w:r w:rsidRPr="00A10A90">
        <w:t>.</w:t>
      </w:r>
      <w:r w:rsidR="00115B0E" w:rsidRPr="00A10A90">
        <w:t xml:space="preserve"> </w:t>
      </w:r>
      <w:r w:rsidRPr="00A10A90">
        <w:t xml:space="preserve">The </w:t>
      </w:r>
      <w:r w:rsidRPr="00A10A90">
        <w:lastRenderedPageBreak/>
        <w:t>Pearson linear correlation coefficient, Spearman rank order correlation coefficient, and root-mean-square error are finally averaged across the different sequences.</w:t>
      </w:r>
    </w:p>
    <w:p w14:paraId="71620138" w14:textId="77777777" w:rsidR="00CA2510" w:rsidRPr="00A10A90" w:rsidRDefault="00CA2510" w:rsidP="00F77B83">
      <w:pPr>
        <w:pStyle w:val="Heading1"/>
      </w:pPr>
      <w:r w:rsidRPr="00A10A90">
        <w:t>Results and discussions</w:t>
      </w:r>
    </w:p>
    <w:p w14:paraId="57D5B3C2" w14:textId="40999330" w:rsidR="00CA2510" w:rsidRPr="00A10A90" w:rsidRDefault="00CA2510" w:rsidP="00CA2510">
      <w:r w:rsidRPr="00A10A90">
        <w:t>The accuracy, monotonicity, and consistency indexes of the objective video quality models, as defined in Section</w:t>
      </w:r>
      <w:r w:rsidR="00C96F54" w:rsidRPr="00A10A90">
        <w:t xml:space="preserve"> 2</w:t>
      </w:r>
      <w:r w:rsidRPr="00A10A90">
        <w:t xml:space="preserve">, are reported for each metric separately in </w:t>
      </w:r>
      <w:r w:rsidRPr="00A10A90">
        <w:fldChar w:fldCharType="begin"/>
      </w:r>
      <w:r w:rsidRPr="00A10A90">
        <w:instrText xml:space="preserve"> REF _Ref189653789 \h </w:instrText>
      </w:r>
      <w:r w:rsidRPr="00A10A90">
        <w:fldChar w:fldCharType="separate"/>
      </w:r>
      <w:r w:rsidRPr="00A10A90">
        <w:t>Table 2</w:t>
      </w:r>
      <w:r w:rsidRPr="00A10A90">
        <w:fldChar w:fldCharType="end"/>
      </w:r>
      <w:r w:rsidRPr="00A10A90">
        <w:t xml:space="preserve"> and </w:t>
      </w:r>
      <w:r w:rsidRPr="00A10A90">
        <w:fldChar w:fldCharType="begin"/>
      </w:r>
      <w:r w:rsidRPr="00A10A90">
        <w:instrText xml:space="preserve"> REF _Ref202876952 \h </w:instrText>
      </w:r>
      <w:r w:rsidRPr="00A10A90">
        <w:fldChar w:fldCharType="separate"/>
      </w:r>
      <w:r w:rsidRPr="00A10A90">
        <w:t>Table 3</w:t>
      </w:r>
      <w:r w:rsidRPr="00A10A90">
        <w:fldChar w:fldCharType="end"/>
      </w:r>
      <w:r w:rsidRPr="00A10A90">
        <w:t xml:space="preserve"> for the fixed and random stereo pairs, respectively. The metrics are ranked for each objective video quality model and the ranking number is specified below each performance index value.</w:t>
      </w:r>
    </w:p>
    <w:p w14:paraId="3C5E0167" w14:textId="0E5B0FB5" w:rsidR="00CA2510" w:rsidRPr="00A10A90" w:rsidRDefault="00CA2510" w:rsidP="00CA2510">
      <w:r w:rsidRPr="00A10A90">
        <w:t xml:space="preserve">The fixed stereo pair is centered on the central decoded view and both views are equidistant from the central decoded view. Thus, both views should have the same amount of </w:t>
      </w:r>
      <w:proofErr w:type="spellStart"/>
      <w:r w:rsidRPr="00A10A90">
        <w:t>disocclusion</w:t>
      </w:r>
      <w:proofErr w:type="spellEnd"/>
      <w:r w:rsidRPr="00A10A90">
        <w:t xml:space="preserve"> and the same strength of view synthesis artifacts. The random stereo pair is located in-between two decoded views; one view of the stereo pair is always located closer to one of the decoded views than the other view of the stereo pair.</w:t>
      </w:r>
      <w:r w:rsidR="001519FC" w:rsidRPr="00A10A90">
        <w:t xml:space="preserve"> Thus, we denote them as closer and farther</w:t>
      </w:r>
      <w:r w:rsidRPr="00A10A90">
        <w:t xml:space="preserve"> views rather than left and right views. </w:t>
      </w:r>
      <w:r w:rsidR="00E9460C" w:rsidRPr="00A10A90">
        <w:t>For example, for conte</w:t>
      </w:r>
      <w:r w:rsidR="001519FC" w:rsidRPr="00A10A90">
        <w:t>nt S05, view 2.75 is the closer</w:t>
      </w:r>
      <w:r w:rsidR="00E9460C" w:rsidRPr="00A10A90">
        <w:t xml:space="preserve"> view while view 2.25 is the </w:t>
      </w:r>
      <w:r w:rsidR="001519FC" w:rsidRPr="00A10A90">
        <w:t>farther</w:t>
      </w:r>
      <w:r w:rsidR="00E9460C" w:rsidRPr="00A10A90">
        <w:t xml:space="preserve"> view. </w:t>
      </w:r>
      <w:r w:rsidR="001519FC" w:rsidRPr="00A10A90">
        <w:t>The closer</w:t>
      </w:r>
      <w:r w:rsidRPr="00A10A90">
        <w:t xml:space="preserve"> view has a lower amount of </w:t>
      </w:r>
      <w:proofErr w:type="spellStart"/>
      <w:r w:rsidR="001519FC" w:rsidRPr="00A10A90">
        <w:t>disocclusion</w:t>
      </w:r>
      <w:proofErr w:type="spellEnd"/>
      <w:r w:rsidR="001519FC" w:rsidRPr="00A10A90">
        <w:t xml:space="preserve"> than the farther view. Thus, the closer</w:t>
      </w:r>
      <w:r w:rsidRPr="00A10A90">
        <w:t xml:space="preserve"> view should contain less view synth</w:t>
      </w:r>
      <w:r w:rsidR="001519FC" w:rsidRPr="00A10A90">
        <w:t>esis artifacts than the farther</w:t>
      </w:r>
      <w:r w:rsidRPr="00A10A90">
        <w:t xml:space="preserve"> view. However, there is no significant difference between the results for the </w:t>
      </w:r>
      <w:r w:rsidR="001519FC" w:rsidRPr="00A10A90">
        <w:t xml:space="preserve">closer and </w:t>
      </w:r>
      <w:r w:rsidR="00A10A90" w:rsidRPr="00A10A90">
        <w:t>fa</w:t>
      </w:r>
      <w:r w:rsidR="001519FC" w:rsidRPr="00A10A90">
        <w:t>rther</w:t>
      </w:r>
      <w:r w:rsidRPr="00A10A90">
        <w:t xml:space="preserve"> views. In general, the objective video quality model based on the average quality of both views has the highest correlation with perceived quality, but the difference between the models is not significant.</w:t>
      </w:r>
      <w:bookmarkStart w:id="4" w:name="_GoBack"/>
      <w:bookmarkEnd w:id="4"/>
    </w:p>
    <w:p w14:paraId="7D68A3C8" w14:textId="712DAF6E" w:rsidR="00CA2510" w:rsidRPr="00A10A90" w:rsidRDefault="00CA2510" w:rsidP="00CA2510">
      <w:r w:rsidRPr="00A10A90">
        <w:t>In</w:t>
      </w:r>
      <w:r w:rsidR="00621EB3" w:rsidRPr="00A10A90">
        <w:t xml:space="preserve"> </w:t>
      </w:r>
      <w:hyperlink w:anchor="M24807" w:history="1">
        <w:r w:rsidR="00621EB3" w:rsidRPr="00A10A90">
          <w:rPr>
            <w:rStyle w:val="Hyperlink"/>
            <w:color w:val="auto"/>
            <w:u w:val="none"/>
            <w:lang w:eastAsia="zh-TW"/>
          </w:rPr>
          <w:t>M24807</w:t>
        </w:r>
      </w:hyperlink>
      <w:r w:rsidRPr="00A10A90">
        <w:t xml:space="preserve">, PSNR, PSNR-HVS, PSNR-HVS-M, WSNR, and VSNR had significantly lower correlation with perceived quality than </w:t>
      </w:r>
      <w:proofErr w:type="spellStart"/>
      <w:r w:rsidRPr="00A10A90">
        <w:t>VIFp</w:t>
      </w:r>
      <w:proofErr w:type="spellEnd"/>
      <w:r w:rsidRPr="00A10A90">
        <w:t>, VQM, SSIM, and MS-SSIM when using the synthesized view. Two hypotheses were raised to explain our observations:</w:t>
      </w:r>
    </w:p>
    <w:p w14:paraId="326027EB" w14:textId="77777777" w:rsidR="00CA2510" w:rsidRPr="00A10A90" w:rsidRDefault="00CA2510" w:rsidP="00B761C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lang w:val="en-US"/>
        </w:rPr>
      </w:pPr>
      <w:r w:rsidRPr="00A10A90">
        <w:rPr>
          <w:rFonts w:ascii="Times New Roman" w:hAnsi="Times New Roman"/>
          <w:lang w:val="en-US"/>
        </w:rPr>
        <w:t>In terms of perceived quality, the higher quality of the decoded view, which does not contain view synthesis artifacts, tends to mask the lower quality of the synthesized view</w:t>
      </w:r>
    </w:p>
    <w:p w14:paraId="2DE82A61" w14:textId="77777777" w:rsidR="00CA2510" w:rsidRPr="00A10A90" w:rsidRDefault="00CA2510" w:rsidP="00B761C3">
      <w:pPr>
        <w:pStyle w:val="ListParagraph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="Times New Roman" w:hAnsi="Times New Roman"/>
          <w:lang w:val="en-US"/>
        </w:rPr>
      </w:pPr>
      <w:r w:rsidRPr="00A10A90">
        <w:rPr>
          <w:rFonts w:ascii="Times New Roman" w:hAnsi="Times New Roman"/>
          <w:lang w:val="en-US"/>
        </w:rPr>
        <w:t>Most of the considered objective metrics do not predict well perceived quality of synthesized views</w:t>
      </w:r>
    </w:p>
    <w:p w14:paraId="3EAE9412" w14:textId="7754A31E" w:rsidR="00CA2510" w:rsidRPr="00A10A90" w:rsidRDefault="00E76ACF" w:rsidP="00CA2510">
      <w:r w:rsidRPr="00A10A90">
        <w:t xml:space="preserve">In this </w:t>
      </w:r>
      <w:r w:rsidR="006107BA" w:rsidRPr="00A10A90">
        <w:t>contribution</w:t>
      </w:r>
      <w:r w:rsidRPr="00A10A90">
        <w:t xml:space="preserve">, a lower performance is </w:t>
      </w:r>
      <w:r w:rsidR="0058305D" w:rsidRPr="00A10A90">
        <w:t xml:space="preserve">reported </w:t>
      </w:r>
      <w:r w:rsidRPr="00A10A90">
        <w:t xml:space="preserve">for </w:t>
      </w:r>
      <w:r w:rsidR="00CA2510" w:rsidRPr="00A10A90">
        <w:t xml:space="preserve">PSNR, PSNR-HVS, PSNR-HVS-M, WSNR, and VSNR, than </w:t>
      </w:r>
      <w:r w:rsidRPr="00A10A90">
        <w:t xml:space="preserve">for </w:t>
      </w:r>
      <w:proofErr w:type="spellStart"/>
      <w:r w:rsidR="00CA2510" w:rsidRPr="00A10A90">
        <w:t>VIFp</w:t>
      </w:r>
      <w:proofErr w:type="spellEnd"/>
      <w:r w:rsidR="00CA2510" w:rsidRPr="00A10A90">
        <w:t xml:space="preserve">, VQM, SSIM, and MS-SSIM, especially for the random stereo pair. In this case, PSNR (PCC=0.7122, SCC=0.7415) has a significantly lower correlation with perceived quality than </w:t>
      </w:r>
      <w:proofErr w:type="spellStart"/>
      <w:r w:rsidR="00CA2510" w:rsidRPr="00A10A90">
        <w:t>VIFp</w:t>
      </w:r>
      <w:proofErr w:type="spellEnd"/>
      <w:r w:rsidR="00CA2510" w:rsidRPr="00A10A90">
        <w:t xml:space="preserve"> (PCC=0.9434, SCC=0.9511). Similar results are obtained for the fixed stereo pair.</w:t>
      </w:r>
    </w:p>
    <w:p w14:paraId="3F879AA6" w14:textId="3D58AC9F" w:rsidR="009D0AA2" w:rsidRPr="00A10A90" w:rsidRDefault="009D0AA2" w:rsidP="00CA2510">
      <w:r w:rsidRPr="00A10A90">
        <w:t xml:space="preserve">The above-mentioned </w:t>
      </w:r>
      <w:r w:rsidR="00B07216" w:rsidRPr="00A10A90">
        <w:t>hypotheses were</w:t>
      </w:r>
      <w:r w:rsidR="00CA2510" w:rsidRPr="00A10A90">
        <w:t xml:space="preserve"> raised </w:t>
      </w:r>
      <w:r w:rsidR="00B07216" w:rsidRPr="00A10A90">
        <w:t xml:space="preserve">in </w:t>
      </w:r>
      <w:hyperlink w:anchor="M24807" w:history="1">
        <w:r w:rsidR="00B07216" w:rsidRPr="00A10A90">
          <w:rPr>
            <w:rStyle w:val="Hyperlink"/>
            <w:color w:val="auto"/>
            <w:u w:val="none"/>
          </w:rPr>
          <w:t>M24807</w:t>
        </w:r>
      </w:hyperlink>
      <w:r w:rsidR="00B07216" w:rsidRPr="00A10A90">
        <w:t xml:space="preserve"> </w:t>
      </w:r>
      <w:r w:rsidR="00CA2510" w:rsidRPr="00A10A90">
        <w:t xml:space="preserve">because, for some metrics, the model based on the quality of the decoded view had a significantly higher correlation with perceived quality than the model based on the quality of the synthesized view. </w:t>
      </w:r>
      <w:r w:rsidRPr="00A10A90">
        <w:t>Based on the results reported in this contribution, it is suggested to reject hypothesis a) and accept hypothesis b). This conclusion</w:t>
      </w:r>
      <w:r w:rsidR="008C6A02" w:rsidRPr="00A10A90">
        <w:t xml:space="preserve"> is in line with the results fro</w:t>
      </w:r>
      <w:r w:rsidRPr="00A10A90">
        <w:t>m (</w:t>
      </w:r>
      <w:hyperlink w:anchor="Bosc2011" w:history="1">
        <w:proofErr w:type="spellStart"/>
        <w:r w:rsidRPr="00A10A90">
          <w:rPr>
            <w:rStyle w:val="Hyperlink"/>
            <w:color w:val="auto"/>
            <w:u w:val="none"/>
          </w:rPr>
          <w:t>Bosc</w:t>
        </w:r>
        <w:proofErr w:type="spellEnd"/>
        <w:r w:rsidRPr="00A10A90">
          <w:rPr>
            <w:rStyle w:val="Hyperlink"/>
            <w:color w:val="auto"/>
            <w:u w:val="none"/>
          </w:rPr>
          <w:t xml:space="preserve"> </w:t>
        </w:r>
        <w:r w:rsidRPr="00A10A90">
          <w:rPr>
            <w:rStyle w:val="Hyperlink"/>
            <w:i/>
            <w:color w:val="auto"/>
            <w:u w:val="none"/>
          </w:rPr>
          <w:t>et al.</w:t>
        </w:r>
        <w:r w:rsidRPr="00A10A90">
          <w:rPr>
            <w:rStyle w:val="Hyperlink"/>
            <w:color w:val="auto"/>
            <w:u w:val="none"/>
          </w:rPr>
          <w:t>, 2011</w:t>
        </w:r>
      </w:hyperlink>
      <w:r w:rsidRPr="00A10A90">
        <w:t>).</w:t>
      </w:r>
    </w:p>
    <w:p w14:paraId="04E7FB98" w14:textId="77777777" w:rsidR="0081016C" w:rsidRPr="00A10A90" w:rsidRDefault="0081016C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MS Mincho"/>
          <w:b/>
          <w:sz w:val="24"/>
          <w:szCs w:val="24"/>
          <w:lang w:eastAsia="de-DE"/>
        </w:rPr>
      </w:pPr>
      <w:bookmarkStart w:id="5" w:name="_Ref189653789"/>
      <w:r w:rsidRPr="00A10A90">
        <w:br w:type="page"/>
      </w:r>
    </w:p>
    <w:p w14:paraId="3D352744" w14:textId="7992843C" w:rsidR="00CA2510" w:rsidRPr="00A10A90" w:rsidRDefault="00CA2510" w:rsidP="00CA2510">
      <w:pPr>
        <w:pStyle w:val="Caption"/>
      </w:pPr>
      <w:r w:rsidRPr="00A10A90">
        <w:lastRenderedPageBreak/>
        <w:t>Table </w:t>
      </w:r>
      <w:fldSimple w:instr=" SEQ Table \* ARABIC ">
        <w:r w:rsidRPr="00A10A90">
          <w:t>2</w:t>
        </w:r>
      </w:fldSimple>
      <w:bookmarkEnd w:id="5"/>
      <w:r w:rsidRPr="00A10A90">
        <w:t>: 3-view configuration, fixed stereo pair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CA2510" w:rsidRPr="00A10A90" w14:paraId="0A5E7F87" w14:textId="77777777" w:rsidTr="00CA2510">
        <w:trPr>
          <w:jc w:val="center"/>
        </w:trPr>
        <w:tc>
          <w:tcPr>
            <w:tcW w:w="142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B3024C2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2808" w:type="dxa"/>
            <w:gridSpan w:val="3"/>
            <w:tcBorders>
              <w:bottom w:val="single" w:sz="4" w:space="0" w:color="auto"/>
            </w:tcBorders>
            <w:vAlign w:val="center"/>
          </w:tcPr>
          <w:p w14:paraId="40FF042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Pearson linear correlation coefficient (PCC)</w:t>
            </w:r>
          </w:p>
        </w:tc>
        <w:tc>
          <w:tcPr>
            <w:tcW w:w="2808" w:type="dxa"/>
            <w:gridSpan w:val="3"/>
            <w:tcBorders>
              <w:bottom w:val="single" w:sz="4" w:space="0" w:color="auto"/>
            </w:tcBorders>
            <w:vAlign w:val="center"/>
          </w:tcPr>
          <w:p w14:paraId="124E8E8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Spearman rank order correlation coefficient (SCC)</w:t>
            </w:r>
          </w:p>
        </w:tc>
        <w:tc>
          <w:tcPr>
            <w:tcW w:w="280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DB1E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Root-mean-square error (RMSE)</w:t>
            </w:r>
          </w:p>
        </w:tc>
      </w:tr>
      <w:tr w:rsidR="00CA2510" w:rsidRPr="00A10A90" w14:paraId="68EFBA8E" w14:textId="77777777" w:rsidTr="00CA2510">
        <w:trPr>
          <w:jc w:val="center"/>
        </w:trPr>
        <w:tc>
          <w:tcPr>
            <w:tcW w:w="1428" w:type="dxa"/>
            <w:tcBorders>
              <w:top w:val="nil"/>
              <w:left w:val="nil"/>
            </w:tcBorders>
            <w:shd w:val="clear" w:color="auto" w:fill="auto"/>
          </w:tcPr>
          <w:p w14:paraId="664F0FA5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0218103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Left</w:t>
            </w:r>
            <w:r w:rsidRPr="00A10A90">
              <w:rPr>
                <w:sz w:val="20"/>
              </w:rPr>
              <w:br/>
              <w:t>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7033280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Right</w:t>
            </w:r>
            <w:r w:rsidRPr="00A10A90">
              <w:rPr>
                <w:sz w:val="20"/>
              </w:rPr>
              <w:br/>
              <w:t>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7593A62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Average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3C592E0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Left</w:t>
            </w:r>
            <w:r w:rsidRPr="00A10A90">
              <w:rPr>
                <w:sz w:val="20"/>
              </w:rPr>
              <w:br/>
              <w:t>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4448C8D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Right</w:t>
            </w:r>
            <w:r w:rsidRPr="00A10A90">
              <w:rPr>
                <w:sz w:val="20"/>
              </w:rPr>
              <w:br/>
              <w:t>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374DE6A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Average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975D6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Left</w:t>
            </w:r>
            <w:r w:rsidRPr="00A10A90">
              <w:rPr>
                <w:sz w:val="20"/>
              </w:rPr>
              <w:br/>
              <w:t>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6269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Right</w:t>
            </w:r>
            <w:r w:rsidRPr="00A10A90">
              <w:rPr>
                <w:sz w:val="20"/>
              </w:rPr>
              <w:br/>
              <w:t>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3F66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Average</w:t>
            </w:r>
          </w:p>
        </w:tc>
      </w:tr>
      <w:tr w:rsidR="00CA2510" w:rsidRPr="00A10A90" w14:paraId="22037483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4FD4D930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PSNR</w:t>
            </w:r>
          </w:p>
        </w:tc>
        <w:tc>
          <w:tcPr>
            <w:tcW w:w="936" w:type="dxa"/>
            <w:tcBorders>
              <w:bottom w:val="nil"/>
            </w:tcBorders>
          </w:tcPr>
          <w:p w14:paraId="339CED17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0.7891</w:t>
            </w:r>
          </w:p>
        </w:tc>
        <w:tc>
          <w:tcPr>
            <w:tcW w:w="936" w:type="dxa"/>
            <w:tcBorders>
              <w:bottom w:val="nil"/>
            </w:tcBorders>
          </w:tcPr>
          <w:p w14:paraId="26405F5A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0.8084</w:t>
            </w:r>
          </w:p>
        </w:tc>
        <w:tc>
          <w:tcPr>
            <w:tcW w:w="936" w:type="dxa"/>
            <w:tcBorders>
              <w:bottom w:val="nil"/>
            </w:tcBorders>
          </w:tcPr>
          <w:p w14:paraId="0E96CAED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0.8086</w:t>
            </w:r>
          </w:p>
        </w:tc>
        <w:tc>
          <w:tcPr>
            <w:tcW w:w="936" w:type="dxa"/>
            <w:tcBorders>
              <w:bottom w:val="nil"/>
            </w:tcBorders>
          </w:tcPr>
          <w:p w14:paraId="49F3A7A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0.7957</w:t>
            </w:r>
          </w:p>
        </w:tc>
        <w:tc>
          <w:tcPr>
            <w:tcW w:w="936" w:type="dxa"/>
            <w:tcBorders>
              <w:bottom w:val="nil"/>
            </w:tcBorders>
          </w:tcPr>
          <w:p w14:paraId="2373D5C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0.8095</w:t>
            </w:r>
          </w:p>
        </w:tc>
        <w:tc>
          <w:tcPr>
            <w:tcW w:w="936" w:type="dxa"/>
            <w:tcBorders>
              <w:bottom w:val="nil"/>
            </w:tcBorders>
          </w:tcPr>
          <w:p w14:paraId="2DDC6BBD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0.8096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7C1DF997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1.3581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24FCFE1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1.3053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18AC389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1.3015</w:t>
            </w:r>
          </w:p>
        </w:tc>
      </w:tr>
      <w:tr w:rsidR="00CA2510" w:rsidRPr="00A10A90" w14:paraId="6555D545" w14:textId="77777777" w:rsidTr="00CA2510">
        <w:trPr>
          <w:trHeight w:val="67"/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79998AE5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272741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BDB9A3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2B7713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27E3667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EF9B97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D4D4FA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F61E8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1FCE40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C3A32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</w:tr>
      <w:tr w:rsidR="00CA2510" w:rsidRPr="00A10A90" w14:paraId="03355740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28E39F52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SSIM</w:t>
            </w:r>
          </w:p>
        </w:tc>
        <w:tc>
          <w:tcPr>
            <w:tcW w:w="936" w:type="dxa"/>
            <w:tcBorders>
              <w:bottom w:val="nil"/>
            </w:tcBorders>
          </w:tcPr>
          <w:p w14:paraId="3F63CBCE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0.9189</w:t>
            </w:r>
          </w:p>
        </w:tc>
        <w:tc>
          <w:tcPr>
            <w:tcW w:w="936" w:type="dxa"/>
            <w:tcBorders>
              <w:bottom w:val="nil"/>
            </w:tcBorders>
          </w:tcPr>
          <w:p w14:paraId="728E6E7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0.9205</w:t>
            </w:r>
          </w:p>
        </w:tc>
        <w:tc>
          <w:tcPr>
            <w:tcW w:w="936" w:type="dxa"/>
            <w:tcBorders>
              <w:bottom w:val="nil"/>
            </w:tcBorders>
          </w:tcPr>
          <w:p w14:paraId="5D30696D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0.9215</w:t>
            </w:r>
          </w:p>
        </w:tc>
        <w:tc>
          <w:tcPr>
            <w:tcW w:w="936" w:type="dxa"/>
            <w:tcBorders>
              <w:bottom w:val="nil"/>
            </w:tcBorders>
          </w:tcPr>
          <w:p w14:paraId="25495C3B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0.9295</w:t>
            </w:r>
          </w:p>
        </w:tc>
        <w:tc>
          <w:tcPr>
            <w:tcW w:w="936" w:type="dxa"/>
            <w:tcBorders>
              <w:bottom w:val="nil"/>
            </w:tcBorders>
          </w:tcPr>
          <w:p w14:paraId="0A6410EA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0.9311</w:t>
            </w:r>
          </w:p>
        </w:tc>
        <w:tc>
          <w:tcPr>
            <w:tcW w:w="936" w:type="dxa"/>
            <w:tcBorders>
              <w:bottom w:val="nil"/>
            </w:tcBorders>
          </w:tcPr>
          <w:p w14:paraId="3BE98D71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0.9324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9E3F6E1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0.8857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982CC8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0.8769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79EC8EF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0.8721</w:t>
            </w:r>
          </w:p>
        </w:tc>
      </w:tr>
      <w:tr w:rsidR="00CA2510" w:rsidRPr="00A10A90" w14:paraId="5D859876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3060EAAC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11799B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170A1B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8F82DE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4063457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D12A84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FCE67E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743CD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4FDC7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CA074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</w:tr>
      <w:tr w:rsidR="00CA2510" w:rsidRPr="00A10A90" w14:paraId="59D16043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6936E21F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MS-SSIM</w:t>
            </w:r>
          </w:p>
        </w:tc>
        <w:tc>
          <w:tcPr>
            <w:tcW w:w="936" w:type="dxa"/>
            <w:tcBorders>
              <w:bottom w:val="nil"/>
            </w:tcBorders>
          </w:tcPr>
          <w:p w14:paraId="798DB7BE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0.9074</w:t>
            </w:r>
          </w:p>
        </w:tc>
        <w:tc>
          <w:tcPr>
            <w:tcW w:w="936" w:type="dxa"/>
            <w:tcBorders>
              <w:bottom w:val="nil"/>
            </w:tcBorders>
          </w:tcPr>
          <w:p w14:paraId="4CCEF73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0.9046</w:t>
            </w:r>
          </w:p>
        </w:tc>
        <w:tc>
          <w:tcPr>
            <w:tcW w:w="936" w:type="dxa"/>
            <w:tcBorders>
              <w:bottom w:val="nil"/>
            </w:tcBorders>
          </w:tcPr>
          <w:p w14:paraId="3AEF21A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0.9073</w:t>
            </w:r>
          </w:p>
        </w:tc>
        <w:tc>
          <w:tcPr>
            <w:tcW w:w="936" w:type="dxa"/>
            <w:tcBorders>
              <w:bottom w:val="nil"/>
            </w:tcBorders>
          </w:tcPr>
          <w:p w14:paraId="02EA8BEA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0.9374</w:t>
            </w:r>
          </w:p>
        </w:tc>
        <w:tc>
          <w:tcPr>
            <w:tcW w:w="936" w:type="dxa"/>
            <w:tcBorders>
              <w:bottom w:val="nil"/>
            </w:tcBorders>
          </w:tcPr>
          <w:p w14:paraId="7B0642BB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0.9359</w:t>
            </w:r>
          </w:p>
        </w:tc>
        <w:tc>
          <w:tcPr>
            <w:tcW w:w="936" w:type="dxa"/>
            <w:tcBorders>
              <w:bottom w:val="nil"/>
            </w:tcBorders>
          </w:tcPr>
          <w:p w14:paraId="3A3AFF04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0.9388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456096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0.9429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73B3A32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0.9574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D87479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0.9449</w:t>
            </w:r>
          </w:p>
        </w:tc>
      </w:tr>
      <w:tr w:rsidR="00CA2510" w:rsidRPr="00A10A90" w14:paraId="114BDA9B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5066DB55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4F9226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34AA5B3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679CF2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A0CEF47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D441DA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9338077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D4306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5254E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8F3E0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</w:tr>
      <w:tr w:rsidR="00CA2510" w:rsidRPr="00A10A90" w14:paraId="5D1A3C87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260E1F09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VSNR</w:t>
            </w:r>
          </w:p>
        </w:tc>
        <w:tc>
          <w:tcPr>
            <w:tcW w:w="936" w:type="dxa"/>
            <w:tcBorders>
              <w:bottom w:val="nil"/>
            </w:tcBorders>
          </w:tcPr>
          <w:p w14:paraId="06C974F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0.9050</w:t>
            </w:r>
          </w:p>
        </w:tc>
        <w:tc>
          <w:tcPr>
            <w:tcW w:w="936" w:type="dxa"/>
            <w:tcBorders>
              <w:bottom w:val="nil"/>
            </w:tcBorders>
          </w:tcPr>
          <w:p w14:paraId="7999C3C8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0.9281</w:t>
            </w:r>
          </w:p>
        </w:tc>
        <w:tc>
          <w:tcPr>
            <w:tcW w:w="936" w:type="dxa"/>
            <w:tcBorders>
              <w:bottom w:val="nil"/>
            </w:tcBorders>
          </w:tcPr>
          <w:p w14:paraId="1AF8C08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0.9267</w:t>
            </w:r>
          </w:p>
        </w:tc>
        <w:tc>
          <w:tcPr>
            <w:tcW w:w="936" w:type="dxa"/>
            <w:tcBorders>
              <w:bottom w:val="nil"/>
            </w:tcBorders>
          </w:tcPr>
          <w:p w14:paraId="53FDB74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0.9168</w:t>
            </w:r>
          </w:p>
        </w:tc>
        <w:tc>
          <w:tcPr>
            <w:tcW w:w="936" w:type="dxa"/>
            <w:tcBorders>
              <w:bottom w:val="nil"/>
            </w:tcBorders>
          </w:tcPr>
          <w:p w14:paraId="476C20C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0.9339</w:t>
            </w:r>
          </w:p>
        </w:tc>
        <w:tc>
          <w:tcPr>
            <w:tcW w:w="936" w:type="dxa"/>
            <w:tcBorders>
              <w:bottom w:val="nil"/>
            </w:tcBorders>
          </w:tcPr>
          <w:p w14:paraId="1A31C51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0.9324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263AF1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0.9313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5400E98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0.8274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57CBAE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0.8399</w:t>
            </w:r>
          </w:p>
        </w:tc>
      </w:tr>
      <w:tr w:rsidR="00CA2510" w:rsidRPr="00A10A90" w14:paraId="43CABA8B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5290EB5F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CA27DA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0BBE10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2B40C6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304C9CD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62AB52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F73B3F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4CAEF2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468E4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CC259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</w:tr>
      <w:tr w:rsidR="00CA2510" w:rsidRPr="00A10A90" w14:paraId="029199F4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5363322C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proofErr w:type="spellStart"/>
            <w:r w:rsidRPr="00A10A90">
              <w:rPr>
                <w:sz w:val="20"/>
              </w:rPr>
              <w:t>VIFp</w:t>
            </w:r>
            <w:proofErr w:type="spellEnd"/>
          </w:p>
        </w:tc>
        <w:tc>
          <w:tcPr>
            <w:tcW w:w="936" w:type="dxa"/>
            <w:tcBorders>
              <w:bottom w:val="nil"/>
            </w:tcBorders>
          </w:tcPr>
          <w:p w14:paraId="1F88AD5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0.9214</w:t>
            </w:r>
          </w:p>
        </w:tc>
        <w:tc>
          <w:tcPr>
            <w:tcW w:w="936" w:type="dxa"/>
            <w:tcBorders>
              <w:bottom w:val="nil"/>
            </w:tcBorders>
          </w:tcPr>
          <w:p w14:paraId="596F6110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0.9241</w:t>
            </w:r>
          </w:p>
        </w:tc>
        <w:tc>
          <w:tcPr>
            <w:tcW w:w="936" w:type="dxa"/>
            <w:tcBorders>
              <w:bottom w:val="nil"/>
            </w:tcBorders>
          </w:tcPr>
          <w:p w14:paraId="20EB76F6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0.9245</w:t>
            </w:r>
          </w:p>
        </w:tc>
        <w:tc>
          <w:tcPr>
            <w:tcW w:w="936" w:type="dxa"/>
            <w:tcBorders>
              <w:bottom w:val="nil"/>
            </w:tcBorders>
          </w:tcPr>
          <w:p w14:paraId="043F6E2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0.9366</w:t>
            </w:r>
          </w:p>
        </w:tc>
        <w:tc>
          <w:tcPr>
            <w:tcW w:w="936" w:type="dxa"/>
            <w:tcBorders>
              <w:bottom w:val="nil"/>
            </w:tcBorders>
          </w:tcPr>
          <w:p w14:paraId="1072474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0.9362</w:t>
            </w:r>
          </w:p>
        </w:tc>
        <w:tc>
          <w:tcPr>
            <w:tcW w:w="936" w:type="dxa"/>
            <w:tcBorders>
              <w:bottom w:val="nil"/>
            </w:tcBorders>
          </w:tcPr>
          <w:p w14:paraId="0B26537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0.9382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585C53FE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0.8563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690F22B8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0.8376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4B3D8D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0.8377</w:t>
            </w:r>
          </w:p>
        </w:tc>
      </w:tr>
      <w:tr w:rsidR="00CA2510" w:rsidRPr="00A10A90" w14:paraId="45AE299F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26CBD8D2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549A61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5759AD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BC320A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7C9412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ED5206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148E1E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40FA76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95C24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4B0FE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</w:tr>
      <w:tr w:rsidR="00CA2510" w:rsidRPr="00A10A90" w14:paraId="7295A8C1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457F99A5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WSNR</w:t>
            </w:r>
          </w:p>
        </w:tc>
        <w:tc>
          <w:tcPr>
            <w:tcW w:w="936" w:type="dxa"/>
            <w:tcBorders>
              <w:bottom w:val="nil"/>
            </w:tcBorders>
          </w:tcPr>
          <w:p w14:paraId="4B362376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0.8373</w:t>
            </w:r>
          </w:p>
        </w:tc>
        <w:tc>
          <w:tcPr>
            <w:tcW w:w="936" w:type="dxa"/>
            <w:tcBorders>
              <w:bottom w:val="nil"/>
            </w:tcBorders>
          </w:tcPr>
          <w:p w14:paraId="76FB3B82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0.8587</w:t>
            </w:r>
          </w:p>
        </w:tc>
        <w:tc>
          <w:tcPr>
            <w:tcW w:w="936" w:type="dxa"/>
            <w:tcBorders>
              <w:bottom w:val="nil"/>
            </w:tcBorders>
          </w:tcPr>
          <w:p w14:paraId="1F26DBA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0.8586</w:t>
            </w:r>
          </w:p>
        </w:tc>
        <w:tc>
          <w:tcPr>
            <w:tcW w:w="936" w:type="dxa"/>
            <w:tcBorders>
              <w:bottom w:val="nil"/>
            </w:tcBorders>
          </w:tcPr>
          <w:p w14:paraId="30C6094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0.8386</w:t>
            </w:r>
          </w:p>
        </w:tc>
        <w:tc>
          <w:tcPr>
            <w:tcW w:w="936" w:type="dxa"/>
            <w:tcBorders>
              <w:bottom w:val="nil"/>
            </w:tcBorders>
          </w:tcPr>
          <w:p w14:paraId="385E1686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0.8526</w:t>
            </w:r>
          </w:p>
        </w:tc>
        <w:tc>
          <w:tcPr>
            <w:tcW w:w="936" w:type="dxa"/>
            <w:tcBorders>
              <w:bottom w:val="nil"/>
            </w:tcBorders>
          </w:tcPr>
          <w:p w14:paraId="0C92DB97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0.8536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78FED936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1.2087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63DFF702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1.1310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2213F47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1.1318</w:t>
            </w:r>
          </w:p>
        </w:tc>
      </w:tr>
      <w:tr w:rsidR="00CA2510" w:rsidRPr="00A10A90" w14:paraId="1FE0D326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7277F12A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E6BDE9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B47AE0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7EB6A8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D61A04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54F376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B0C983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D38929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5C29E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BF8F1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</w:tr>
      <w:tr w:rsidR="00CA2510" w:rsidRPr="00A10A90" w14:paraId="037E0015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0F112D54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PSNR-HVS</w:t>
            </w:r>
          </w:p>
        </w:tc>
        <w:tc>
          <w:tcPr>
            <w:tcW w:w="936" w:type="dxa"/>
            <w:tcBorders>
              <w:bottom w:val="nil"/>
            </w:tcBorders>
          </w:tcPr>
          <w:p w14:paraId="21049EC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0.7995</w:t>
            </w:r>
          </w:p>
        </w:tc>
        <w:tc>
          <w:tcPr>
            <w:tcW w:w="936" w:type="dxa"/>
            <w:tcBorders>
              <w:bottom w:val="nil"/>
            </w:tcBorders>
          </w:tcPr>
          <w:p w14:paraId="494CC330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0.8190</w:t>
            </w:r>
          </w:p>
        </w:tc>
        <w:tc>
          <w:tcPr>
            <w:tcW w:w="936" w:type="dxa"/>
            <w:tcBorders>
              <w:bottom w:val="nil"/>
            </w:tcBorders>
          </w:tcPr>
          <w:p w14:paraId="20E8E26E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0.8190</w:t>
            </w:r>
          </w:p>
        </w:tc>
        <w:tc>
          <w:tcPr>
            <w:tcW w:w="936" w:type="dxa"/>
            <w:tcBorders>
              <w:bottom w:val="nil"/>
            </w:tcBorders>
          </w:tcPr>
          <w:p w14:paraId="21434F3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0.8038</w:t>
            </w:r>
          </w:p>
        </w:tc>
        <w:tc>
          <w:tcPr>
            <w:tcW w:w="936" w:type="dxa"/>
            <w:tcBorders>
              <w:bottom w:val="nil"/>
            </w:tcBorders>
          </w:tcPr>
          <w:p w14:paraId="2E427567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0.8167</w:t>
            </w:r>
          </w:p>
        </w:tc>
        <w:tc>
          <w:tcPr>
            <w:tcW w:w="936" w:type="dxa"/>
            <w:tcBorders>
              <w:bottom w:val="nil"/>
            </w:tcBorders>
          </w:tcPr>
          <w:p w14:paraId="469EBF64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0.8179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53214A66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1.3304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3F301A8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1.2746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3377517D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1.2725</w:t>
            </w:r>
          </w:p>
        </w:tc>
      </w:tr>
      <w:tr w:rsidR="00CA2510" w:rsidRPr="00A10A90" w14:paraId="061E7067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13D5C6AD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B33924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48030F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4E37F3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369575F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EDB7C0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53185E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EA268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D5442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A3E1E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</w:tr>
      <w:tr w:rsidR="00CA2510" w:rsidRPr="00A10A90" w14:paraId="7EEB694D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58CAE134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PSNR-HVS-M</w:t>
            </w:r>
          </w:p>
        </w:tc>
        <w:tc>
          <w:tcPr>
            <w:tcW w:w="936" w:type="dxa"/>
            <w:tcBorders>
              <w:bottom w:val="nil"/>
            </w:tcBorders>
          </w:tcPr>
          <w:p w14:paraId="7A2E742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0.8016</w:t>
            </w:r>
          </w:p>
        </w:tc>
        <w:tc>
          <w:tcPr>
            <w:tcW w:w="936" w:type="dxa"/>
            <w:tcBorders>
              <w:bottom w:val="nil"/>
            </w:tcBorders>
          </w:tcPr>
          <w:p w14:paraId="632B34CA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0.8208</w:t>
            </w:r>
          </w:p>
        </w:tc>
        <w:tc>
          <w:tcPr>
            <w:tcW w:w="936" w:type="dxa"/>
            <w:tcBorders>
              <w:bottom w:val="nil"/>
            </w:tcBorders>
          </w:tcPr>
          <w:p w14:paraId="0B9518CE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0.8210</w:t>
            </w:r>
          </w:p>
        </w:tc>
        <w:tc>
          <w:tcPr>
            <w:tcW w:w="936" w:type="dxa"/>
            <w:tcBorders>
              <w:bottom w:val="nil"/>
            </w:tcBorders>
          </w:tcPr>
          <w:p w14:paraId="71E54E21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0.8043</w:t>
            </w:r>
          </w:p>
        </w:tc>
        <w:tc>
          <w:tcPr>
            <w:tcW w:w="936" w:type="dxa"/>
            <w:tcBorders>
              <w:bottom w:val="nil"/>
            </w:tcBorders>
          </w:tcPr>
          <w:p w14:paraId="04F34A2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0.8175</w:t>
            </w:r>
          </w:p>
        </w:tc>
        <w:tc>
          <w:tcPr>
            <w:tcW w:w="936" w:type="dxa"/>
            <w:tcBorders>
              <w:bottom w:val="nil"/>
            </w:tcBorders>
          </w:tcPr>
          <w:p w14:paraId="04700E30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0.8187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59DD0960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1.3274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FBD7BB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1.2711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7340257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1.2689</w:t>
            </w:r>
          </w:p>
        </w:tc>
      </w:tr>
      <w:tr w:rsidR="00CA2510" w:rsidRPr="00A10A90" w14:paraId="4C450D96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2833AC08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15B688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AC5D0A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1E310D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F0A682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D4A0AF7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C93701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F3ED07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D0E12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59EF7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</w:tr>
      <w:tr w:rsidR="00CA2510" w:rsidRPr="00A10A90" w14:paraId="69936B1C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10270D69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VQM</w:t>
            </w:r>
          </w:p>
        </w:tc>
        <w:tc>
          <w:tcPr>
            <w:tcW w:w="936" w:type="dxa"/>
            <w:tcBorders>
              <w:bottom w:val="nil"/>
            </w:tcBorders>
          </w:tcPr>
          <w:p w14:paraId="453A276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0.9196</w:t>
            </w:r>
          </w:p>
        </w:tc>
        <w:tc>
          <w:tcPr>
            <w:tcW w:w="936" w:type="dxa"/>
            <w:tcBorders>
              <w:bottom w:val="nil"/>
            </w:tcBorders>
          </w:tcPr>
          <w:p w14:paraId="63072F80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0.9210</w:t>
            </w:r>
          </w:p>
        </w:tc>
        <w:tc>
          <w:tcPr>
            <w:tcW w:w="936" w:type="dxa"/>
            <w:tcBorders>
              <w:bottom w:val="nil"/>
            </w:tcBorders>
          </w:tcPr>
          <w:p w14:paraId="25B63677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0.9208</w:t>
            </w:r>
          </w:p>
        </w:tc>
        <w:tc>
          <w:tcPr>
            <w:tcW w:w="936" w:type="dxa"/>
            <w:tcBorders>
              <w:bottom w:val="nil"/>
            </w:tcBorders>
          </w:tcPr>
          <w:p w14:paraId="5A543B76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0.9335</w:t>
            </w:r>
          </w:p>
        </w:tc>
        <w:tc>
          <w:tcPr>
            <w:tcW w:w="936" w:type="dxa"/>
            <w:tcBorders>
              <w:bottom w:val="nil"/>
            </w:tcBorders>
          </w:tcPr>
          <w:p w14:paraId="6C79FB9A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0.9318</w:t>
            </w:r>
          </w:p>
        </w:tc>
        <w:tc>
          <w:tcPr>
            <w:tcW w:w="936" w:type="dxa"/>
            <w:tcBorders>
              <w:bottom w:val="nil"/>
            </w:tcBorders>
          </w:tcPr>
          <w:p w14:paraId="1EB625B4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0.9337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CD12D7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0.8613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FC9846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0.8528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0E9EF7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0.8542</w:t>
            </w:r>
          </w:p>
        </w:tc>
      </w:tr>
      <w:tr w:rsidR="00CA2510" w:rsidRPr="00A10A90" w14:paraId="646379C7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</w:tcPr>
          <w:p w14:paraId="5780FFB1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</w:tcBorders>
          </w:tcPr>
          <w:p w14:paraId="0ADE001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</w:tcBorders>
          </w:tcPr>
          <w:p w14:paraId="01B5730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</w:tcBorders>
          </w:tcPr>
          <w:p w14:paraId="290BA2A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</w:tcBorders>
          </w:tcPr>
          <w:p w14:paraId="3E6A92F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</w:tcBorders>
          </w:tcPr>
          <w:p w14:paraId="1995F3F7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</w:tcBorders>
          </w:tcPr>
          <w:p w14:paraId="28BD0E7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</w:tcBorders>
            <w:shd w:val="clear" w:color="auto" w:fill="auto"/>
          </w:tcPr>
          <w:p w14:paraId="77E0CCD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</w:tcBorders>
            <w:shd w:val="clear" w:color="auto" w:fill="auto"/>
          </w:tcPr>
          <w:p w14:paraId="062007C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</w:tcBorders>
            <w:shd w:val="clear" w:color="auto" w:fill="auto"/>
          </w:tcPr>
          <w:p w14:paraId="15D696C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</w:tr>
    </w:tbl>
    <w:p w14:paraId="5743C28D" w14:textId="77777777" w:rsidR="00CA2510" w:rsidRPr="00A10A90" w:rsidRDefault="00CA2510" w:rsidP="00CA2510">
      <w:pPr>
        <w:pStyle w:val="Caption"/>
      </w:pPr>
      <w:bookmarkStart w:id="6" w:name="_Ref202876952"/>
      <w:r w:rsidRPr="00A10A90">
        <w:t>Table </w:t>
      </w:r>
      <w:fldSimple w:instr=" SEQ Table \* ARABIC ">
        <w:r w:rsidRPr="00A10A90">
          <w:t>3</w:t>
        </w:r>
      </w:fldSimple>
      <w:bookmarkEnd w:id="6"/>
      <w:r w:rsidRPr="00A10A90">
        <w:t>: 3-view configuration, random stereo pair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CA2510" w:rsidRPr="00A10A90" w14:paraId="1A91A9C2" w14:textId="77777777" w:rsidTr="00CA2510">
        <w:trPr>
          <w:jc w:val="center"/>
        </w:trPr>
        <w:tc>
          <w:tcPr>
            <w:tcW w:w="142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D8B6D58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2808" w:type="dxa"/>
            <w:gridSpan w:val="3"/>
            <w:tcBorders>
              <w:bottom w:val="single" w:sz="4" w:space="0" w:color="auto"/>
            </w:tcBorders>
            <w:vAlign w:val="center"/>
          </w:tcPr>
          <w:p w14:paraId="48EEA5C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Pearson linear correlation coefficient (PCC)</w:t>
            </w:r>
          </w:p>
        </w:tc>
        <w:tc>
          <w:tcPr>
            <w:tcW w:w="2808" w:type="dxa"/>
            <w:gridSpan w:val="3"/>
            <w:tcBorders>
              <w:bottom w:val="single" w:sz="4" w:space="0" w:color="auto"/>
            </w:tcBorders>
            <w:vAlign w:val="center"/>
          </w:tcPr>
          <w:p w14:paraId="065BABB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Spearman rank order correlation coefficient (SCC)</w:t>
            </w:r>
          </w:p>
        </w:tc>
        <w:tc>
          <w:tcPr>
            <w:tcW w:w="280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6C00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Root-mean-square error (RMSE)</w:t>
            </w:r>
          </w:p>
        </w:tc>
      </w:tr>
      <w:tr w:rsidR="001519FC" w:rsidRPr="00A10A90" w14:paraId="1A9190CB" w14:textId="77777777" w:rsidTr="00CA2510">
        <w:trPr>
          <w:jc w:val="center"/>
        </w:trPr>
        <w:tc>
          <w:tcPr>
            <w:tcW w:w="1428" w:type="dxa"/>
            <w:tcBorders>
              <w:top w:val="nil"/>
              <w:left w:val="nil"/>
            </w:tcBorders>
            <w:shd w:val="clear" w:color="auto" w:fill="auto"/>
          </w:tcPr>
          <w:p w14:paraId="612A2974" w14:textId="77777777" w:rsidR="001519FC" w:rsidRPr="00A10A90" w:rsidRDefault="001519FC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298526E7" w14:textId="4D654E82" w:rsidR="001519FC" w:rsidRPr="00A10A90" w:rsidRDefault="001519FC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Closer 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743224A3" w14:textId="03D7397D" w:rsidR="001519FC" w:rsidRPr="00A10A90" w:rsidRDefault="001519FC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Farther 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42B46E50" w14:textId="77777777" w:rsidR="001519FC" w:rsidRPr="00A10A90" w:rsidRDefault="001519FC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Average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1EF8B886" w14:textId="25200C27" w:rsidR="001519FC" w:rsidRPr="00A10A90" w:rsidRDefault="001519FC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Closer 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46CBAEC4" w14:textId="7982DD52" w:rsidR="001519FC" w:rsidRPr="00A10A90" w:rsidRDefault="001519FC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Farther 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0EFC76FD" w14:textId="77777777" w:rsidR="001519FC" w:rsidRPr="00A10A90" w:rsidRDefault="001519FC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Average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D7CF7" w14:textId="7E7835BE" w:rsidR="001519FC" w:rsidRPr="00A10A90" w:rsidRDefault="001519FC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Closer 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FB3EC" w14:textId="381D8F21" w:rsidR="001519FC" w:rsidRPr="00A10A90" w:rsidRDefault="001519FC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Farther view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6344F" w14:textId="77777777" w:rsidR="001519FC" w:rsidRPr="00A10A90" w:rsidRDefault="001519FC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Average</w:t>
            </w:r>
          </w:p>
        </w:tc>
      </w:tr>
      <w:tr w:rsidR="00CA2510" w:rsidRPr="00A10A90" w14:paraId="2BF0876F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5D6C8A45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PSNR</w:t>
            </w:r>
          </w:p>
        </w:tc>
        <w:tc>
          <w:tcPr>
            <w:tcW w:w="936" w:type="dxa"/>
            <w:tcBorders>
              <w:bottom w:val="nil"/>
            </w:tcBorders>
          </w:tcPr>
          <w:p w14:paraId="280160B2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0.7077</w:t>
            </w:r>
          </w:p>
        </w:tc>
        <w:tc>
          <w:tcPr>
            <w:tcW w:w="936" w:type="dxa"/>
            <w:tcBorders>
              <w:bottom w:val="nil"/>
            </w:tcBorders>
          </w:tcPr>
          <w:p w14:paraId="57E74828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0.7082</w:t>
            </w:r>
          </w:p>
        </w:tc>
        <w:tc>
          <w:tcPr>
            <w:tcW w:w="936" w:type="dxa"/>
            <w:tcBorders>
              <w:bottom w:val="nil"/>
            </w:tcBorders>
          </w:tcPr>
          <w:p w14:paraId="5EC808E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0.7122</w:t>
            </w:r>
          </w:p>
        </w:tc>
        <w:tc>
          <w:tcPr>
            <w:tcW w:w="936" w:type="dxa"/>
            <w:tcBorders>
              <w:bottom w:val="nil"/>
            </w:tcBorders>
          </w:tcPr>
          <w:p w14:paraId="3B0ABF71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0.7390</w:t>
            </w:r>
          </w:p>
        </w:tc>
        <w:tc>
          <w:tcPr>
            <w:tcW w:w="936" w:type="dxa"/>
            <w:tcBorders>
              <w:bottom w:val="nil"/>
            </w:tcBorders>
          </w:tcPr>
          <w:p w14:paraId="265F2200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0.7400</w:t>
            </w:r>
          </w:p>
        </w:tc>
        <w:tc>
          <w:tcPr>
            <w:tcW w:w="936" w:type="dxa"/>
            <w:tcBorders>
              <w:bottom w:val="nil"/>
            </w:tcBorders>
          </w:tcPr>
          <w:p w14:paraId="2AA82C9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0.7415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10C2BD5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1.5903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19E5DC4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1.6041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2240D322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1.5880</w:t>
            </w:r>
          </w:p>
        </w:tc>
      </w:tr>
      <w:tr w:rsidR="00CA2510" w:rsidRPr="00A10A90" w14:paraId="321FB9B3" w14:textId="77777777" w:rsidTr="00CA2510">
        <w:trPr>
          <w:trHeight w:val="67"/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45887D1F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034F94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B4B418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11CB44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53BD28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308E96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7EFD21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65C825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02363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E62B8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9</w:t>
            </w:r>
          </w:p>
        </w:tc>
      </w:tr>
      <w:tr w:rsidR="00CA2510" w:rsidRPr="00A10A90" w14:paraId="018E1AA9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0623C699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SSIM</w:t>
            </w:r>
          </w:p>
        </w:tc>
        <w:tc>
          <w:tcPr>
            <w:tcW w:w="936" w:type="dxa"/>
            <w:tcBorders>
              <w:bottom w:val="nil"/>
            </w:tcBorders>
          </w:tcPr>
          <w:p w14:paraId="25868266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0.9307</w:t>
            </w:r>
          </w:p>
        </w:tc>
        <w:tc>
          <w:tcPr>
            <w:tcW w:w="936" w:type="dxa"/>
            <w:tcBorders>
              <w:bottom w:val="nil"/>
            </w:tcBorders>
          </w:tcPr>
          <w:p w14:paraId="344539FA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0.9404</w:t>
            </w:r>
          </w:p>
        </w:tc>
        <w:tc>
          <w:tcPr>
            <w:tcW w:w="936" w:type="dxa"/>
            <w:tcBorders>
              <w:bottom w:val="nil"/>
            </w:tcBorders>
          </w:tcPr>
          <w:p w14:paraId="5ECE0B21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0.9384</w:t>
            </w:r>
          </w:p>
        </w:tc>
        <w:tc>
          <w:tcPr>
            <w:tcW w:w="936" w:type="dxa"/>
            <w:tcBorders>
              <w:bottom w:val="nil"/>
            </w:tcBorders>
          </w:tcPr>
          <w:p w14:paraId="218DCCA1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0.9338</w:t>
            </w:r>
          </w:p>
        </w:tc>
        <w:tc>
          <w:tcPr>
            <w:tcW w:w="936" w:type="dxa"/>
            <w:tcBorders>
              <w:bottom w:val="nil"/>
            </w:tcBorders>
          </w:tcPr>
          <w:p w14:paraId="57EFF59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0.9452</w:t>
            </w:r>
          </w:p>
        </w:tc>
        <w:tc>
          <w:tcPr>
            <w:tcW w:w="936" w:type="dxa"/>
            <w:tcBorders>
              <w:bottom w:val="nil"/>
            </w:tcBorders>
          </w:tcPr>
          <w:p w14:paraId="2BAD3EB4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0.9427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304B569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0.8452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554662A2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0.7949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842B107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0.8056</w:t>
            </w:r>
          </w:p>
        </w:tc>
      </w:tr>
      <w:tr w:rsidR="00CA2510" w:rsidRPr="00A10A90" w14:paraId="754404D8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43A172F3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3C3BEE7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77F751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FBADC2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E9C88E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63BE8D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361714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C43888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D9BE3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634B1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</w:tr>
      <w:tr w:rsidR="00CA2510" w:rsidRPr="00A10A90" w14:paraId="28B5C96B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4D7AD6B7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MS-SSIM</w:t>
            </w:r>
          </w:p>
        </w:tc>
        <w:tc>
          <w:tcPr>
            <w:tcW w:w="936" w:type="dxa"/>
            <w:tcBorders>
              <w:bottom w:val="nil"/>
            </w:tcBorders>
          </w:tcPr>
          <w:p w14:paraId="7C8C1B3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0.9092</w:t>
            </w:r>
          </w:p>
        </w:tc>
        <w:tc>
          <w:tcPr>
            <w:tcW w:w="936" w:type="dxa"/>
            <w:tcBorders>
              <w:bottom w:val="nil"/>
            </w:tcBorders>
          </w:tcPr>
          <w:p w14:paraId="25FE27E4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0.9050</w:t>
            </w:r>
          </w:p>
        </w:tc>
        <w:tc>
          <w:tcPr>
            <w:tcW w:w="936" w:type="dxa"/>
            <w:tcBorders>
              <w:bottom w:val="nil"/>
            </w:tcBorders>
          </w:tcPr>
          <w:p w14:paraId="224D0DCD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0.9099</w:t>
            </w:r>
          </w:p>
        </w:tc>
        <w:tc>
          <w:tcPr>
            <w:tcW w:w="936" w:type="dxa"/>
            <w:tcBorders>
              <w:bottom w:val="nil"/>
            </w:tcBorders>
          </w:tcPr>
          <w:p w14:paraId="01173F41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0.9338</w:t>
            </w:r>
          </w:p>
        </w:tc>
        <w:tc>
          <w:tcPr>
            <w:tcW w:w="936" w:type="dxa"/>
            <w:tcBorders>
              <w:bottom w:val="nil"/>
            </w:tcBorders>
          </w:tcPr>
          <w:p w14:paraId="73E2428E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0.9326</w:t>
            </w:r>
          </w:p>
        </w:tc>
        <w:tc>
          <w:tcPr>
            <w:tcW w:w="936" w:type="dxa"/>
            <w:tcBorders>
              <w:bottom w:val="nil"/>
            </w:tcBorders>
          </w:tcPr>
          <w:p w14:paraId="4A20264A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0.9369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E69CF0E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0.9711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C3934A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0.9945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9A70D4B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0.9702</w:t>
            </w:r>
          </w:p>
        </w:tc>
      </w:tr>
      <w:tr w:rsidR="00CA2510" w:rsidRPr="00A10A90" w14:paraId="2D79833E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60FCD92C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F245BE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0E599F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3512AD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BE47EB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37DD6CA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49DEB0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94F4E4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79E91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F0946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4</w:t>
            </w:r>
          </w:p>
        </w:tc>
      </w:tr>
      <w:tr w:rsidR="00CA2510" w:rsidRPr="00A10A90" w14:paraId="588BC0D9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29AC9CDE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VSNR</w:t>
            </w:r>
          </w:p>
        </w:tc>
        <w:tc>
          <w:tcPr>
            <w:tcW w:w="936" w:type="dxa"/>
            <w:tcBorders>
              <w:bottom w:val="nil"/>
            </w:tcBorders>
          </w:tcPr>
          <w:p w14:paraId="5E0AC517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0.8368</w:t>
            </w:r>
          </w:p>
        </w:tc>
        <w:tc>
          <w:tcPr>
            <w:tcW w:w="936" w:type="dxa"/>
            <w:tcBorders>
              <w:bottom w:val="nil"/>
            </w:tcBorders>
          </w:tcPr>
          <w:p w14:paraId="5E37F864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0.8514</w:t>
            </w:r>
          </w:p>
        </w:tc>
        <w:tc>
          <w:tcPr>
            <w:tcW w:w="936" w:type="dxa"/>
            <w:tcBorders>
              <w:bottom w:val="nil"/>
            </w:tcBorders>
          </w:tcPr>
          <w:p w14:paraId="244109E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0.8517</w:t>
            </w:r>
          </w:p>
        </w:tc>
        <w:tc>
          <w:tcPr>
            <w:tcW w:w="936" w:type="dxa"/>
            <w:tcBorders>
              <w:bottom w:val="nil"/>
            </w:tcBorders>
          </w:tcPr>
          <w:p w14:paraId="6E25497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0.8495</w:t>
            </w:r>
          </w:p>
        </w:tc>
        <w:tc>
          <w:tcPr>
            <w:tcW w:w="936" w:type="dxa"/>
            <w:tcBorders>
              <w:bottom w:val="nil"/>
            </w:tcBorders>
          </w:tcPr>
          <w:p w14:paraId="277F572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0.8419</w:t>
            </w:r>
          </w:p>
        </w:tc>
        <w:tc>
          <w:tcPr>
            <w:tcW w:w="936" w:type="dxa"/>
            <w:tcBorders>
              <w:bottom w:val="nil"/>
            </w:tcBorders>
          </w:tcPr>
          <w:p w14:paraId="5B40658A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0.8569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5084333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1.1637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7AAD241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1.1674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5F4E43C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1.1436</w:t>
            </w:r>
          </w:p>
        </w:tc>
      </w:tr>
      <w:tr w:rsidR="00CA2510" w:rsidRPr="00A10A90" w14:paraId="20C5B4BF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04723993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D176FB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7261CA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0C26ADC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2E492A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5DB5D8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B9FA86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0B951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64476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13703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5</w:t>
            </w:r>
          </w:p>
        </w:tc>
      </w:tr>
      <w:tr w:rsidR="00CA2510" w:rsidRPr="00A10A90" w14:paraId="727712F7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5BB3BC08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proofErr w:type="spellStart"/>
            <w:r w:rsidRPr="00A10A90">
              <w:rPr>
                <w:sz w:val="20"/>
              </w:rPr>
              <w:t>VIFp</w:t>
            </w:r>
            <w:proofErr w:type="spellEnd"/>
          </w:p>
        </w:tc>
        <w:tc>
          <w:tcPr>
            <w:tcW w:w="936" w:type="dxa"/>
            <w:tcBorders>
              <w:bottom w:val="nil"/>
            </w:tcBorders>
          </w:tcPr>
          <w:p w14:paraId="1941650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0.9373</w:t>
            </w:r>
          </w:p>
        </w:tc>
        <w:tc>
          <w:tcPr>
            <w:tcW w:w="936" w:type="dxa"/>
            <w:tcBorders>
              <w:bottom w:val="nil"/>
            </w:tcBorders>
          </w:tcPr>
          <w:p w14:paraId="7CCDD3D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0.9425</w:t>
            </w:r>
          </w:p>
        </w:tc>
        <w:tc>
          <w:tcPr>
            <w:tcW w:w="936" w:type="dxa"/>
            <w:tcBorders>
              <w:bottom w:val="nil"/>
            </w:tcBorders>
          </w:tcPr>
          <w:p w14:paraId="7F4513E7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0.9434</w:t>
            </w:r>
          </w:p>
        </w:tc>
        <w:tc>
          <w:tcPr>
            <w:tcW w:w="936" w:type="dxa"/>
            <w:tcBorders>
              <w:bottom w:val="nil"/>
            </w:tcBorders>
          </w:tcPr>
          <w:p w14:paraId="181990A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0.9442</w:t>
            </w:r>
          </w:p>
        </w:tc>
        <w:tc>
          <w:tcPr>
            <w:tcW w:w="936" w:type="dxa"/>
            <w:tcBorders>
              <w:bottom w:val="nil"/>
            </w:tcBorders>
          </w:tcPr>
          <w:p w14:paraId="27CF7418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0.9500</w:t>
            </w:r>
          </w:p>
        </w:tc>
        <w:tc>
          <w:tcPr>
            <w:tcW w:w="936" w:type="dxa"/>
            <w:tcBorders>
              <w:bottom w:val="nil"/>
            </w:tcBorders>
          </w:tcPr>
          <w:p w14:paraId="5CA5883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0.9511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5568B652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0.8098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2D27550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0.7727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58F60DAA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0.7693</w:t>
            </w:r>
          </w:p>
        </w:tc>
      </w:tr>
      <w:tr w:rsidR="00CA2510" w:rsidRPr="00A10A90" w14:paraId="16838735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5D1F7042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A228EC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3ACC83B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2E512D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391181E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FB137A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CB21A5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A8D5C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1DA48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3DD79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</w:tr>
      <w:tr w:rsidR="00CA2510" w:rsidRPr="00A10A90" w14:paraId="464A15A0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4EE6C934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WSNR</w:t>
            </w:r>
          </w:p>
        </w:tc>
        <w:tc>
          <w:tcPr>
            <w:tcW w:w="936" w:type="dxa"/>
            <w:tcBorders>
              <w:bottom w:val="nil"/>
            </w:tcBorders>
          </w:tcPr>
          <w:p w14:paraId="06C1BEA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0.7569</w:t>
            </w:r>
          </w:p>
        </w:tc>
        <w:tc>
          <w:tcPr>
            <w:tcW w:w="936" w:type="dxa"/>
            <w:tcBorders>
              <w:bottom w:val="nil"/>
            </w:tcBorders>
          </w:tcPr>
          <w:p w14:paraId="51BB3886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0.7587</w:t>
            </w:r>
          </w:p>
        </w:tc>
        <w:tc>
          <w:tcPr>
            <w:tcW w:w="936" w:type="dxa"/>
            <w:tcBorders>
              <w:bottom w:val="nil"/>
            </w:tcBorders>
          </w:tcPr>
          <w:p w14:paraId="16744732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0.7633</w:t>
            </w:r>
          </w:p>
        </w:tc>
        <w:tc>
          <w:tcPr>
            <w:tcW w:w="936" w:type="dxa"/>
            <w:tcBorders>
              <w:bottom w:val="nil"/>
            </w:tcBorders>
          </w:tcPr>
          <w:p w14:paraId="05DC0CD4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0.7735</w:t>
            </w:r>
          </w:p>
        </w:tc>
        <w:tc>
          <w:tcPr>
            <w:tcW w:w="936" w:type="dxa"/>
            <w:tcBorders>
              <w:bottom w:val="nil"/>
            </w:tcBorders>
          </w:tcPr>
          <w:p w14:paraId="65E4D550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0.7652</w:t>
            </w:r>
          </w:p>
        </w:tc>
        <w:tc>
          <w:tcPr>
            <w:tcW w:w="936" w:type="dxa"/>
            <w:tcBorders>
              <w:bottom w:val="nil"/>
            </w:tcBorders>
          </w:tcPr>
          <w:p w14:paraId="16D85607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0.7784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468F69B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1.4721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9C9444B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1.4777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94DBCA0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1.4609</w:t>
            </w:r>
          </w:p>
        </w:tc>
      </w:tr>
      <w:tr w:rsidR="00CA2510" w:rsidRPr="00A10A90" w14:paraId="30FE5B1D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232C6A40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9F4EBE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40A9771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560AF9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93C9F53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35B915D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8876EB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AE1567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77E47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85619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6</w:t>
            </w:r>
          </w:p>
        </w:tc>
      </w:tr>
      <w:tr w:rsidR="00CA2510" w:rsidRPr="00A10A90" w14:paraId="6577478A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28FA3F47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PSNR-HVS</w:t>
            </w:r>
          </w:p>
        </w:tc>
        <w:tc>
          <w:tcPr>
            <w:tcW w:w="936" w:type="dxa"/>
            <w:tcBorders>
              <w:bottom w:val="nil"/>
            </w:tcBorders>
          </w:tcPr>
          <w:p w14:paraId="235A552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0.7216</w:t>
            </w:r>
          </w:p>
        </w:tc>
        <w:tc>
          <w:tcPr>
            <w:tcW w:w="936" w:type="dxa"/>
            <w:tcBorders>
              <w:bottom w:val="nil"/>
            </w:tcBorders>
          </w:tcPr>
          <w:p w14:paraId="5B822C4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0.7216</w:t>
            </w:r>
          </w:p>
        </w:tc>
        <w:tc>
          <w:tcPr>
            <w:tcW w:w="936" w:type="dxa"/>
            <w:tcBorders>
              <w:bottom w:val="nil"/>
            </w:tcBorders>
          </w:tcPr>
          <w:p w14:paraId="2BEABCCD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0.7265</w:t>
            </w:r>
          </w:p>
        </w:tc>
        <w:tc>
          <w:tcPr>
            <w:tcW w:w="936" w:type="dxa"/>
            <w:tcBorders>
              <w:bottom w:val="nil"/>
            </w:tcBorders>
          </w:tcPr>
          <w:p w14:paraId="6759BFBD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0.7442</w:t>
            </w:r>
          </w:p>
        </w:tc>
        <w:tc>
          <w:tcPr>
            <w:tcW w:w="936" w:type="dxa"/>
            <w:tcBorders>
              <w:bottom w:val="nil"/>
            </w:tcBorders>
          </w:tcPr>
          <w:p w14:paraId="791DA97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0.7452</w:t>
            </w:r>
          </w:p>
        </w:tc>
        <w:tc>
          <w:tcPr>
            <w:tcW w:w="936" w:type="dxa"/>
            <w:tcBorders>
              <w:bottom w:val="nil"/>
            </w:tcBorders>
          </w:tcPr>
          <w:p w14:paraId="01FC664D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0.7480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AED4082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1.5599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AD09F5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1.5754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007D642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1.5564</w:t>
            </w:r>
          </w:p>
        </w:tc>
      </w:tr>
      <w:tr w:rsidR="00CA2510" w:rsidRPr="00A10A90" w14:paraId="361DAB9C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2C005526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3CF53D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63D0526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9F6C19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A6E8FB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E8BED45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791A33B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3F413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EB66C8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6EF0E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</w:tr>
      <w:tr w:rsidR="00CA2510" w:rsidRPr="00A10A90" w14:paraId="10503A71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2B4D4EA6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PSNR-HVS-M</w:t>
            </w:r>
          </w:p>
        </w:tc>
        <w:tc>
          <w:tcPr>
            <w:tcW w:w="936" w:type="dxa"/>
            <w:tcBorders>
              <w:bottom w:val="nil"/>
            </w:tcBorders>
          </w:tcPr>
          <w:p w14:paraId="4FCEFB0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0.7256</w:t>
            </w:r>
          </w:p>
        </w:tc>
        <w:tc>
          <w:tcPr>
            <w:tcW w:w="936" w:type="dxa"/>
            <w:tcBorders>
              <w:bottom w:val="nil"/>
            </w:tcBorders>
          </w:tcPr>
          <w:p w14:paraId="5280919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0.7262</w:t>
            </w:r>
          </w:p>
        </w:tc>
        <w:tc>
          <w:tcPr>
            <w:tcW w:w="936" w:type="dxa"/>
            <w:tcBorders>
              <w:bottom w:val="nil"/>
            </w:tcBorders>
          </w:tcPr>
          <w:p w14:paraId="295DE5C2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0.7309</w:t>
            </w:r>
          </w:p>
        </w:tc>
        <w:tc>
          <w:tcPr>
            <w:tcW w:w="936" w:type="dxa"/>
            <w:tcBorders>
              <w:bottom w:val="nil"/>
            </w:tcBorders>
          </w:tcPr>
          <w:p w14:paraId="12441B25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0.7456</w:t>
            </w:r>
          </w:p>
        </w:tc>
        <w:tc>
          <w:tcPr>
            <w:tcW w:w="936" w:type="dxa"/>
            <w:tcBorders>
              <w:bottom w:val="nil"/>
            </w:tcBorders>
          </w:tcPr>
          <w:p w14:paraId="59D221D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0.7452</w:t>
            </w:r>
          </w:p>
        </w:tc>
        <w:tc>
          <w:tcPr>
            <w:tcW w:w="936" w:type="dxa"/>
            <w:tcBorders>
              <w:bottom w:val="nil"/>
            </w:tcBorders>
          </w:tcPr>
          <w:p w14:paraId="6D695FA4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0.7497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7E87004C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1.5542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1C236F3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1.5663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166DE0A8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1.5484</w:t>
            </w:r>
          </w:p>
        </w:tc>
      </w:tr>
      <w:tr w:rsidR="00CA2510" w:rsidRPr="00A10A90" w14:paraId="101EB172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  <w:vAlign w:val="center"/>
          </w:tcPr>
          <w:p w14:paraId="70DEB75F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B2DABC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1224ADB8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42921F2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5907F9E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220C286F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14:paraId="4777DF4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BE508E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2551A6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B9FCA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7</w:t>
            </w:r>
          </w:p>
        </w:tc>
      </w:tr>
      <w:tr w:rsidR="00CA2510" w:rsidRPr="00A10A90" w14:paraId="29CC441A" w14:textId="77777777" w:rsidTr="00CA2510">
        <w:trPr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048A11EC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  <w:r w:rsidRPr="00A10A90">
              <w:rPr>
                <w:sz w:val="20"/>
              </w:rPr>
              <w:t>VQM</w:t>
            </w:r>
          </w:p>
        </w:tc>
        <w:tc>
          <w:tcPr>
            <w:tcW w:w="936" w:type="dxa"/>
            <w:tcBorders>
              <w:bottom w:val="nil"/>
            </w:tcBorders>
          </w:tcPr>
          <w:p w14:paraId="3FDE445B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0.9314</w:t>
            </w:r>
          </w:p>
        </w:tc>
        <w:tc>
          <w:tcPr>
            <w:tcW w:w="936" w:type="dxa"/>
            <w:tcBorders>
              <w:bottom w:val="nil"/>
            </w:tcBorders>
          </w:tcPr>
          <w:p w14:paraId="4CF124A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0.9294</w:t>
            </w:r>
          </w:p>
        </w:tc>
        <w:tc>
          <w:tcPr>
            <w:tcW w:w="936" w:type="dxa"/>
            <w:tcBorders>
              <w:bottom w:val="nil"/>
            </w:tcBorders>
          </w:tcPr>
          <w:p w14:paraId="5A192E4E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0.9324</w:t>
            </w:r>
          </w:p>
        </w:tc>
        <w:tc>
          <w:tcPr>
            <w:tcW w:w="936" w:type="dxa"/>
            <w:tcBorders>
              <w:bottom w:val="nil"/>
            </w:tcBorders>
          </w:tcPr>
          <w:p w14:paraId="13125349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0.9466</w:t>
            </w:r>
          </w:p>
        </w:tc>
        <w:tc>
          <w:tcPr>
            <w:tcW w:w="936" w:type="dxa"/>
            <w:tcBorders>
              <w:bottom w:val="nil"/>
            </w:tcBorders>
          </w:tcPr>
          <w:p w14:paraId="4111CF0B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0.9392</w:t>
            </w:r>
          </w:p>
        </w:tc>
        <w:tc>
          <w:tcPr>
            <w:tcW w:w="936" w:type="dxa"/>
            <w:tcBorders>
              <w:bottom w:val="nil"/>
            </w:tcBorders>
          </w:tcPr>
          <w:p w14:paraId="6340A353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0.9453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41C6882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0.8364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78635587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sz w:val="20"/>
              </w:rPr>
              <w:t>0.8448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</w:tcPr>
          <w:p w14:paraId="15D50FCF" w14:textId="77777777" w:rsidR="00CA2510" w:rsidRPr="00A10A90" w:rsidRDefault="00CA2510" w:rsidP="00F77B83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0.8279</w:t>
            </w:r>
          </w:p>
        </w:tc>
      </w:tr>
      <w:tr w:rsidR="00CA2510" w:rsidRPr="00A10A90" w14:paraId="7B524823" w14:textId="77777777" w:rsidTr="00CA2510">
        <w:trPr>
          <w:jc w:val="center"/>
        </w:trPr>
        <w:tc>
          <w:tcPr>
            <w:tcW w:w="1428" w:type="dxa"/>
            <w:vMerge/>
            <w:shd w:val="clear" w:color="auto" w:fill="auto"/>
          </w:tcPr>
          <w:p w14:paraId="1C5D735D" w14:textId="77777777" w:rsidR="00CA2510" w:rsidRPr="00A10A90" w:rsidRDefault="00CA2510" w:rsidP="00F77B83">
            <w:pPr>
              <w:spacing w:before="0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</w:tcBorders>
          </w:tcPr>
          <w:p w14:paraId="481F691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</w:tcBorders>
          </w:tcPr>
          <w:p w14:paraId="780E6014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</w:tcBorders>
          </w:tcPr>
          <w:p w14:paraId="5A88D43A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</w:tcBorders>
          </w:tcPr>
          <w:p w14:paraId="4E42A3BD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1</w:t>
            </w:r>
          </w:p>
        </w:tc>
        <w:tc>
          <w:tcPr>
            <w:tcW w:w="936" w:type="dxa"/>
            <w:tcBorders>
              <w:top w:val="nil"/>
            </w:tcBorders>
          </w:tcPr>
          <w:p w14:paraId="6D906E5C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</w:tcBorders>
          </w:tcPr>
          <w:p w14:paraId="58E6C46B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</w:tcBorders>
            <w:shd w:val="clear" w:color="auto" w:fill="auto"/>
          </w:tcPr>
          <w:p w14:paraId="280A269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nil"/>
            </w:tcBorders>
            <w:shd w:val="clear" w:color="auto" w:fill="auto"/>
          </w:tcPr>
          <w:p w14:paraId="28777A60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  <w:tc>
          <w:tcPr>
            <w:tcW w:w="936" w:type="dxa"/>
            <w:tcBorders>
              <w:top w:val="nil"/>
            </w:tcBorders>
            <w:shd w:val="clear" w:color="auto" w:fill="auto"/>
          </w:tcPr>
          <w:p w14:paraId="0A9E7099" w14:textId="77777777" w:rsidR="00CA2510" w:rsidRPr="00A10A90" w:rsidRDefault="00CA2510" w:rsidP="00F77B83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</w:rPr>
              <w:t>3</w:t>
            </w:r>
          </w:p>
        </w:tc>
      </w:tr>
    </w:tbl>
    <w:p w14:paraId="1EA66D83" w14:textId="77777777" w:rsidR="00CA2510" w:rsidRPr="00A10A90" w:rsidRDefault="00CA2510" w:rsidP="00F77B83">
      <w:pPr>
        <w:pStyle w:val="Heading1"/>
      </w:pPr>
      <w:r w:rsidRPr="00A10A90">
        <w:t>Conclusion</w:t>
      </w:r>
    </w:p>
    <w:p w14:paraId="71C40BBC" w14:textId="2CE75DDD" w:rsidR="00CA2510" w:rsidRPr="00A10A90" w:rsidRDefault="00E97E1E" w:rsidP="00CA2510">
      <w:r w:rsidRPr="00A10A90">
        <w:t xml:space="preserve">It is recommended </w:t>
      </w:r>
      <w:r w:rsidR="00CA2510" w:rsidRPr="00A10A90">
        <w:t xml:space="preserve">that alternative metrics to PSNR, such as </w:t>
      </w:r>
      <w:proofErr w:type="spellStart"/>
      <w:r w:rsidR="00CA2510" w:rsidRPr="00A10A90">
        <w:t>VIFp</w:t>
      </w:r>
      <w:proofErr w:type="spellEnd"/>
      <w:r w:rsidR="00CA2510" w:rsidRPr="00A10A90">
        <w:t xml:space="preserve">, VQM, MS-SSIM, or SSIM, also be used in the Core Experiments, where the performance of the proposed coding tools are assessed using the objective metric on a set of synthesized views, as </w:t>
      </w:r>
      <w:r w:rsidR="00C62BB5" w:rsidRPr="00A10A90">
        <w:t>it is reported that</w:t>
      </w:r>
      <w:r w:rsidR="00CA2510" w:rsidRPr="00A10A90">
        <w:t>, for a stereo pair formed from two synthesized views, the above alternative metrics</w:t>
      </w:r>
      <w:r w:rsidRPr="00A10A90">
        <w:t xml:space="preserve"> are more correlated with perceived quality than PSNR</w:t>
      </w:r>
      <w:r w:rsidR="00CA2510" w:rsidRPr="00A10A90">
        <w:t>.</w:t>
      </w:r>
    </w:p>
    <w:p w14:paraId="090320A3" w14:textId="77777777" w:rsidR="00CA2510" w:rsidRPr="00A10A90" w:rsidRDefault="00CA2510" w:rsidP="00F77B83">
      <w:pPr>
        <w:pStyle w:val="Heading1"/>
      </w:pPr>
      <w:r w:rsidRPr="00A10A90">
        <w:lastRenderedPageBreak/>
        <w:t>Acknowledgement</w:t>
      </w:r>
    </w:p>
    <w:p w14:paraId="5807D213" w14:textId="77777777" w:rsidR="00CA2510" w:rsidRPr="00A10A90" w:rsidRDefault="00CA2510" w:rsidP="00CA2510">
      <w:r w:rsidRPr="00A10A90">
        <w:t>This work was partially supported by the COST IC1003 European Network on Quality of Experience in Multimedia Systems and Services - QUALINET.</w:t>
      </w:r>
    </w:p>
    <w:p w14:paraId="3F12F9F8" w14:textId="77777777" w:rsidR="00CA2510" w:rsidRPr="00A10A90" w:rsidRDefault="00CA2510" w:rsidP="00F77B83">
      <w:pPr>
        <w:pStyle w:val="Heading1"/>
      </w:pPr>
      <w:r w:rsidRPr="00A10A90">
        <w:t>References</w:t>
      </w:r>
    </w:p>
    <w:p w14:paraId="560C7B7B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7" w:name="_Ref202876150"/>
      <w:bookmarkStart w:id="8" w:name="_Ref54572513"/>
      <w:bookmarkStart w:id="9" w:name="_Ref203645142"/>
      <w:bookmarkStart w:id="10" w:name="M23908"/>
      <w:bookmarkEnd w:id="10"/>
      <w:r w:rsidRPr="00A10A90">
        <w:rPr>
          <w:sz w:val="22"/>
          <w:lang w:eastAsia="zh-TW"/>
        </w:rPr>
        <w:t>ISO/IEC JTC1/SC29/WG11, "3DV: Objective quality measurement for the 2-view case scenario," Doc. M23908, San Jose, USA, February 2012.</w:t>
      </w:r>
      <w:bookmarkEnd w:id="9"/>
    </w:p>
    <w:p w14:paraId="37E9F61A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11" w:name="_Ref202876723"/>
      <w:bookmarkStart w:id="12" w:name="M24807"/>
      <w:bookmarkEnd w:id="12"/>
      <w:r w:rsidRPr="00A10A90">
        <w:rPr>
          <w:sz w:val="22"/>
          <w:lang w:eastAsia="zh-TW"/>
        </w:rPr>
        <w:t>ISO/IEC JTC1/SC29/WG11, "3DV: Alternative metrics to PSNR," Doc. M24807, Geneva, Switzerland, May 2012.</w:t>
      </w:r>
      <w:bookmarkEnd w:id="7"/>
      <w:bookmarkEnd w:id="11"/>
    </w:p>
    <w:p w14:paraId="259303D0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13" w:name="_Ref189563069"/>
      <w:bookmarkStart w:id="14" w:name="N12036"/>
      <w:bookmarkEnd w:id="14"/>
      <w:r w:rsidRPr="00A10A90">
        <w:rPr>
          <w:sz w:val="22"/>
          <w:lang w:eastAsia="zh-TW"/>
        </w:rPr>
        <w:t>ISO/IEC JTC1/SC29/WG11, "Call Proposals on 3D Video Compression Technology", Doc. N12036, Geneva, Switzerland, March 2011.</w:t>
      </w:r>
      <w:bookmarkEnd w:id="13"/>
    </w:p>
    <w:p w14:paraId="1405F72A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15" w:name="_Ref202880842"/>
      <w:bookmarkStart w:id="16" w:name="N12347"/>
      <w:bookmarkEnd w:id="16"/>
      <w:r w:rsidRPr="00A10A90">
        <w:rPr>
          <w:sz w:val="22"/>
          <w:lang w:eastAsia="zh-TW"/>
        </w:rPr>
        <w:t>ISO/IEC JTC1/SC29/WG11, "Report of Subjective Test Results from the Call for Proposals on 3D Video Coding Technology", Doc. N12347, Geneva, Switzerland, November 2011.</w:t>
      </w:r>
      <w:bookmarkEnd w:id="15"/>
    </w:p>
    <w:p w14:paraId="43E7CD5D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17" w:name="SSIM"/>
      <w:bookmarkStart w:id="18" w:name="_Ref202876752"/>
      <w:bookmarkStart w:id="19" w:name="Wang2004"/>
      <w:bookmarkEnd w:id="17"/>
      <w:bookmarkEnd w:id="19"/>
      <w:r w:rsidRPr="00A10A90">
        <w:rPr>
          <w:sz w:val="22"/>
          <w:lang w:eastAsia="zh-TW"/>
        </w:rPr>
        <w:t xml:space="preserve">Z. Wang, A.C. </w:t>
      </w:r>
      <w:proofErr w:type="spellStart"/>
      <w:r w:rsidRPr="00A10A90">
        <w:rPr>
          <w:sz w:val="22"/>
          <w:lang w:eastAsia="zh-TW"/>
        </w:rPr>
        <w:t>Bovik</w:t>
      </w:r>
      <w:proofErr w:type="spellEnd"/>
      <w:r w:rsidRPr="00A10A90">
        <w:rPr>
          <w:sz w:val="22"/>
          <w:lang w:eastAsia="zh-TW"/>
        </w:rPr>
        <w:t xml:space="preserve">, H.R. Sheikh, and E.P. </w:t>
      </w:r>
      <w:proofErr w:type="spellStart"/>
      <w:r w:rsidRPr="00A10A90">
        <w:rPr>
          <w:sz w:val="22"/>
          <w:lang w:eastAsia="zh-TW"/>
        </w:rPr>
        <w:t>Simoncelli</w:t>
      </w:r>
      <w:proofErr w:type="spellEnd"/>
      <w:r w:rsidRPr="00A10A90">
        <w:rPr>
          <w:sz w:val="22"/>
          <w:lang w:eastAsia="zh-TW"/>
        </w:rPr>
        <w:t>, “Image quality assessment: from error visibility to structural similarity,” IEEE Transactions on Image Processing, vol. 13, no. 4, pp. 600-612, April 2004.</w:t>
      </w:r>
      <w:bookmarkEnd w:id="18"/>
    </w:p>
    <w:p w14:paraId="2EBE5116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20" w:name="MSSSIM"/>
      <w:bookmarkStart w:id="21" w:name="_Ref202876766"/>
      <w:bookmarkStart w:id="22" w:name="Wang2003"/>
      <w:bookmarkEnd w:id="20"/>
      <w:bookmarkEnd w:id="22"/>
      <w:r w:rsidRPr="00A10A90">
        <w:rPr>
          <w:sz w:val="22"/>
          <w:lang w:eastAsia="zh-TW"/>
        </w:rPr>
        <w:t xml:space="preserve">Z. Wang, E.P. </w:t>
      </w:r>
      <w:proofErr w:type="spellStart"/>
      <w:r w:rsidRPr="00A10A90">
        <w:rPr>
          <w:sz w:val="22"/>
          <w:lang w:eastAsia="zh-TW"/>
        </w:rPr>
        <w:t>Simoncelli</w:t>
      </w:r>
      <w:proofErr w:type="spellEnd"/>
      <w:r w:rsidRPr="00A10A90">
        <w:rPr>
          <w:sz w:val="22"/>
          <w:lang w:eastAsia="zh-TW"/>
        </w:rPr>
        <w:t xml:space="preserve">, and A.C. </w:t>
      </w:r>
      <w:proofErr w:type="spellStart"/>
      <w:r w:rsidRPr="00A10A90">
        <w:rPr>
          <w:sz w:val="22"/>
          <w:lang w:eastAsia="zh-TW"/>
        </w:rPr>
        <w:t>Bovik</w:t>
      </w:r>
      <w:proofErr w:type="spellEnd"/>
      <w:r w:rsidRPr="00A10A90">
        <w:rPr>
          <w:sz w:val="22"/>
          <w:lang w:eastAsia="zh-TW"/>
        </w:rPr>
        <w:t xml:space="preserve">, “Multiscale structural similarity for image quality assessment,” in IEEE </w:t>
      </w:r>
      <w:proofErr w:type="spellStart"/>
      <w:r w:rsidRPr="00A10A90">
        <w:rPr>
          <w:sz w:val="22"/>
          <w:lang w:eastAsia="zh-TW"/>
        </w:rPr>
        <w:t>Asilomar</w:t>
      </w:r>
      <w:proofErr w:type="spellEnd"/>
      <w:r w:rsidRPr="00A10A90">
        <w:rPr>
          <w:sz w:val="22"/>
          <w:lang w:eastAsia="zh-TW"/>
        </w:rPr>
        <w:t xml:space="preserve"> Conference on Signals, Systems and Computers, November 2003, vol. 2, pp. 1398-1402.</w:t>
      </w:r>
      <w:bookmarkEnd w:id="21"/>
    </w:p>
    <w:p w14:paraId="56398CD6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23" w:name="VIF"/>
      <w:bookmarkStart w:id="24" w:name="_Ref202876779"/>
      <w:bookmarkStart w:id="25" w:name="_Ref195699020"/>
      <w:bookmarkStart w:id="26" w:name="Chandler2007"/>
      <w:bookmarkEnd w:id="23"/>
      <w:bookmarkEnd w:id="26"/>
      <w:r w:rsidRPr="00A10A90">
        <w:rPr>
          <w:sz w:val="22"/>
          <w:lang w:eastAsia="zh-TW"/>
        </w:rPr>
        <w:t xml:space="preserve">D.M. Chandler and S.S. </w:t>
      </w:r>
      <w:proofErr w:type="spellStart"/>
      <w:r w:rsidRPr="00A10A90">
        <w:rPr>
          <w:sz w:val="22"/>
          <w:lang w:eastAsia="zh-TW"/>
        </w:rPr>
        <w:t>Hemami</w:t>
      </w:r>
      <w:proofErr w:type="spellEnd"/>
      <w:r w:rsidRPr="00A10A90">
        <w:rPr>
          <w:sz w:val="22"/>
          <w:lang w:eastAsia="zh-TW"/>
        </w:rPr>
        <w:t>, “VSNR: A Wavelet-Based Visual Signal-to-Noise Ratio for Natural Images,” IEEE Transactions on Image Processing, vol. 16, no. 9, pp. 2284-2298, September 2007.</w:t>
      </w:r>
      <w:bookmarkEnd w:id="24"/>
    </w:p>
    <w:p w14:paraId="78DCD165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27" w:name="_Ref202876787"/>
      <w:bookmarkStart w:id="28" w:name="Sheikh2006"/>
      <w:bookmarkEnd w:id="25"/>
      <w:bookmarkEnd w:id="28"/>
      <w:r w:rsidRPr="00A10A90">
        <w:rPr>
          <w:sz w:val="22"/>
          <w:lang w:eastAsia="zh-TW"/>
        </w:rPr>
        <w:t xml:space="preserve">H.R. Sheikh and A.C. </w:t>
      </w:r>
      <w:proofErr w:type="spellStart"/>
      <w:r w:rsidRPr="00A10A90">
        <w:rPr>
          <w:sz w:val="22"/>
          <w:lang w:eastAsia="zh-TW"/>
        </w:rPr>
        <w:t>Bovik</w:t>
      </w:r>
      <w:proofErr w:type="spellEnd"/>
      <w:r w:rsidRPr="00A10A90">
        <w:rPr>
          <w:sz w:val="22"/>
          <w:lang w:eastAsia="zh-TW"/>
        </w:rPr>
        <w:t>, “Image information and visual quality,” IEEE Transactions on Image Processing, vol. 15, no. 2, pp. 430-444, February 2006.</w:t>
      </w:r>
      <w:bookmarkEnd w:id="27"/>
    </w:p>
    <w:p w14:paraId="4A59FFDC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29" w:name="_Ref202876799"/>
      <w:bookmarkStart w:id="30" w:name="Damera2000"/>
      <w:bookmarkEnd w:id="30"/>
      <w:r w:rsidRPr="00A10A90">
        <w:rPr>
          <w:sz w:val="22"/>
          <w:lang w:eastAsia="zh-TW"/>
        </w:rPr>
        <w:t xml:space="preserve">N. </w:t>
      </w:r>
      <w:proofErr w:type="spellStart"/>
      <w:r w:rsidRPr="00A10A90">
        <w:rPr>
          <w:sz w:val="22"/>
          <w:lang w:eastAsia="zh-TW"/>
        </w:rPr>
        <w:t>Damera-Venkata</w:t>
      </w:r>
      <w:proofErr w:type="spellEnd"/>
      <w:r w:rsidRPr="00A10A90">
        <w:rPr>
          <w:sz w:val="22"/>
          <w:lang w:eastAsia="zh-TW"/>
        </w:rPr>
        <w:t xml:space="preserve">, T.D. Kite, W.S. </w:t>
      </w:r>
      <w:proofErr w:type="spellStart"/>
      <w:r w:rsidRPr="00A10A90">
        <w:rPr>
          <w:sz w:val="22"/>
          <w:lang w:eastAsia="zh-TW"/>
        </w:rPr>
        <w:t>Geisler</w:t>
      </w:r>
      <w:proofErr w:type="spellEnd"/>
      <w:r w:rsidRPr="00A10A90">
        <w:rPr>
          <w:sz w:val="22"/>
          <w:lang w:eastAsia="zh-TW"/>
        </w:rPr>
        <w:t xml:space="preserve">, B.L. Evans, and A.C. </w:t>
      </w:r>
      <w:proofErr w:type="spellStart"/>
      <w:r w:rsidRPr="00A10A90">
        <w:rPr>
          <w:sz w:val="22"/>
          <w:lang w:eastAsia="zh-TW"/>
        </w:rPr>
        <w:t>Bovik</w:t>
      </w:r>
      <w:proofErr w:type="spellEnd"/>
      <w:r w:rsidRPr="00A10A90">
        <w:rPr>
          <w:sz w:val="22"/>
          <w:lang w:eastAsia="zh-TW"/>
        </w:rPr>
        <w:t>, “Image quality assessment based on a degradation model,” IEEE Transactions on Image Processing, vol. 9, no. 4, pp. 636-650, April 2000.</w:t>
      </w:r>
      <w:bookmarkEnd w:id="29"/>
    </w:p>
    <w:p w14:paraId="79B9719C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31" w:name="_Ref202876813"/>
      <w:bookmarkStart w:id="32" w:name="Egiazarian2006"/>
      <w:bookmarkEnd w:id="32"/>
      <w:r w:rsidRPr="00A10A90">
        <w:rPr>
          <w:sz w:val="22"/>
          <w:lang w:eastAsia="zh-TW"/>
        </w:rPr>
        <w:t xml:space="preserve">K. </w:t>
      </w:r>
      <w:proofErr w:type="spellStart"/>
      <w:r w:rsidRPr="00A10A90">
        <w:rPr>
          <w:sz w:val="22"/>
          <w:lang w:eastAsia="zh-TW"/>
        </w:rPr>
        <w:t>Egiazarian</w:t>
      </w:r>
      <w:proofErr w:type="spellEnd"/>
      <w:r w:rsidRPr="00A10A90">
        <w:rPr>
          <w:sz w:val="22"/>
          <w:lang w:eastAsia="zh-TW"/>
        </w:rPr>
        <w:t xml:space="preserve">, J. </w:t>
      </w:r>
      <w:proofErr w:type="spellStart"/>
      <w:r w:rsidRPr="00A10A90">
        <w:rPr>
          <w:sz w:val="22"/>
          <w:lang w:eastAsia="zh-TW"/>
        </w:rPr>
        <w:t>Astola</w:t>
      </w:r>
      <w:proofErr w:type="spellEnd"/>
      <w:r w:rsidRPr="00A10A90">
        <w:rPr>
          <w:sz w:val="22"/>
          <w:lang w:eastAsia="zh-TW"/>
        </w:rPr>
        <w:t xml:space="preserve">, N. </w:t>
      </w:r>
      <w:proofErr w:type="spellStart"/>
      <w:r w:rsidRPr="00A10A90">
        <w:rPr>
          <w:sz w:val="22"/>
          <w:lang w:eastAsia="zh-TW"/>
        </w:rPr>
        <w:t>Ponomarenko</w:t>
      </w:r>
      <w:proofErr w:type="spellEnd"/>
      <w:r w:rsidRPr="00A10A90">
        <w:rPr>
          <w:sz w:val="22"/>
          <w:lang w:eastAsia="zh-TW"/>
        </w:rPr>
        <w:t xml:space="preserve">, V. </w:t>
      </w:r>
      <w:proofErr w:type="spellStart"/>
      <w:r w:rsidRPr="00A10A90">
        <w:rPr>
          <w:sz w:val="22"/>
          <w:lang w:eastAsia="zh-TW"/>
        </w:rPr>
        <w:t>Lukin</w:t>
      </w:r>
      <w:proofErr w:type="spellEnd"/>
      <w:r w:rsidRPr="00A10A90">
        <w:rPr>
          <w:sz w:val="22"/>
          <w:lang w:eastAsia="zh-TW"/>
        </w:rPr>
        <w:t xml:space="preserve">, F. </w:t>
      </w:r>
      <w:proofErr w:type="spellStart"/>
      <w:r w:rsidRPr="00A10A90">
        <w:rPr>
          <w:sz w:val="22"/>
          <w:lang w:eastAsia="zh-TW"/>
        </w:rPr>
        <w:t>Battisti</w:t>
      </w:r>
      <w:proofErr w:type="spellEnd"/>
      <w:r w:rsidRPr="00A10A90">
        <w:rPr>
          <w:sz w:val="22"/>
          <w:lang w:eastAsia="zh-TW"/>
        </w:rPr>
        <w:t xml:space="preserve">, and M. </w:t>
      </w:r>
      <w:proofErr w:type="spellStart"/>
      <w:r w:rsidRPr="00A10A90">
        <w:rPr>
          <w:sz w:val="22"/>
          <w:lang w:eastAsia="zh-TW"/>
        </w:rPr>
        <w:t>Carli</w:t>
      </w:r>
      <w:proofErr w:type="spellEnd"/>
      <w:r w:rsidRPr="00A10A90">
        <w:rPr>
          <w:sz w:val="22"/>
          <w:lang w:eastAsia="zh-TW"/>
        </w:rPr>
        <w:t>, “New full-reference quality metrics based on HVS,” in Proceedings of the Second International Workshop on Video Processing and Quality Metrics, 2006.</w:t>
      </w:r>
      <w:bookmarkEnd w:id="31"/>
    </w:p>
    <w:p w14:paraId="5A4873F1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33" w:name="_Ref202876825"/>
      <w:bookmarkStart w:id="34" w:name="Ponomarenko2007"/>
      <w:bookmarkEnd w:id="34"/>
      <w:r w:rsidRPr="00A10A90">
        <w:rPr>
          <w:sz w:val="22"/>
          <w:lang w:eastAsia="zh-TW"/>
        </w:rPr>
        <w:t xml:space="preserve">N. </w:t>
      </w:r>
      <w:proofErr w:type="spellStart"/>
      <w:r w:rsidRPr="00A10A90">
        <w:rPr>
          <w:sz w:val="22"/>
          <w:lang w:eastAsia="zh-TW"/>
        </w:rPr>
        <w:t>Ponomarenko</w:t>
      </w:r>
      <w:proofErr w:type="spellEnd"/>
      <w:r w:rsidRPr="00A10A90">
        <w:rPr>
          <w:sz w:val="22"/>
          <w:lang w:eastAsia="zh-TW"/>
        </w:rPr>
        <w:t xml:space="preserve">, F. </w:t>
      </w:r>
      <w:proofErr w:type="spellStart"/>
      <w:r w:rsidRPr="00A10A90">
        <w:rPr>
          <w:sz w:val="22"/>
          <w:lang w:eastAsia="zh-TW"/>
        </w:rPr>
        <w:t>Silvestri</w:t>
      </w:r>
      <w:proofErr w:type="spellEnd"/>
      <w:r w:rsidRPr="00A10A90">
        <w:rPr>
          <w:sz w:val="22"/>
          <w:lang w:eastAsia="zh-TW"/>
        </w:rPr>
        <w:t xml:space="preserve">, K. </w:t>
      </w:r>
      <w:proofErr w:type="spellStart"/>
      <w:r w:rsidRPr="00A10A90">
        <w:rPr>
          <w:sz w:val="22"/>
          <w:lang w:eastAsia="zh-TW"/>
        </w:rPr>
        <w:t>Egiazarian</w:t>
      </w:r>
      <w:proofErr w:type="spellEnd"/>
      <w:r w:rsidRPr="00A10A90">
        <w:rPr>
          <w:sz w:val="22"/>
          <w:lang w:eastAsia="zh-TW"/>
        </w:rPr>
        <w:t xml:space="preserve">, M. </w:t>
      </w:r>
      <w:proofErr w:type="spellStart"/>
      <w:r w:rsidRPr="00A10A90">
        <w:rPr>
          <w:sz w:val="22"/>
          <w:lang w:eastAsia="zh-TW"/>
        </w:rPr>
        <w:t>Carli</w:t>
      </w:r>
      <w:proofErr w:type="gramStart"/>
      <w:r w:rsidRPr="00A10A90">
        <w:rPr>
          <w:sz w:val="22"/>
          <w:lang w:eastAsia="zh-TW"/>
        </w:rPr>
        <w:t>,J.Astola</w:t>
      </w:r>
      <w:proofErr w:type="spellEnd"/>
      <w:proofErr w:type="gramEnd"/>
      <w:r w:rsidRPr="00A10A90">
        <w:rPr>
          <w:sz w:val="22"/>
          <w:lang w:eastAsia="zh-TW"/>
        </w:rPr>
        <w:t xml:space="preserve">, and V. </w:t>
      </w:r>
      <w:proofErr w:type="spellStart"/>
      <w:r w:rsidRPr="00A10A90">
        <w:rPr>
          <w:sz w:val="22"/>
          <w:lang w:eastAsia="zh-TW"/>
        </w:rPr>
        <w:t>Lukin</w:t>
      </w:r>
      <w:proofErr w:type="spellEnd"/>
      <w:r w:rsidRPr="00A10A90">
        <w:rPr>
          <w:sz w:val="22"/>
          <w:lang w:eastAsia="zh-TW"/>
        </w:rPr>
        <w:t>, “On between-coefficient contrast masking of DCT basis functions,” in Proceedings of the Third International Workshop on Video Processing and Quality Metrics for Consumer Electronics, January 2007.</w:t>
      </w:r>
      <w:bookmarkEnd w:id="33"/>
    </w:p>
    <w:p w14:paraId="2894D193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35" w:name="_Ref202876835"/>
      <w:bookmarkStart w:id="36" w:name="J144"/>
      <w:bookmarkEnd w:id="36"/>
      <w:proofErr w:type="gramStart"/>
      <w:r w:rsidRPr="00A10A90">
        <w:rPr>
          <w:sz w:val="22"/>
          <w:lang w:eastAsia="zh-TW"/>
        </w:rPr>
        <w:t>ITU-T Recommendation J.144, “Objective perceptual video quality measurement techniques for digital cable television in the presence of a full reference,” ITU-T Telecommunication Standardization Bureau, March 2004.</w:t>
      </w:r>
      <w:bookmarkEnd w:id="35"/>
      <w:proofErr w:type="gramEnd"/>
    </w:p>
    <w:p w14:paraId="7038B2E4" w14:textId="77777777" w:rsidR="00CA2510" w:rsidRPr="00A10A90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37" w:name="_Ref195783155"/>
      <w:bookmarkStart w:id="38" w:name="Bosc2011"/>
      <w:bookmarkEnd w:id="38"/>
      <w:r w:rsidRPr="00A10A90">
        <w:rPr>
          <w:sz w:val="22"/>
          <w:lang w:eastAsia="zh-TW"/>
        </w:rPr>
        <w:t xml:space="preserve">E. </w:t>
      </w:r>
      <w:proofErr w:type="spellStart"/>
      <w:r w:rsidRPr="00A10A90">
        <w:rPr>
          <w:sz w:val="22"/>
          <w:lang w:eastAsia="zh-TW"/>
        </w:rPr>
        <w:t>Bosc</w:t>
      </w:r>
      <w:proofErr w:type="spellEnd"/>
      <w:r w:rsidRPr="00A10A90">
        <w:rPr>
          <w:sz w:val="22"/>
          <w:lang w:eastAsia="zh-TW"/>
        </w:rPr>
        <w:t xml:space="preserve">, M. </w:t>
      </w:r>
      <w:proofErr w:type="spellStart"/>
      <w:r w:rsidRPr="00A10A90">
        <w:rPr>
          <w:sz w:val="22"/>
          <w:lang w:eastAsia="zh-TW"/>
        </w:rPr>
        <w:t>Köppel</w:t>
      </w:r>
      <w:proofErr w:type="spellEnd"/>
      <w:r w:rsidRPr="00A10A90">
        <w:rPr>
          <w:sz w:val="22"/>
          <w:lang w:eastAsia="zh-TW"/>
        </w:rPr>
        <w:t xml:space="preserve">, R. </w:t>
      </w:r>
      <w:proofErr w:type="spellStart"/>
      <w:r w:rsidRPr="00A10A90">
        <w:rPr>
          <w:sz w:val="22"/>
          <w:lang w:eastAsia="zh-TW"/>
        </w:rPr>
        <w:t>Pépion</w:t>
      </w:r>
      <w:proofErr w:type="spellEnd"/>
      <w:r w:rsidRPr="00A10A90">
        <w:rPr>
          <w:sz w:val="22"/>
          <w:lang w:eastAsia="zh-TW"/>
        </w:rPr>
        <w:t xml:space="preserve">, M. </w:t>
      </w:r>
      <w:proofErr w:type="spellStart"/>
      <w:r w:rsidRPr="00A10A90">
        <w:rPr>
          <w:sz w:val="22"/>
          <w:lang w:eastAsia="zh-TW"/>
        </w:rPr>
        <w:t>Pressigout</w:t>
      </w:r>
      <w:proofErr w:type="spellEnd"/>
      <w:r w:rsidRPr="00A10A90">
        <w:rPr>
          <w:sz w:val="22"/>
          <w:lang w:eastAsia="zh-TW"/>
        </w:rPr>
        <w:t xml:space="preserve">, L. Morin, P. </w:t>
      </w:r>
      <w:proofErr w:type="spellStart"/>
      <w:r w:rsidRPr="00A10A90">
        <w:rPr>
          <w:sz w:val="22"/>
          <w:lang w:eastAsia="zh-TW"/>
        </w:rPr>
        <w:t>Ndjiki-Nya</w:t>
      </w:r>
      <w:proofErr w:type="spellEnd"/>
      <w:r w:rsidRPr="00A10A90">
        <w:rPr>
          <w:sz w:val="22"/>
          <w:lang w:eastAsia="zh-TW"/>
        </w:rPr>
        <w:t xml:space="preserve">, and P. Le </w:t>
      </w:r>
      <w:proofErr w:type="spellStart"/>
      <w:r w:rsidRPr="00A10A90">
        <w:rPr>
          <w:sz w:val="22"/>
          <w:lang w:eastAsia="zh-TW"/>
        </w:rPr>
        <w:t>Callet</w:t>
      </w:r>
      <w:proofErr w:type="spellEnd"/>
      <w:r w:rsidRPr="00A10A90">
        <w:rPr>
          <w:sz w:val="22"/>
          <w:lang w:eastAsia="zh-TW"/>
        </w:rPr>
        <w:t>, "Can 3D synthesized views be reliably assessed through usual subjective and objective evaluation protocols</w:t>
      </w:r>
      <w:proofErr w:type="gramStart"/>
      <w:r w:rsidRPr="00A10A90">
        <w:rPr>
          <w:sz w:val="22"/>
          <w:lang w:eastAsia="zh-TW"/>
        </w:rPr>
        <w:t>?,</w:t>
      </w:r>
      <w:proofErr w:type="gramEnd"/>
      <w:r w:rsidRPr="00A10A90">
        <w:rPr>
          <w:sz w:val="22"/>
          <w:lang w:eastAsia="zh-TW"/>
        </w:rPr>
        <w:t>" in International Conference on Image Processing, 2011, pp. 2597-2600.</w:t>
      </w:r>
      <w:bookmarkEnd w:id="8"/>
      <w:bookmarkEnd w:id="37"/>
    </w:p>
    <w:p w14:paraId="4A33C166" w14:textId="77777777" w:rsidR="001F2594" w:rsidRPr="00A10A90" w:rsidRDefault="001F2594" w:rsidP="00851778">
      <w:pPr>
        <w:pStyle w:val="Heading1"/>
      </w:pPr>
      <w:r w:rsidRPr="00A10A90">
        <w:t>Patent rights declaration</w:t>
      </w:r>
      <w:r w:rsidR="00B94B06" w:rsidRPr="00A10A90">
        <w:t>(s)</w:t>
      </w:r>
    </w:p>
    <w:p w14:paraId="3E8F4789" w14:textId="77777777" w:rsidR="005801A2" w:rsidRPr="00A10A90" w:rsidRDefault="00851778" w:rsidP="005801A2">
      <w:pPr>
        <w:jc w:val="both"/>
        <w:rPr>
          <w:szCs w:val="22"/>
        </w:rPr>
      </w:pPr>
      <w:r w:rsidRPr="00A10A90">
        <w:rPr>
          <w:b/>
          <w:szCs w:val="22"/>
        </w:rPr>
        <w:t xml:space="preserve">EPFL </w:t>
      </w:r>
      <w:r w:rsidR="005801A2" w:rsidRPr="00A10A90">
        <w:rPr>
          <w:b/>
          <w:szCs w:val="22"/>
        </w:rPr>
        <w:t>does not have any current or pending patent rights relating to the technology described in this contribution.</w:t>
      </w:r>
    </w:p>
    <w:p w14:paraId="19B838AD" w14:textId="77777777" w:rsidR="007F1F8B" w:rsidRPr="00A10A90" w:rsidRDefault="007F1F8B" w:rsidP="009234A5">
      <w:pPr>
        <w:jc w:val="both"/>
        <w:rPr>
          <w:szCs w:val="22"/>
        </w:rPr>
      </w:pPr>
    </w:p>
    <w:sectPr w:rsidR="007F1F8B" w:rsidRPr="00A10A90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2A5C4" w14:textId="77777777" w:rsidR="00A10A90" w:rsidRDefault="00A10A90">
      <w:r>
        <w:separator/>
      </w:r>
    </w:p>
  </w:endnote>
  <w:endnote w:type="continuationSeparator" w:id="0">
    <w:p w14:paraId="539513BC" w14:textId="77777777" w:rsidR="00A10A90" w:rsidRDefault="00A10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4FAC5" w14:textId="77777777" w:rsidR="00A10A90" w:rsidRDefault="00A10A9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E0349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2012-07-11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85564" w14:textId="77777777" w:rsidR="00A10A90" w:rsidRDefault="00A10A90">
      <w:r>
        <w:separator/>
      </w:r>
    </w:p>
  </w:footnote>
  <w:footnote w:type="continuationSeparator" w:id="0">
    <w:p w14:paraId="736F7DFA" w14:textId="77777777" w:rsidR="00A10A90" w:rsidRDefault="00A10A90">
      <w:r>
        <w:continuationSeparator/>
      </w:r>
    </w:p>
  </w:footnote>
  <w:footnote w:id="1">
    <w:p w14:paraId="1E25CDB6" w14:textId="77777777" w:rsidR="00A10A90" w:rsidRPr="000B6413" w:rsidRDefault="00A10A90" w:rsidP="00CA2510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 w:rsidRPr="003333A0">
        <w:rPr>
          <w:sz w:val="20"/>
        </w:rPr>
        <w:t xml:space="preserve">This metric should not be confused with the weighted sum of the PSNR of the </w:t>
      </w:r>
      <w:proofErr w:type="spellStart"/>
      <w:r w:rsidRPr="003333A0">
        <w:rPr>
          <w:sz w:val="20"/>
        </w:rPr>
        <w:t>luma</w:t>
      </w:r>
      <w:proofErr w:type="spellEnd"/>
      <w:r w:rsidRPr="003333A0">
        <w:rPr>
          <w:sz w:val="20"/>
        </w:rPr>
        <w:t xml:space="preserve"> and </w:t>
      </w:r>
      <w:proofErr w:type="spellStart"/>
      <w:r w:rsidRPr="003333A0">
        <w:rPr>
          <w:sz w:val="20"/>
        </w:rPr>
        <w:t>chroma</w:t>
      </w:r>
      <w:proofErr w:type="spellEnd"/>
      <w:r w:rsidRPr="003333A0">
        <w:rPr>
          <w:sz w:val="20"/>
        </w:rPr>
        <w:t xml:space="preserve"> components.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CEA22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875676"/>
    <w:multiLevelType w:val="hybridMultilevel"/>
    <w:tmpl w:val="29FE4C8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A77A15"/>
    <w:multiLevelType w:val="hybridMultilevel"/>
    <w:tmpl w:val="8C10D1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C1019"/>
    <w:multiLevelType w:val="hybridMultilevel"/>
    <w:tmpl w:val="8A66E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250D63"/>
    <w:multiLevelType w:val="hybridMultilevel"/>
    <w:tmpl w:val="7F22A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20907"/>
    <w:multiLevelType w:val="hybridMultilevel"/>
    <w:tmpl w:val="07B02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85F7F"/>
    <w:multiLevelType w:val="hybridMultilevel"/>
    <w:tmpl w:val="DC623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006E81"/>
    <w:multiLevelType w:val="hybridMultilevel"/>
    <w:tmpl w:val="2AF8C4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88A644A"/>
    <w:multiLevelType w:val="hybridMultilevel"/>
    <w:tmpl w:val="49EA2B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335E7"/>
    <w:multiLevelType w:val="hybridMultilevel"/>
    <w:tmpl w:val="2C10F1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341F1"/>
    <w:multiLevelType w:val="hybridMultilevel"/>
    <w:tmpl w:val="E8AEE3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054910"/>
    <w:multiLevelType w:val="hybridMultilevel"/>
    <w:tmpl w:val="707EEC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EB18D2"/>
    <w:multiLevelType w:val="hybridMultilevel"/>
    <w:tmpl w:val="C804B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280F3A"/>
    <w:multiLevelType w:val="hybridMultilevel"/>
    <w:tmpl w:val="BBA2A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486FB1"/>
    <w:multiLevelType w:val="hybridMultilevel"/>
    <w:tmpl w:val="679C689C"/>
    <w:lvl w:ilvl="0" w:tplc="8B38858C">
      <w:start w:val="1"/>
      <w:numFmt w:val="decimal"/>
      <w:pStyle w:val="ListParagraph"/>
      <w:lvlText w:val="[%1]"/>
      <w:lvlJc w:val="left"/>
      <w:pPr>
        <w:ind w:left="360" w:hanging="360"/>
      </w:pPr>
      <w:rPr>
        <w:rFonts w:cs="Times New Roman" w:hint="default"/>
        <w:vertAlign w:val="baseline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5">
      <w:start w:val="1"/>
      <w:numFmt w:val="decimal"/>
      <w:lvlText w:val="(%5)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7C53FDA"/>
    <w:multiLevelType w:val="multilevel"/>
    <w:tmpl w:val="385209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7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8">
    <w:nsid w:val="7D2F4CF2"/>
    <w:multiLevelType w:val="hybridMultilevel"/>
    <w:tmpl w:val="38520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035C37"/>
    <w:multiLevelType w:val="hybridMultilevel"/>
    <w:tmpl w:val="F5EE2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23"/>
  </w:num>
  <w:num w:numId="4">
    <w:abstractNumId w:val="19"/>
  </w:num>
  <w:num w:numId="5">
    <w:abstractNumId w:val="20"/>
  </w:num>
  <w:num w:numId="6">
    <w:abstractNumId w:val="13"/>
  </w:num>
  <w:num w:numId="7">
    <w:abstractNumId w:val="17"/>
  </w:num>
  <w:num w:numId="8">
    <w:abstractNumId w:val="13"/>
  </w:num>
  <w:num w:numId="9">
    <w:abstractNumId w:val="3"/>
  </w:num>
  <w:num w:numId="10">
    <w:abstractNumId w:val="11"/>
  </w:num>
  <w:num w:numId="11">
    <w:abstractNumId w:val="7"/>
  </w:num>
  <w:num w:numId="12">
    <w:abstractNumId w:val="0"/>
  </w:num>
  <w:num w:numId="13">
    <w:abstractNumId w:val="27"/>
  </w:num>
  <w:num w:numId="14">
    <w:abstractNumId w:val="24"/>
  </w:num>
  <w:num w:numId="15">
    <w:abstractNumId w:val="10"/>
  </w:num>
  <w:num w:numId="16">
    <w:abstractNumId w:val="2"/>
  </w:num>
  <w:num w:numId="17">
    <w:abstractNumId w:val="29"/>
  </w:num>
  <w:num w:numId="18">
    <w:abstractNumId w:val="18"/>
  </w:num>
  <w:num w:numId="19">
    <w:abstractNumId w:val="16"/>
  </w:num>
  <w:num w:numId="20">
    <w:abstractNumId w:val="4"/>
  </w:num>
  <w:num w:numId="21">
    <w:abstractNumId w:val="5"/>
  </w:num>
  <w:num w:numId="22">
    <w:abstractNumId w:val="6"/>
  </w:num>
  <w:num w:numId="23">
    <w:abstractNumId w:val="8"/>
  </w:num>
  <w:num w:numId="24">
    <w:abstractNumId w:val="21"/>
  </w:num>
  <w:num w:numId="25">
    <w:abstractNumId w:val="12"/>
  </w:num>
  <w:num w:numId="26">
    <w:abstractNumId w:val="15"/>
  </w:num>
  <w:num w:numId="27">
    <w:abstractNumId w:val="9"/>
  </w:num>
  <w:num w:numId="28">
    <w:abstractNumId w:val="14"/>
  </w:num>
  <w:num w:numId="29">
    <w:abstractNumId w:val="28"/>
  </w:num>
  <w:num w:numId="30">
    <w:abstractNumId w:val="2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E0349"/>
    <w:rsid w:val="000F158C"/>
    <w:rsid w:val="00102F3D"/>
    <w:rsid w:val="0010643D"/>
    <w:rsid w:val="00115B0E"/>
    <w:rsid w:val="00124E38"/>
    <w:rsid w:val="0012580B"/>
    <w:rsid w:val="00131F90"/>
    <w:rsid w:val="0013526E"/>
    <w:rsid w:val="001519FC"/>
    <w:rsid w:val="00171371"/>
    <w:rsid w:val="00174420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28DD"/>
    <w:rsid w:val="00275BCF"/>
    <w:rsid w:val="002878F8"/>
    <w:rsid w:val="00292257"/>
    <w:rsid w:val="002A429B"/>
    <w:rsid w:val="002A54E0"/>
    <w:rsid w:val="002B1595"/>
    <w:rsid w:val="002B191D"/>
    <w:rsid w:val="002D0AF6"/>
    <w:rsid w:val="002F164D"/>
    <w:rsid w:val="00306206"/>
    <w:rsid w:val="00312FD2"/>
    <w:rsid w:val="00317D85"/>
    <w:rsid w:val="00327C56"/>
    <w:rsid w:val="003315A1"/>
    <w:rsid w:val="003333A0"/>
    <w:rsid w:val="003373EC"/>
    <w:rsid w:val="00342FF4"/>
    <w:rsid w:val="003706CC"/>
    <w:rsid w:val="00377710"/>
    <w:rsid w:val="003A2D8E"/>
    <w:rsid w:val="003C20E4"/>
    <w:rsid w:val="003D2E8F"/>
    <w:rsid w:val="003E6F90"/>
    <w:rsid w:val="003F5D0F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02E5A"/>
    <w:rsid w:val="0051015C"/>
    <w:rsid w:val="00516CF1"/>
    <w:rsid w:val="00531AE9"/>
    <w:rsid w:val="005350FF"/>
    <w:rsid w:val="00542E43"/>
    <w:rsid w:val="00550A66"/>
    <w:rsid w:val="00567EC7"/>
    <w:rsid w:val="00570013"/>
    <w:rsid w:val="005801A2"/>
    <w:rsid w:val="0058305D"/>
    <w:rsid w:val="005952A5"/>
    <w:rsid w:val="005A33A1"/>
    <w:rsid w:val="005B217D"/>
    <w:rsid w:val="005C385F"/>
    <w:rsid w:val="005E1AC6"/>
    <w:rsid w:val="005F6F1B"/>
    <w:rsid w:val="006107BA"/>
    <w:rsid w:val="00621EB3"/>
    <w:rsid w:val="00624B33"/>
    <w:rsid w:val="00630AA2"/>
    <w:rsid w:val="00646707"/>
    <w:rsid w:val="00662E58"/>
    <w:rsid w:val="00664DCF"/>
    <w:rsid w:val="006913E0"/>
    <w:rsid w:val="006C5D39"/>
    <w:rsid w:val="006E23CC"/>
    <w:rsid w:val="006E2810"/>
    <w:rsid w:val="006E5417"/>
    <w:rsid w:val="006F3C05"/>
    <w:rsid w:val="00712101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E5C43"/>
    <w:rsid w:val="007F1F8B"/>
    <w:rsid w:val="007F67A1"/>
    <w:rsid w:val="0081016C"/>
    <w:rsid w:val="008206C8"/>
    <w:rsid w:val="008403D0"/>
    <w:rsid w:val="00851778"/>
    <w:rsid w:val="00865A44"/>
    <w:rsid w:val="00874A6C"/>
    <w:rsid w:val="00876C65"/>
    <w:rsid w:val="008A4B4C"/>
    <w:rsid w:val="008C16B9"/>
    <w:rsid w:val="008C239F"/>
    <w:rsid w:val="008C6A02"/>
    <w:rsid w:val="008E480C"/>
    <w:rsid w:val="009027DF"/>
    <w:rsid w:val="00907757"/>
    <w:rsid w:val="009212B0"/>
    <w:rsid w:val="009234A5"/>
    <w:rsid w:val="009336F7"/>
    <w:rsid w:val="009374A7"/>
    <w:rsid w:val="0094119E"/>
    <w:rsid w:val="0098551D"/>
    <w:rsid w:val="0099518F"/>
    <w:rsid w:val="009A523D"/>
    <w:rsid w:val="009D0AA2"/>
    <w:rsid w:val="009F496B"/>
    <w:rsid w:val="009F7338"/>
    <w:rsid w:val="00A0106D"/>
    <w:rsid w:val="00A01439"/>
    <w:rsid w:val="00A02E61"/>
    <w:rsid w:val="00A05CFF"/>
    <w:rsid w:val="00A10A90"/>
    <w:rsid w:val="00A2758E"/>
    <w:rsid w:val="00A56B97"/>
    <w:rsid w:val="00A6093D"/>
    <w:rsid w:val="00A76A6D"/>
    <w:rsid w:val="00A83253"/>
    <w:rsid w:val="00AA6E84"/>
    <w:rsid w:val="00AB2494"/>
    <w:rsid w:val="00AD5818"/>
    <w:rsid w:val="00AE341B"/>
    <w:rsid w:val="00B05C50"/>
    <w:rsid w:val="00B07216"/>
    <w:rsid w:val="00B07CA7"/>
    <w:rsid w:val="00B1279A"/>
    <w:rsid w:val="00B32499"/>
    <w:rsid w:val="00B5222E"/>
    <w:rsid w:val="00B61C96"/>
    <w:rsid w:val="00B6331D"/>
    <w:rsid w:val="00B73A2A"/>
    <w:rsid w:val="00B761C3"/>
    <w:rsid w:val="00B94B06"/>
    <w:rsid w:val="00B94C28"/>
    <w:rsid w:val="00BC10BA"/>
    <w:rsid w:val="00BC5AFD"/>
    <w:rsid w:val="00C04F43"/>
    <w:rsid w:val="00C0609D"/>
    <w:rsid w:val="00C0759D"/>
    <w:rsid w:val="00C115AB"/>
    <w:rsid w:val="00C15D2D"/>
    <w:rsid w:val="00C30249"/>
    <w:rsid w:val="00C351CB"/>
    <w:rsid w:val="00C3723B"/>
    <w:rsid w:val="00C606C9"/>
    <w:rsid w:val="00C62BB5"/>
    <w:rsid w:val="00C80288"/>
    <w:rsid w:val="00C84003"/>
    <w:rsid w:val="00C90650"/>
    <w:rsid w:val="00C96F54"/>
    <w:rsid w:val="00C97D78"/>
    <w:rsid w:val="00CA2510"/>
    <w:rsid w:val="00CC2AAE"/>
    <w:rsid w:val="00CC5A42"/>
    <w:rsid w:val="00CD0EAB"/>
    <w:rsid w:val="00CE0A4C"/>
    <w:rsid w:val="00CF34DB"/>
    <w:rsid w:val="00CF558F"/>
    <w:rsid w:val="00D073E2"/>
    <w:rsid w:val="00D446EC"/>
    <w:rsid w:val="00D51BF0"/>
    <w:rsid w:val="00D55942"/>
    <w:rsid w:val="00D74EAB"/>
    <w:rsid w:val="00D807BF"/>
    <w:rsid w:val="00DA3A32"/>
    <w:rsid w:val="00DA66BF"/>
    <w:rsid w:val="00DA7887"/>
    <w:rsid w:val="00DB2C26"/>
    <w:rsid w:val="00DE6B43"/>
    <w:rsid w:val="00E11923"/>
    <w:rsid w:val="00E21F20"/>
    <w:rsid w:val="00E262D4"/>
    <w:rsid w:val="00E32D42"/>
    <w:rsid w:val="00E36250"/>
    <w:rsid w:val="00E463CF"/>
    <w:rsid w:val="00E54511"/>
    <w:rsid w:val="00E6059C"/>
    <w:rsid w:val="00E61DAC"/>
    <w:rsid w:val="00E72B80"/>
    <w:rsid w:val="00E75FE3"/>
    <w:rsid w:val="00E76ACF"/>
    <w:rsid w:val="00E86C4C"/>
    <w:rsid w:val="00E9460C"/>
    <w:rsid w:val="00E94A53"/>
    <w:rsid w:val="00E97E1E"/>
    <w:rsid w:val="00EA3098"/>
    <w:rsid w:val="00EA6089"/>
    <w:rsid w:val="00EB7AB1"/>
    <w:rsid w:val="00EC4492"/>
    <w:rsid w:val="00EF2F15"/>
    <w:rsid w:val="00EF48CC"/>
    <w:rsid w:val="00EF77E1"/>
    <w:rsid w:val="00F175E2"/>
    <w:rsid w:val="00F2332A"/>
    <w:rsid w:val="00F722A7"/>
    <w:rsid w:val="00F73032"/>
    <w:rsid w:val="00F77B83"/>
    <w:rsid w:val="00F80A4D"/>
    <w:rsid w:val="00F848FC"/>
    <w:rsid w:val="00F916D9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A87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A2510"/>
    <w:rPr>
      <w:rFonts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CA2510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autoRedefine/>
    <w:qFormat/>
    <w:rsid w:val="00CA251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after="120"/>
      <w:jc w:val="center"/>
      <w:textAlignment w:val="auto"/>
    </w:pPr>
    <w:rPr>
      <w:rFonts w:eastAsia="MS Mincho"/>
      <w:b/>
      <w:sz w:val="24"/>
      <w:szCs w:val="24"/>
      <w:lang w:eastAsia="de-DE"/>
    </w:rPr>
  </w:style>
  <w:style w:type="paragraph" w:customStyle="1" w:styleId="SPIEreferencelisting">
    <w:name w:val="SPIE reference listing"/>
    <w:basedOn w:val="Normal"/>
    <w:rsid w:val="00CA2510"/>
    <w:pPr>
      <w:numPr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PMingLiU"/>
      <w:sz w:val="24"/>
      <w:lang w:eastAsia="de-DE"/>
    </w:rPr>
  </w:style>
  <w:style w:type="paragraph" w:styleId="ListParagraph">
    <w:name w:val="List Paragraph"/>
    <w:basedOn w:val="Normal"/>
    <w:qFormat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mbria" w:hAnsi="Cambria"/>
      <w:szCs w:val="22"/>
      <w:lang w:val="en-GB"/>
    </w:rPr>
  </w:style>
  <w:style w:type="paragraph" w:customStyle="1" w:styleId="NoteLevel21">
    <w:name w:val="Note Level 21"/>
    <w:basedOn w:val="Normal"/>
    <w:rsid w:val="00CA2510"/>
    <w:pPr>
      <w:keepNext/>
      <w:tabs>
        <w:tab w:val="clear" w:pos="360"/>
        <w:tab w:val="clear" w:pos="1080"/>
        <w:tab w:val="clear" w:pos="1440"/>
        <w:tab w:val="num" w:pos="720"/>
      </w:tabs>
      <w:overflowPunct/>
      <w:autoSpaceDE/>
      <w:autoSpaceDN/>
      <w:adjustRightInd/>
      <w:spacing w:before="0"/>
      <w:ind w:left="1080" w:hanging="360"/>
      <w:contextualSpacing/>
      <w:jc w:val="both"/>
      <w:textAlignment w:val="auto"/>
      <w:outlineLvl w:val="1"/>
    </w:pPr>
    <w:rPr>
      <w:rFonts w:ascii="Verdana" w:eastAsia="MS Mincho" w:hAnsi="Verdana"/>
      <w:sz w:val="24"/>
      <w:szCs w:val="24"/>
    </w:rPr>
  </w:style>
  <w:style w:type="character" w:customStyle="1" w:styleId="apple-converted-space">
    <w:name w:val="apple-converted-space"/>
    <w:rsid w:val="00CA2510"/>
    <w:rPr>
      <w:rFonts w:cs="Times New Roman"/>
    </w:rPr>
  </w:style>
  <w:style w:type="character" w:styleId="PlaceholderText">
    <w:name w:val="Placeholder Text"/>
    <w:rsid w:val="00CA2510"/>
    <w:rPr>
      <w:rFonts w:cs="Times New Roman"/>
      <w:color w:val="808080"/>
    </w:rPr>
  </w:style>
  <w:style w:type="character" w:styleId="CommentReference">
    <w:name w:val="annotation reference"/>
    <w:rsid w:val="00CA25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MS Mincho"/>
      <w:sz w:val="20"/>
    </w:rPr>
  </w:style>
  <w:style w:type="character" w:customStyle="1" w:styleId="CommentTextChar">
    <w:name w:val="Comment Text Char"/>
    <w:basedOn w:val="DefaultParagraphFont"/>
    <w:link w:val="CommentText"/>
    <w:rsid w:val="00CA2510"/>
    <w:rPr>
      <w:rFonts w:eastAsia="MS Mincho"/>
    </w:rPr>
  </w:style>
  <w:style w:type="paragraph" w:styleId="CommentSubject">
    <w:name w:val="annotation subject"/>
    <w:basedOn w:val="CommentText"/>
    <w:next w:val="CommentText"/>
    <w:link w:val="CommentSubjectChar"/>
    <w:rsid w:val="00CA2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2510"/>
    <w:rPr>
      <w:rFonts w:eastAsia="MS Mincho"/>
      <w:b/>
      <w:bCs/>
    </w:rPr>
  </w:style>
  <w:style w:type="paragraph" w:styleId="Revision">
    <w:name w:val="Revision"/>
    <w:hidden/>
    <w:rsid w:val="00CA2510"/>
    <w:rPr>
      <w:rFonts w:eastAsia="MS Mincho"/>
      <w:sz w:val="24"/>
      <w:szCs w:val="24"/>
    </w:rPr>
  </w:style>
  <w:style w:type="paragraph" w:styleId="FootnoteText">
    <w:name w:val="footnote text"/>
    <w:basedOn w:val="Normal"/>
    <w:link w:val="FootnoteTextChar"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MS Mincho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CA2510"/>
    <w:rPr>
      <w:rFonts w:eastAsia="MS Mincho"/>
      <w:sz w:val="24"/>
      <w:szCs w:val="24"/>
    </w:rPr>
  </w:style>
  <w:style w:type="character" w:styleId="FootnoteReference">
    <w:name w:val="footnote reference"/>
    <w:basedOn w:val="DefaultParagraphFont"/>
    <w:rsid w:val="00CA2510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A2510"/>
    <w:rPr>
      <w:rFonts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CA2510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autoRedefine/>
    <w:qFormat/>
    <w:rsid w:val="00CA251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after="120"/>
      <w:jc w:val="center"/>
      <w:textAlignment w:val="auto"/>
    </w:pPr>
    <w:rPr>
      <w:rFonts w:eastAsia="MS Mincho"/>
      <w:b/>
      <w:sz w:val="24"/>
      <w:szCs w:val="24"/>
      <w:lang w:eastAsia="de-DE"/>
    </w:rPr>
  </w:style>
  <w:style w:type="paragraph" w:customStyle="1" w:styleId="SPIEreferencelisting">
    <w:name w:val="SPIE reference listing"/>
    <w:basedOn w:val="Normal"/>
    <w:rsid w:val="00CA2510"/>
    <w:pPr>
      <w:numPr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PMingLiU"/>
      <w:sz w:val="24"/>
      <w:lang w:eastAsia="de-DE"/>
    </w:rPr>
  </w:style>
  <w:style w:type="paragraph" w:styleId="ListParagraph">
    <w:name w:val="List Paragraph"/>
    <w:basedOn w:val="Normal"/>
    <w:qFormat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mbria" w:hAnsi="Cambria"/>
      <w:szCs w:val="22"/>
      <w:lang w:val="en-GB"/>
    </w:rPr>
  </w:style>
  <w:style w:type="paragraph" w:customStyle="1" w:styleId="NoteLevel21">
    <w:name w:val="Note Level 21"/>
    <w:basedOn w:val="Normal"/>
    <w:rsid w:val="00CA2510"/>
    <w:pPr>
      <w:keepNext/>
      <w:tabs>
        <w:tab w:val="clear" w:pos="360"/>
        <w:tab w:val="clear" w:pos="1080"/>
        <w:tab w:val="clear" w:pos="1440"/>
        <w:tab w:val="num" w:pos="720"/>
      </w:tabs>
      <w:overflowPunct/>
      <w:autoSpaceDE/>
      <w:autoSpaceDN/>
      <w:adjustRightInd/>
      <w:spacing w:before="0"/>
      <w:ind w:left="1080" w:hanging="360"/>
      <w:contextualSpacing/>
      <w:jc w:val="both"/>
      <w:textAlignment w:val="auto"/>
      <w:outlineLvl w:val="1"/>
    </w:pPr>
    <w:rPr>
      <w:rFonts w:ascii="Verdana" w:eastAsia="MS Mincho" w:hAnsi="Verdana"/>
      <w:sz w:val="24"/>
      <w:szCs w:val="24"/>
    </w:rPr>
  </w:style>
  <w:style w:type="character" w:customStyle="1" w:styleId="apple-converted-space">
    <w:name w:val="apple-converted-space"/>
    <w:rsid w:val="00CA2510"/>
    <w:rPr>
      <w:rFonts w:cs="Times New Roman"/>
    </w:rPr>
  </w:style>
  <w:style w:type="character" w:styleId="PlaceholderText">
    <w:name w:val="Placeholder Text"/>
    <w:rsid w:val="00CA2510"/>
    <w:rPr>
      <w:rFonts w:cs="Times New Roman"/>
      <w:color w:val="808080"/>
    </w:rPr>
  </w:style>
  <w:style w:type="character" w:styleId="CommentReference">
    <w:name w:val="annotation reference"/>
    <w:rsid w:val="00CA25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MS Mincho"/>
      <w:sz w:val="20"/>
    </w:rPr>
  </w:style>
  <w:style w:type="character" w:customStyle="1" w:styleId="CommentTextChar">
    <w:name w:val="Comment Text Char"/>
    <w:basedOn w:val="DefaultParagraphFont"/>
    <w:link w:val="CommentText"/>
    <w:rsid w:val="00CA2510"/>
    <w:rPr>
      <w:rFonts w:eastAsia="MS Mincho"/>
    </w:rPr>
  </w:style>
  <w:style w:type="paragraph" w:styleId="CommentSubject">
    <w:name w:val="annotation subject"/>
    <w:basedOn w:val="CommentText"/>
    <w:next w:val="CommentText"/>
    <w:link w:val="CommentSubjectChar"/>
    <w:rsid w:val="00CA2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2510"/>
    <w:rPr>
      <w:rFonts w:eastAsia="MS Mincho"/>
      <w:b/>
      <w:bCs/>
    </w:rPr>
  </w:style>
  <w:style w:type="paragraph" w:styleId="Revision">
    <w:name w:val="Revision"/>
    <w:hidden/>
    <w:rsid w:val="00CA2510"/>
    <w:rPr>
      <w:rFonts w:eastAsia="MS Mincho"/>
      <w:sz w:val="24"/>
      <w:szCs w:val="24"/>
    </w:rPr>
  </w:style>
  <w:style w:type="paragraph" w:styleId="FootnoteText">
    <w:name w:val="footnote text"/>
    <w:basedOn w:val="Normal"/>
    <w:link w:val="FootnoteTextChar"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MS Mincho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CA2510"/>
    <w:rPr>
      <w:rFonts w:eastAsia="MS Mincho"/>
      <w:sz w:val="24"/>
      <w:szCs w:val="24"/>
    </w:rPr>
  </w:style>
  <w:style w:type="character" w:styleId="FootnoteReference">
    <w:name w:val="footnote reference"/>
    <w:basedOn w:val="DefaultParagraphFont"/>
    <w:rsid w:val="00CA25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0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2268</Words>
  <Characters>12933</Characters>
  <Application>Microsoft Macintosh Word</Application>
  <DocSecurity>0</DocSecurity>
  <Lines>107</Lines>
  <Paragraphs>30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15171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Philippe Hanhart</cp:lastModifiedBy>
  <cp:revision>45</cp:revision>
  <cp:lastPrinted>1900-12-31T23:00:00Z</cp:lastPrinted>
  <dcterms:created xsi:type="dcterms:W3CDTF">2012-07-11T14:34:00Z</dcterms:created>
  <dcterms:modified xsi:type="dcterms:W3CDTF">2012-07-11T21:17:00Z</dcterms:modified>
</cp:coreProperties>
</file>