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5B217D" w:rsidTr="00E21F20">
        <w:tc>
          <w:tcPr>
            <w:tcW w:w="6858" w:type="dxa"/>
          </w:tcPr>
          <w:p w:rsidR="006C5D39" w:rsidRPr="005B217D" w:rsidRDefault="000B79BC" w:rsidP="00C97D78">
            <w:pPr>
              <w:tabs>
                <w:tab w:val="left" w:pos="7200"/>
              </w:tabs>
              <w:spacing w:before="0"/>
              <w:rPr>
                <w:b/>
                <w:szCs w:val="22"/>
                <w:lang w:val="en-CA"/>
              </w:rPr>
            </w:pPr>
            <w:r w:rsidRPr="000B79BC">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87F3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87F3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E21F20">
              <w:rPr>
                <w:b/>
                <w:szCs w:val="22"/>
                <w:lang w:val="en-CA"/>
              </w:rPr>
              <w:t>3D Video Coding Extension Development</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E21F20" w:rsidP="000B4FF9">
            <w:pPr>
              <w:tabs>
                <w:tab w:val="left" w:pos="7200"/>
              </w:tabs>
              <w:spacing w:before="0"/>
              <w:rPr>
                <w:b/>
                <w:szCs w:val="22"/>
                <w:lang w:val="en-CA"/>
              </w:rPr>
            </w:pPr>
            <w:r>
              <w:rPr>
                <w:szCs w:val="22"/>
                <w:lang w:val="en-CA"/>
              </w:rPr>
              <w:t>1st</w:t>
            </w:r>
            <w:r w:rsidR="00E61DAC" w:rsidRPr="005B217D">
              <w:rPr>
                <w:szCs w:val="22"/>
                <w:lang w:val="en-CA"/>
              </w:rPr>
              <w:t xml:space="preserve"> Meeting: </w:t>
            </w:r>
            <w:r w:rsidR="000B4FF9">
              <w:rPr>
                <w:szCs w:val="22"/>
                <w:lang w:val="en-CA"/>
              </w:rPr>
              <w:t>Stockholm</w:t>
            </w:r>
            <w:r w:rsidR="005E1AC6" w:rsidRPr="005E1AC6">
              <w:rPr>
                <w:szCs w:val="22"/>
                <w:lang w:val="en-CA"/>
              </w:rPr>
              <w:t xml:space="preserve">, </w:t>
            </w:r>
            <w:r w:rsidR="000B4FF9">
              <w:rPr>
                <w:szCs w:val="22"/>
                <w:lang w:val="en-CA"/>
              </w:rPr>
              <w:t>SE</w:t>
            </w:r>
            <w:r w:rsidR="005E1AC6" w:rsidRPr="005E1AC6">
              <w:rPr>
                <w:szCs w:val="22"/>
                <w:lang w:val="en-CA"/>
              </w:rPr>
              <w:t xml:space="preserve">, </w:t>
            </w:r>
            <w:r>
              <w:rPr>
                <w:szCs w:val="22"/>
                <w:lang w:val="en-CA"/>
              </w:rPr>
              <w:t>16</w:t>
            </w:r>
            <w:r w:rsidR="005E1AC6" w:rsidRPr="005E1AC6">
              <w:rPr>
                <w:szCs w:val="22"/>
                <w:lang w:val="en-CA"/>
              </w:rPr>
              <w:t>–</w:t>
            </w:r>
            <w:r w:rsidR="000B4FF9">
              <w:rPr>
                <w:szCs w:val="22"/>
                <w:lang w:val="en-CA"/>
              </w:rPr>
              <w:t>20</w:t>
            </w:r>
            <w:r w:rsidR="005E1AC6" w:rsidRPr="005E1AC6">
              <w:rPr>
                <w:szCs w:val="22"/>
                <w:lang w:val="en-CA"/>
              </w:rPr>
              <w:t xml:space="preserve"> </w:t>
            </w:r>
            <w:r w:rsidR="000B4FF9">
              <w:rPr>
                <w:szCs w:val="22"/>
                <w:lang w:val="en-CA"/>
              </w:rPr>
              <w:t>Jul</w:t>
            </w:r>
            <w:r w:rsidR="005E1AC6" w:rsidRPr="005E1AC6">
              <w:rPr>
                <w:szCs w:val="22"/>
                <w:lang w:val="en-CA"/>
              </w:rPr>
              <w:t>y 2012</w:t>
            </w:r>
          </w:p>
        </w:tc>
        <w:tc>
          <w:tcPr>
            <w:tcW w:w="2718" w:type="dxa"/>
          </w:tcPr>
          <w:p w:rsidR="008A4B4C" w:rsidRPr="005B217D" w:rsidRDefault="00E61DAC" w:rsidP="00861D70">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E21F20">
              <w:rPr>
                <w:lang w:val="en-CA"/>
              </w:rPr>
              <w:t>2</w:t>
            </w:r>
            <w:r w:rsidRPr="005B217D">
              <w:rPr>
                <w:lang w:val="en-CA"/>
              </w:rPr>
              <w:t>-</w:t>
            </w:r>
            <w:r w:rsidR="00E21F20">
              <w:rPr>
                <w:lang w:val="en-CA"/>
              </w:rPr>
              <w:t>A</w:t>
            </w:r>
            <w:r w:rsidR="00861D70">
              <w:rPr>
                <w:rFonts w:hint="eastAsia"/>
                <w:lang w:val="en-CA" w:eastAsia="ko-KR"/>
              </w:rPr>
              <w:t>0042</w:t>
            </w:r>
          </w:p>
        </w:tc>
      </w:tr>
    </w:tbl>
    <w:p w:rsidR="00E61DAC" w:rsidRPr="005B217D" w:rsidRDefault="00E61DAC" w:rsidP="00531AE9">
      <w:pPr>
        <w:spacing w:before="0"/>
        <w:rPr>
          <w:lang w:val="en-CA"/>
        </w:rPr>
      </w:pPr>
    </w:p>
    <w:tbl>
      <w:tblPr>
        <w:tblW w:w="0" w:type="auto"/>
        <w:tblLayout w:type="fixed"/>
        <w:tblLook w:val="0000"/>
      </w:tblPr>
      <w:tblGrid>
        <w:gridCol w:w="1458"/>
        <w:gridCol w:w="3753"/>
        <w:gridCol w:w="851"/>
        <w:gridCol w:w="3514"/>
      </w:tblGrid>
      <w:tr w:rsidR="00CF6FFA" w:rsidRPr="005B217D">
        <w:tc>
          <w:tcPr>
            <w:tcW w:w="1458" w:type="dxa"/>
          </w:tcPr>
          <w:p w:rsidR="00CF6FFA" w:rsidRPr="005B217D" w:rsidRDefault="00CF6FFA">
            <w:pPr>
              <w:spacing w:before="60" w:after="60"/>
              <w:rPr>
                <w:i/>
                <w:szCs w:val="22"/>
                <w:lang w:val="en-CA"/>
              </w:rPr>
            </w:pPr>
            <w:r w:rsidRPr="005B217D">
              <w:rPr>
                <w:i/>
                <w:szCs w:val="22"/>
                <w:lang w:val="en-CA"/>
              </w:rPr>
              <w:t>Title:</w:t>
            </w:r>
          </w:p>
        </w:tc>
        <w:tc>
          <w:tcPr>
            <w:tcW w:w="8118" w:type="dxa"/>
            <w:gridSpan w:val="3"/>
          </w:tcPr>
          <w:p w:rsidR="00CF6FFA" w:rsidRPr="007F44FE" w:rsidRDefault="00F5276D" w:rsidP="00861D70">
            <w:pPr>
              <w:suppressAutoHyphens/>
              <w:spacing w:before="0"/>
              <w:rPr>
                <w:b/>
              </w:rPr>
            </w:pPr>
            <w:r w:rsidRPr="00F5276D">
              <w:rPr>
                <w:b/>
                <w:lang w:eastAsia="ko-KR"/>
              </w:rPr>
              <w:t>3D-AVC results on improved inside view motion prediction</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Status:</w:t>
            </w:r>
          </w:p>
        </w:tc>
        <w:tc>
          <w:tcPr>
            <w:tcW w:w="8118" w:type="dxa"/>
            <w:gridSpan w:val="3"/>
          </w:tcPr>
          <w:p w:rsidR="00546E28" w:rsidRPr="005B217D" w:rsidRDefault="00CD56F2" w:rsidP="00E21F20">
            <w:pPr>
              <w:spacing w:before="60" w:after="60"/>
              <w:rPr>
                <w:szCs w:val="22"/>
                <w:lang w:val="en-CA"/>
              </w:rPr>
            </w:pPr>
            <w:r>
              <w:rPr>
                <w:szCs w:val="22"/>
                <w:lang w:val="en-CA"/>
              </w:rPr>
              <w:t>Input document</w:t>
            </w:r>
          </w:p>
        </w:tc>
      </w:tr>
      <w:tr w:rsidR="00546E28" w:rsidRPr="005B217D">
        <w:tc>
          <w:tcPr>
            <w:tcW w:w="1458" w:type="dxa"/>
          </w:tcPr>
          <w:p w:rsidR="00546E28" w:rsidRPr="005B217D" w:rsidRDefault="00546E28">
            <w:pPr>
              <w:spacing w:before="60" w:after="60"/>
              <w:rPr>
                <w:i/>
                <w:szCs w:val="22"/>
                <w:lang w:val="en-CA"/>
              </w:rPr>
            </w:pPr>
            <w:r w:rsidRPr="005B217D">
              <w:rPr>
                <w:i/>
                <w:szCs w:val="22"/>
                <w:lang w:val="en-CA"/>
              </w:rPr>
              <w:t>Purpose:</w:t>
            </w:r>
          </w:p>
        </w:tc>
        <w:tc>
          <w:tcPr>
            <w:tcW w:w="8118" w:type="dxa"/>
            <w:gridSpan w:val="3"/>
          </w:tcPr>
          <w:p w:rsidR="00546E28" w:rsidRPr="005B217D" w:rsidRDefault="004611B4" w:rsidP="005E1AC6">
            <w:pPr>
              <w:spacing w:before="60" w:after="60"/>
              <w:rPr>
                <w:szCs w:val="22"/>
                <w:lang w:val="en-CA"/>
              </w:rPr>
            </w:pPr>
            <w:r>
              <w:rPr>
                <w:szCs w:val="22"/>
                <w:lang w:val="en-CA"/>
              </w:rPr>
              <w:t>Proposal</w:t>
            </w:r>
          </w:p>
        </w:tc>
      </w:tr>
      <w:tr w:rsidR="00CF6FFA" w:rsidRPr="005B217D" w:rsidTr="004909B3">
        <w:tc>
          <w:tcPr>
            <w:tcW w:w="1458" w:type="dxa"/>
          </w:tcPr>
          <w:p w:rsidR="00CF6FFA" w:rsidRPr="005B217D" w:rsidRDefault="00CF6FFA">
            <w:pPr>
              <w:spacing w:before="60" w:after="60"/>
              <w:rPr>
                <w:i/>
                <w:szCs w:val="22"/>
                <w:lang w:val="en-CA"/>
              </w:rPr>
            </w:pPr>
            <w:r w:rsidRPr="005B217D">
              <w:rPr>
                <w:i/>
                <w:szCs w:val="22"/>
                <w:lang w:val="en-CA"/>
              </w:rPr>
              <w:t>Author(s) or</w:t>
            </w:r>
            <w:r w:rsidRPr="005B217D">
              <w:rPr>
                <w:i/>
                <w:szCs w:val="22"/>
                <w:lang w:val="en-CA"/>
              </w:rPr>
              <w:br/>
              <w:t>Contact(s):</w:t>
            </w:r>
          </w:p>
        </w:tc>
        <w:tc>
          <w:tcPr>
            <w:tcW w:w="3753" w:type="dxa"/>
          </w:tcPr>
          <w:p w:rsidR="00CF6FFA" w:rsidRPr="006E6E0B" w:rsidRDefault="005939C4" w:rsidP="007276CB">
            <w:pPr>
              <w:spacing w:before="0"/>
              <w:rPr>
                <w:rFonts w:eastAsia="Malgun Gothic"/>
                <w:lang w:eastAsia="ja-JP"/>
              </w:rPr>
            </w:pPr>
            <w:r>
              <w:rPr>
                <w:rFonts w:hint="eastAsia"/>
                <w:lang w:eastAsia="ko-KR"/>
              </w:rPr>
              <w:t xml:space="preserve">Kwan-Jung </w:t>
            </w:r>
            <w:r w:rsidR="00CF6FFA" w:rsidRPr="006E6E0B">
              <w:rPr>
                <w:rFonts w:eastAsia="Malgun Gothic" w:hint="eastAsia"/>
                <w:lang w:eastAsia="ja-JP"/>
              </w:rPr>
              <w:t>Oh,</w:t>
            </w:r>
          </w:p>
          <w:p w:rsidR="00CF6FFA" w:rsidRPr="006E6E0B" w:rsidRDefault="00CF6FFA" w:rsidP="007276CB">
            <w:pPr>
              <w:spacing w:before="0"/>
              <w:rPr>
                <w:rFonts w:eastAsia="Malgun Gothic"/>
                <w:lang w:eastAsia="ja-JP"/>
              </w:rPr>
            </w:pPr>
            <w:proofErr w:type="spellStart"/>
            <w:r w:rsidRPr="006E6E0B">
              <w:rPr>
                <w:rFonts w:eastAsia="Malgun Gothic" w:hint="eastAsia"/>
                <w:lang w:eastAsia="ja-JP"/>
              </w:rPr>
              <w:t>Jaejoon</w:t>
            </w:r>
            <w:proofErr w:type="spellEnd"/>
            <w:r w:rsidRPr="006E6E0B">
              <w:rPr>
                <w:rFonts w:eastAsia="Malgun Gothic" w:hint="eastAsia"/>
                <w:lang w:eastAsia="ja-JP"/>
              </w:rPr>
              <w:t xml:space="preserve"> Lee, </w:t>
            </w:r>
          </w:p>
          <w:p w:rsidR="00CF6FFA" w:rsidRDefault="00CF6FFA" w:rsidP="007276CB">
            <w:pPr>
              <w:spacing w:before="0"/>
              <w:rPr>
                <w:lang w:val="de-DE" w:eastAsia="ja-JP"/>
              </w:rPr>
            </w:pPr>
            <w:r w:rsidRPr="00CF6FFA">
              <w:rPr>
                <w:rFonts w:eastAsia="Malgun Gothic" w:hint="eastAsia"/>
                <w:lang w:val="de-DE" w:eastAsia="ja-JP"/>
              </w:rPr>
              <w:t>Du</w:t>
            </w:r>
            <w:r w:rsidR="00F47A5A">
              <w:rPr>
                <w:rFonts w:hint="eastAsia"/>
                <w:lang w:val="de-DE" w:eastAsia="ko-KR"/>
              </w:rPr>
              <w:t>-</w:t>
            </w:r>
            <w:r w:rsidRPr="00CF6FFA">
              <w:rPr>
                <w:rFonts w:eastAsia="Malgun Gothic" w:hint="eastAsia"/>
                <w:lang w:val="de-DE" w:eastAsia="ja-JP"/>
              </w:rPr>
              <w:t>Sik Park</w:t>
            </w:r>
            <w:r w:rsidRPr="00CF6FFA">
              <w:rPr>
                <w:lang w:val="de-DE" w:eastAsia="ja-JP"/>
              </w:rPr>
              <w:t xml:space="preserve"> </w:t>
            </w:r>
          </w:p>
          <w:p w:rsidR="00CF6FFA" w:rsidRPr="00CF6FFA" w:rsidRDefault="00CF6FFA" w:rsidP="007276CB">
            <w:pPr>
              <w:spacing w:before="0"/>
              <w:rPr>
                <w:lang w:val="de-DE" w:eastAsia="ja-JP"/>
              </w:rPr>
            </w:pPr>
          </w:p>
        </w:tc>
        <w:tc>
          <w:tcPr>
            <w:tcW w:w="851" w:type="dxa"/>
          </w:tcPr>
          <w:p w:rsidR="00CF6FFA" w:rsidRPr="005B217D" w:rsidRDefault="00CF6FFA" w:rsidP="004909B3">
            <w:pPr>
              <w:spacing w:before="60" w:after="60"/>
              <w:rPr>
                <w:szCs w:val="22"/>
                <w:lang w:val="en-CA"/>
              </w:rPr>
            </w:pPr>
            <w:r w:rsidRPr="005B217D">
              <w:rPr>
                <w:szCs w:val="22"/>
                <w:lang w:val="en-CA"/>
              </w:rPr>
              <w:t>Email:</w:t>
            </w:r>
          </w:p>
        </w:tc>
        <w:tc>
          <w:tcPr>
            <w:tcW w:w="3514" w:type="dxa"/>
          </w:tcPr>
          <w:p w:rsidR="00CF6FFA" w:rsidRDefault="005939C4" w:rsidP="005952A5">
            <w:pPr>
              <w:spacing w:before="60" w:after="60"/>
              <w:rPr>
                <w:szCs w:val="22"/>
                <w:lang w:val="en-CA"/>
              </w:rPr>
            </w:pPr>
            <w:r>
              <w:rPr>
                <w:rFonts w:hint="eastAsia"/>
                <w:szCs w:val="22"/>
                <w:lang w:val="en-CA" w:eastAsia="ko-KR"/>
              </w:rPr>
              <w:t>kwanjung</w:t>
            </w:r>
            <w:r w:rsidR="00CD0B97" w:rsidRPr="00CD0B97">
              <w:rPr>
                <w:szCs w:val="22"/>
                <w:lang w:val="en-CA"/>
              </w:rPr>
              <w:t>.oh@samsung.com</w:t>
            </w:r>
          </w:p>
          <w:p w:rsidR="00CD0B97" w:rsidRDefault="002C2BD8" w:rsidP="005952A5">
            <w:pPr>
              <w:spacing w:before="60" w:after="60"/>
              <w:rPr>
                <w:rFonts w:hint="eastAsia"/>
                <w:szCs w:val="22"/>
                <w:lang w:val="en-CA" w:eastAsia="ko-KR"/>
              </w:rPr>
            </w:pPr>
            <w:r w:rsidRPr="002C2BD8">
              <w:rPr>
                <w:szCs w:val="22"/>
                <w:lang w:val="en-CA"/>
              </w:rPr>
              <w:t>jaejoon1.lee@samsung.com</w:t>
            </w:r>
          </w:p>
          <w:p w:rsidR="002C2BD8" w:rsidRDefault="002C2BD8" w:rsidP="002C2BD8">
            <w:pPr>
              <w:spacing w:before="60" w:after="60"/>
              <w:rPr>
                <w:szCs w:val="22"/>
                <w:lang w:val="en-CA"/>
              </w:rPr>
            </w:pPr>
            <w:r w:rsidRPr="009157A5">
              <w:rPr>
                <w:szCs w:val="22"/>
                <w:lang w:val="en-CA"/>
              </w:rPr>
              <w:t>dusikpark@samsung.com</w:t>
            </w:r>
          </w:p>
          <w:p w:rsidR="00CF6FFA" w:rsidRPr="005B217D" w:rsidRDefault="00CF6FFA" w:rsidP="004909B3">
            <w:pPr>
              <w:spacing w:before="60" w:after="60"/>
              <w:rPr>
                <w:szCs w:val="22"/>
                <w:lang w:val="en-CA"/>
              </w:rPr>
            </w:pPr>
            <w:r w:rsidRPr="004909B3">
              <w:rPr>
                <w:szCs w:val="22"/>
                <w:lang w:val="en-CA"/>
              </w:rPr>
              <w:br/>
            </w:r>
          </w:p>
        </w:tc>
      </w:tr>
      <w:tr w:rsidR="00CF6FFA" w:rsidRPr="005B217D">
        <w:tc>
          <w:tcPr>
            <w:tcW w:w="1458" w:type="dxa"/>
          </w:tcPr>
          <w:p w:rsidR="00CF6FFA" w:rsidRPr="005B217D" w:rsidRDefault="00CF6FFA">
            <w:pPr>
              <w:spacing w:before="60" w:after="60"/>
              <w:rPr>
                <w:i/>
                <w:szCs w:val="22"/>
                <w:lang w:val="en-CA"/>
              </w:rPr>
            </w:pPr>
            <w:r w:rsidRPr="005B217D">
              <w:rPr>
                <w:i/>
                <w:szCs w:val="22"/>
                <w:lang w:val="en-CA"/>
              </w:rPr>
              <w:t>Source:</w:t>
            </w:r>
          </w:p>
        </w:tc>
        <w:tc>
          <w:tcPr>
            <w:tcW w:w="8118" w:type="dxa"/>
            <w:gridSpan w:val="3"/>
          </w:tcPr>
          <w:p w:rsidR="00CF6FFA" w:rsidRPr="00CF6FFA" w:rsidRDefault="00CF6FFA" w:rsidP="008F3894">
            <w:pPr>
              <w:suppressAutoHyphens/>
              <w:spacing w:before="0"/>
              <w:rPr>
                <w:lang w:eastAsia="ko-KR"/>
              </w:rPr>
            </w:pPr>
            <w:r w:rsidRPr="00CF6FFA">
              <w:rPr>
                <w:rFonts w:hint="eastAsia"/>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rPr>
      </w:pPr>
      <w:r w:rsidRPr="005B217D">
        <w:rPr>
          <w:lang w:val="en-CA"/>
        </w:rPr>
        <w:t>Abstract</w:t>
      </w:r>
    </w:p>
    <w:p w:rsidR="00CF6FFA" w:rsidRDefault="00CF6FFA" w:rsidP="007276CB">
      <w:pPr>
        <w:jc w:val="both"/>
        <w:rPr>
          <w:lang w:eastAsia="ko-KR"/>
        </w:rPr>
      </w:pPr>
      <w:r w:rsidRPr="00D40BDB">
        <w:rPr>
          <w:lang w:eastAsia="ja-JP"/>
        </w:rPr>
        <w:t>Modifications o</w:t>
      </w:r>
      <w:r w:rsidR="007276CB">
        <w:rPr>
          <w:rFonts w:hint="eastAsia"/>
          <w:lang w:eastAsia="ko-KR"/>
        </w:rPr>
        <w:t>n</w:t>
      </w:r>
      <w:r w:rsidRPr="00D40BDB">
        <w:rPr>
          <w:lang w:eastAsia="ja-JP"/>
        </w:rPr>
        <w:t xml:space="preserve"> </w:t>
      </w:r>
      <w:r w:rsidR="007276CB">
        <w:rPr>
          <w:rFonts w:hint="eastAsia"/>
          <w:lang w:eastAsia="ko-KR"/>
        </w:rPr>
        <w:t>IVMP</w:t>
      </w:r>
      <w:r>
        <w:rPr>
          <w:lang w:eastAsia="ja-JP"/>
        </w:rPr>
        <w:t xml:space="preserve"> (</w:t>
      </w:r>
      <w:r w:rsidR="007276CB">
        <w:rPr>
          <w:rFonts w:hint="eastAsia"/>
          <w:lang w:eastAsia="ko-KR"/>
        </w:rPr>
        <w:t>Inside V</w:t>
      </w:r>
      <w:r w:rsidR="007276CB">
        <w:rPr>
          <w:lang w:eastAsia="ko-KR"/>
        </w:rPr>
        <w:t>i</w:t>
      </w:r>
      <w:r w:rsidR="007276CB">
        <w:rPr>
          <w:rFonts w:hint="eastAsia"/>
          <w:lang w:eastAsia="ko-KR"/>
        </w:rPr>
        <w:t>ew Motion Prediction</w:t>
      </w:r>
      <w:r>
        <w:rPr>
          <w:lang w:eastAsia="ja-JP"/>
        </w:rPr>
        <w:t xml:space="preserve">, </w:t>
      </w:r>
      <w:r w:rsidRPr="00341FB1">
        <w:rPr>
          <w:rFonts w:eastAsia="Malgun Gothic" w:hint="eastAsia"/>
          <w:lang w:eastAsia="ko-KR"/>
        </w:rPr>
        <w:t>M225</w:t>
      </w:r>
      <w:r w:rsidR="007276CB">
        <w:rPr>
          <w:rFonts w:hint="eastAsia"/>
          <w:lang w:eastAsia="ko-KR"/>
        </w:rPr>
        <w:t>83</w:t>
      </w:r>
      <w:r>
        <w:rPr>
          <w:rFonts w:eastAsia="Malgun Gothic"/>
          <w:lang w:eastAsia="ko-KR"/>
        </w:rPr>
        <w:t xml:space="preserve">) </w:t>
      </w:r>
      <w:r>
        <w:rPr>
          <w:lang w:eastAsia="ja-JP"/>
        </w:rPr>
        <w:t xml:space="preserve">are proposed to </w:t>
      </w:r>
      <w:r w:rsidR="007276CB">
        <w:rPr>
          <w:rFonts w:hint="eastAsia"/>
          <w:lang w:eastAsia="ko-KR"/>
        </w:rPr>
        <w:t>improve</w:t>
      </w:r>
      <w:r>
        <w:rPr>
          <w:lang w:eastAsia="ja-JP"/>
        </w:rPr>
        <w:t xml:space="preserve"> coding gains. </w:t>
      </w:r>
      <w:r w:rsidR="007276CB">
        <w:rPr>
          <w:rFonts w:hint="eastAsia"/>
          <w:lang w:eastAsia="ko-KR"/>
        </w:rPr>
        <w:t xml:space="preserve">IVMP </w:t>
      </w:r>
      <w:r w:rsidR="007276CB">
        <w:rPr>
          <w:lang w:eastAsia="ko-KR"/>
        </w:rPr>
        <w:t>availability</w:t>
      </w:r>
      <w:r w:rsidR="007276CB">
        <w:rPr>
          <w:rFonts w:hint="eastAsia"/>
          <w:lang w:eastAsia="ko-KR"/>
        </w:rPr>
        <w:t xml:space="preserve"> </w:t>
      </w:r>
      <w:r w:rsidR="008F3894">
        <w:rPr>
          <w:rFonts w:hint="eastAsia"/>
          <w:lang w:eastAsia="ko-KR"/>
        </w:rPr>
        <w:t xml:space="preserve">conditions and motion prediction method are changed. </w:t>
      </w:r>
      <w:r w:rsidR="00F143FA">
        <w:rPr>
          <w:rFonts w:hint="eastAsia"/>
          <w:lang w:eastAsia="ko-KR"/>
        </w:rPr>
        <w:t xml:space="preserve">Other parts including syntaxes are not changed at all. </w:t>
      </w:r>
      <w:r w:rsidR="007276CB">
        <w:rPr>
          <w:rFonts w:hint="eastAsia"/>
          <w:lang w:eastAsia="ko-KR"/>
        </w:rPr>
        <w:t xml:space="preserve">The proposed </w:t>
      </w:r>
      <w:r w:rsidR="00F143FA">
        <w:rPr>
          <w:rFonts w:hint="eastAsia"/>
          <w:lang w:eastAsia="ko-KR"/>
        </w:rPr>
        <w:t>algorithms</w:t>
      </w:r>
      <w:r w:rsidR="007276CB">
        <w:rPr>
          <w:rFonts w:hint="eastAsia"/>
          <w:lang w:eastAsia="ko-KR"/>
        </w:rPr>
        <w:t xml:space="preserve"> are tested using </w:t>
      </w:r>
      <w:r w:rsidR="00F143FA">
        <w:rPr>
          <w:rFonts w:hint="eastAsia"/>
          <w:lang w:eastAsia="ko-KR"/>
        </w:rPr>
        <w:t>3D-</w:t>
      </w:r>
      <w:r w:rsidR="007276CB">
        <w:rPr>
          <w:rFonts w:hint="eastAsia"/>
          <w:lang w:eastAsia="ko-KR"/>
        </w:rPr>
        <w:t>ATM</w:t>
      </w:r>
      <w:r w:rsidR="00F143FA">
        <w:rPr>
          <w:rFonts w:hint="eastAsia"/>
          <w:lang w:eastAsia="ko-KR"/>
        </w:rPr>
        <w:t xml:space="preserve"> version 0.4</w:t>
      </w:r>
      <w:r w:rsidR="007276CB">
        <w:rPr>
          <w:rFonts w:hint="eastAsia"/>
          <w:lang w:eastAsia="ko-KR"/>
        </w:rPr>
        <w:t xml:space="preserve"> with CTC.</w:t>
      </w:r>
    </w:p>
    <w:p w:rsidR="00CD0B97" w:rsidRDefault="00CD0B97" w:rsidP="00CD0B97">
      <w:pPr>
        <w:pStyle w:val="1"/>
        <w:rPr>
          <w:lang w:eastAsia="ko-KR"/>
        </w:rPr>
      </w:pPr>
      <w:bookmarkStart w:id="0" w:name="_Ref315868187"/>
      <w:r>
        <w:rPr>
          <w:lang w:eastAsia="ja-JP"/>
        </w:rPr>
        <w:t xml:space="preserve">Proposed </w:t>
      </w:r>
      <w:r w:rsidRPr="00CD0B97">
        <w:t>modifications</w:t>
      </w:r>
      <w:r>
        <w:rPr>
          <w:lang w:eastAsia="ja-JP"/>
        </w:rPr>
        <w:t xml:space="preserve"> </w:t>
      </w:r>
    </w:p>
    <w:p w:rsidR="008F3894" w:rsidRDefault="008F3894" w:rsidP="008F3894">
      <w:pPr>
        <w:pStyle w:val="2"/>
        <w:rPr>
          <w:lang w:eastAsia="ja-JP"/>
        </w:rPr>
      </w:pPr>
      <w:r>
        <w:rPr>
          <w:rFonts w:hint="eastAsia"/>
          <w:lang w:eastAsia="ko-KR"/>
        </w:rPr>
        <w:t>IVMP Availability</w:t>
      </w:r>
      <w:r>
        <w:rPr>
          <w:lang w:eastAsia="ja-JP"/>
        </w:rPr>
        <w:t xml:space="preserve"> </w:t>
      </w:r>
    </w:p>
    <w:p w:rsidR="00AA6287" w:rsidRDefault="008F3894" w:rsidP="00F47A5A">
      <w:pPr>
        <w:jc w:val="both"/>
        <w:rPr>
          <w:lang w:eastAsia="ko-KR"/>
        </w:rPr>
      </w:pPr>
      <w:r>
        <w:rPr>
          <w:rFonts w:hint="eastAsia"/>
          <w:lang w:eastAsia="ko-KR"/>
        </w:rPr>
        <w:t xml:space="preserve">For the mixed </w:t>
      </w:r>
      <w:r>
        <w:rPr>
          <w:lang w:eastAsia="ko-KR"/>
        </w:rPr>
        <w:t>resolution</w:t>
      </w:r>
      <w:r>
        <w:rPr>
          <w:rFonts w:hint="eastAsia"/>
          <w:lang w:eastAsia="ko-KR"/>
        </w:rPr>
        <w:t xml:space="preserve"> </w:t>
      </w:r>
      <w:r w:rsidR="00F47A5A">
        <w:rPr>
          <w:rFonts w:hint="eastAsia"/>
          <w:lang w:eastAsia="ko-KR"/>
        </w:rPr>
        <w:t>3D video cases</w:t>
      </w:r>
      <w:r>
        <w:rPr>
          <w:rFonts w:hint="eastAsia"/>
          <w:lang w:eastAsia="ko-KR"/>
        </w:rPr>
        <w:t>, t</w:t>
      </w:r>
      <w:r w:rsidR="00CD0B97">
        <w:rPr>
          <w:lang w:eastAsia="ja-JP"/>
        </w:rPr>
        <w:t xml:space="preserve">he </w:t>
      </w:r>
      <w:r w:rsidR="00F47A5A">
        <w:rPr>
          <w:rFonts w:hint="eastAsia"/>
          <w:lang w:eastAsia="ko-KR"/>
        </w:rPr>
        <w:t xml:space="preserve">IVMP </w:t>
      </w:r>
      <w:r>
        <w:rPr>
          <w:rFonts w:hint="eastAsia"/>
          <w:lang w:eastAsia="ko-KR"/>
        </w:rPr>
        <w:t xml:space="preserve">is enabled when </w:t>
      </w:r>
      <w:r w:rsidR="00F47A5A">
        <w:rPr>
          <w:rFonts w:hint="eastAsia"/>
          <w:lang w:eastAsia="ko-KR"/>
        </w:rPr>
        <w:t xml:space="preserve">all of the corresponding </w:t>
      </w:r>
      <w:r>
        <w:rPr>
          <w:rFonts w:hint="eastAsia"/>
          <w:lang w:eastAsia="ko-KR"/>
        </w:rPr>
        <w:t>four texture macroblocks are coded as skip or inter 16x</w:t>
      </w:r>
      <w:r w:rsidR="00F47A5A">
        <w:rPr>
          <w:rFonts w:hint="eastAsia"/>
          <w:lang w:eastAsia="ko-KR"/>
        </w:rPr>
        <w:t xml:space="preserve">16 or inter 16x8 or inter 8x16. In the proposed modification, IVMP is allowed when at least one corresponding texture macroblock is coded as inter mode including P8x8 mode. Thus, more depth macroblocks have a chance to be encoded as IVMP. For the intra coded texture macroblock, motion information of inter coded neighboring macroblock is used. </w:t>
      </w:r>
    </w:p>
    <w:p w:rsidR="00AA6287" w:rsidRDefault="00AA6287" w:rsidP="00AA6287">
      <w:pPr>
        <w:pStyle w:val="2"/>
        <w:rPr>
          <w:lang w:eastAsia="ja-JP"/>
        </w:rPr>
      </w:pPr>
      <w:r>
        <w:rPr>
          <w:rFonts w:hint="eastAsia"/>
          <w:lang w:eastAsia="ko-KR"/>
        </w:rPr>
        <w:t>Motion Prediction</w:t>
      </w:r>
    </w:p>
    <w:p w:rsidR="00EB61DC" w:rsidRDefault="00914CBB" w:rsidP="00AA6287">
      <w:pPr>
        <w:jc w:val="both"/>
        <w:rPr>
          <w:lang w:eastAsia="ko-KR"/>
        </w:rPr>
      </w:pPr>
      <w:r>
        <w:rPr>
          <w:rFonts w:hint="eastAsia"/>
          <w:lang w:eastAsia="ko-KR"/>
        </w:rPr>
        <w:t xml:space="preserve">For the mixed </w:t>
      </w:r>
      <w:r>
        <w:rPr>
          <w:lang w:eastAsia="ko-KR"/>
        </w:rPr>
        <w:t>resolution</w:t>
      </w:r>
      <w:r>
        <w:rPr>
          <w:rFonts w:hint="eastAsia"/>
          <w:lang w:eastAsia="ko-KR"/>
        </w:rPr>
        <w:t xml:space="preserve"> 3D video cases, the four texture </w:t>
      </w:r>
      <w:r>
        <w:rPr>
          <w:lang w:eastAsia="ko-KR"/>
        </w:rPr>
        <w:t>macroblocks</w:t>
      </w:r>
      <w:r>
        <w:rPr>
          <w:rFonts w:hint="eastAsia"/>
          <w:lang w:eastAsia="ko-KR"/>
        </w:rPr>
        <w:t xml:space="preserve"> are corresponds to one depth </w:t>
      </w:r>
      <w:r>
        <w:rPr>
          <w:lang w:eastAsia="ko-KR"/>
        </w:rPr>
        <w:t>macroblock</w:t>
      </w:r>
      <w:r>
        <w:rPr>
          <w:rFonts w:hint="eastAsia"/>
          <w:lang w:eastAsia="ko-KR"/>
        </w:rPr>
        <w:t xml:space="preserve">. In IVMP, motion information of the one texture macroblock is </w:t>
      </w:r>
      <w:r>
        <w:rPr>
          <w:lang w:eastAsia="ko-KR"/>
        </w:rPr>
        <w:t>mapped</w:t>
      </w:r>
      <w:r>
        <w:rPr>
          <w:rFonts w:hint="eastAsia"/>
          <w:lang w:eastAsia="ko-KR"/>
        </w:rPr>
        <w:t xml:space="preserve"> to 8x8 sub-block of one depth macroblock as shown in Fig. 1. </w:t>
      </w:r>
    </w:p>
    <w:p w:rsidR="00EB61DC" w:rsidRDefault="00EB61DC" w:rsidP="00AA6287">
      <w:pPr>
        <w:jc w:val="both"/>
        <w:rPr>
          <w:lang w:eastAsia="ko-KR"/>
        </w:rPr>
      </w:pPr>
    </w:p>
    <w:p w:rsidR="00914CBB" w:rsidRDefault="00914CBB" w:rsidP="00345268">
      <w:pPr>
        <w:jc w:val="center"/>
        <w:rPr>
          <w:lang w:eastAsia="ko-KR"/>
        </w:rPr>
      </w:pPr>
      <w:r w:rsidRPr="00914CBB">
        <w:rPr>
          <w:noProof/>
          <w:lang w:eastAsia="ko-KR"/>
        </w:rPr>
        <w:drawing>
          <wp:inline distT="0" distB="0" distL="0" distR="0">
            <wp:extent cx="3267075" cy="1438275"/>
            <wp:effectExtent l="19050" t="0" r="0" b="0"/>
            <wp:docPr id="1" name="개체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533924" cy="2067325"/>
                      <a:chOff x="1985541" y="970881"/>
                      <a:chExt cx="4533924" cy="2067325"/>
                    </a:xfrm>
                  </a:grpSpPr>
                  <a:sp>
                    <a:nvSpPr>
                      <a:cNvPr id="12" name="직사각형 11"/>
                      <a:cNvSpPr/>
                    </a:nvSpPr>
                    <a:spPr>
                      <a:xfrm>
                        <a:off x="1985541" y="1340768"/>
                        <a:ext cx="864000" cy="864000"/>
                      </a:xfrm>
                      <a:prstGeom prst="rect">
                        <a:avLst/>
                      </a:prstGeom>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A</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직사각형 12"/>
                      <a:cNvSpPr/>
                    </a:nvSpPr>
                    <a:spPr>
                      <a:xfrm>
                        <a:off x="2843904" y="1340768"/>
                        <a:ext cx="864000" cy="864000"/>
                      </a:xfrm>
                      <a:prstGeom prst="rect">
                        <a:avLst/>
                      </a:prstGeom>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B</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직사각형 13"/>
                      <a:cNvSpPr/>
                    </a:nvSpPr>
                    <a:spPr>
                      <a:xfrm>
                        <a:off x="1985541" y="2174206"/>
                        <a:ext cx="864000" cy="864000"/>
                      </a:xfrm>
                      <a:prstGeom prst="rect">
                        <a:avLst/>
                      </a:prstGeom>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C</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직사각형 14"/>
                      <a:cNvSpPr/>
                    </a:nvSpPr>
                    <a:spPr>
                      <a:xfrm>
                        <a:off x="2843904" y="2174206"/>
                        <a:ext cx="864000" cy="864000"/>
                      </a:xfrm>
                      <a:prstGeom prst="rect">
                        <a:avLst/>
                      </a:prstGeom>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D</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TextBox 15"/>
                      <a:cNvSpPr txBox="1">
                        <a:spLocks noChangeArrowheads="1"/>
                      </a:cNvSpPr>
                    </a:nvSpPr>
                    <a:spPr bwMode="auto">
                      <a:xfrm>
                        <a:off x="2435821" y="970881"/>
                        <a:ext cx="835025" cy="338137"/>
                      </a:xfrm>
                      <a:prstGeom prst="rect">
                        <a:avLst/>
                      </a:prstGeom>
                      <a:noFill/>
                      <a:ln w="9525">
                        <a:noFill/>
                        <a:miter lim="800000"/>
                        <a:headEnd/>
                        <a:tailEnd/>
                      </a:ln>
                    </a:spPr>
                    <a:txSp>
                      <a:txBody>
                        <a:bodyPr wrap="none">
                          <a:spAutoFit/>
                        </a:bodyPr>
                        <a:lstStyle>
                          <a:defPPr>
                            <a:defRPr lang="ko-KR"/>
                          </a:defPPr>
                          <a:lvl1pPr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1pPr>
                          <a:lvl2pPr marL="4572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2pPr>
                          <a:lvl3pPr marL="9144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3pPr>
                          <a:lvl4pPr marL="13716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4pPr>
                          <a:lvl5pPr marL="18288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5pPr>
                          <a:lvl6pPr marL="2286000" algn="l" defTabSz="914400" rtl="0" eaLnBrk="1" latinLnBrk="0" hangingPunct="1">
                            <a:defRPr kumimoji="1" sz="1600" kern="1200">
                              <a:solidFill>
                                <a:schemeClr val="tx1"/>
                              </a:solidFill>
                              <a:latin typeface="산돌고딕B" pitchFamily="18" charset="-127"/>
                              <a:ea typeface="산돌고딕B" pitchFamily="18" charset="-127"/>
                              <a:cs typeface="+mn-cs"/>
                            </a:defRPr>
                          </a:lvl6pPr>
                          <a:lvl7pPr marL="2743200" algn="l" defTabSz="914400" rtl="0" eaLnBrk="1" latinLnBrk="0" hangingPunct="1">
                            <a:defRPr kumimoji="1" sz="1600" kern="1200">
                              <a:solidFill>
                                <a:schemeClr val="tx1"/>
                              </a:solidFill>
                              <a:latin typeface="산돌고딕B" pitchFamily="18" charset="-127"/>
                              <a:ea typeface="산돌고딕B" pitchFamily="18" charset="-127"/>
                              <a:cs typeface="+mn-cs"/>
                            </a:defRPr>
                          </a:lvl7pPr>
                          <a:lvl8pPr marL="3200400" algn="l" defTabSz="914400" rtl="0" eaLnBrk="1" latinLnBrk="0" hangingPunct="1">
                            <a:defRPr kumimoji="1" sz="1600" kern="1200">
                              <a:solidFill>
                                <a:schemeClr val="tx1"/>
                              </a:solidFill>
                              <a:latin typeface="산돌고딕B" pitchFamily="18" charset="-127"/>
                              <a:ea typeface="산돌고딕B" pitchFamily="18" charset="-127"/>
                              <a:cs typeface="+mn-cs"/>
                            </a:defRPr>
                          </a:lvl8pPr>
                          <a:lvl9pPr marL="3657600" algn="l" defTabSz="914400" rtl="0" eaLnBrk="1" latinLnBrk="0" hangingPunct="1">
                            <a:defRPr kumimoji="1" sz="1600" kern="1200">
                              <a:solidFill>
                                <a:schemeClr val="tx1"/>
                              </a:solidFill>
                              <a:latin typeface="산돌고딕B" pitchFamily="18" charset="-127"/>
                              <a:ea typeface="산돌고딕B" pitchFamily="18" charset="-127"/>
                              <a:cs typeface="+mn-cs"/>
                            </a:defRPr>
                          </a:lvl9pPr>
                        </a:lstStyle>
                        <a:p>
                          <a:pPr algn="ctr"/>
                          <a:r>
                            <a:rPr lang="en-US" dirty="0">
                              <a:latin typeface="Arial" charset="0"/>
                              <a:cs typeface="Arial" charset="0"/>
                            </a:rPr>
                            <a:t>texture</a:t>
                          </a:r>
                        </a:p>
                      </a:txBody>
                      <a:useSpRect/>
                    </a:txSp>
                  </a:sp>
                  <a:sp>
                    <a:nvSpPr>
                      <a:cNvPr id="17" name="직사각형 16"/>
                      <a:cNvSpPr/>
                    </a:nvSpPr>
                    <a:spPr>
                      <a:xfrm>
                        <a:off x="5654278" y="1773139"/>
                        <a:ext cx="431800" cy="431800"/>
                      </a:xfrm>
                      <a:prstGeom prst="rect">
                        <a:avLst/>
                      </a:prstGeom>
                      <a:solidFill>
                        <a:schemeClr val="accent2">
                          <a:lumMod val="60000"/>
                          <a:lumOff val="40000"/>
                        </a:schemeClr>
                      </a:solidFill>
                      <a:ln>
                        <a:solidFill>
                          <a:schemeClr val="accent2">
                            <a:lumMod val="75000"/>
                          </a:schemeClr>
                        </a:solidFill>
                      </a:ln>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A’</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직사각형 17"/>
                      <a:cNvSpPr/>
                    </a:nvSpPr>
                    <a:spPr>
                      <a:xfrm>
                        <a:off x="6086078" y="1773139"/>
                        <a:ext cx="433387" cy="431800"/>
                      </a:xfrm>
                      <a:prstGeom prst="rect">
                        <a:avLst/>
                      </a:prstGeom>
                      <a:solidFill>
                        <a:schemeClr val="accent2">
                          <a:lumMod val="60000"/>
                          <a:lumOff val="40000"/>
                        </a:schemeClr>
                      </a:solidFill>
                      <a:ln>
                        <a:solidFill>
                          <a:schemeClr val="accent2">
                            <a:lumMod val="75000"/>
                          </a:schemeClr>
                        </a:solidFill>
                      </a:ln>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B’</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직사각형 18"/>
                      <a:cNvSpPr/>
                    </a:nvSpPr>
                    <a:spPr>
                      <a:xfrm>
                        <a:off x="5654278" y="2204939"/>
                        <a:ext cx="431800" cy="431800"/>
                      </a:xfrm>
                      <a:prstGeom prst="rect">
                        <a:avLst/>
                      </a:prstGeom>
                      <a:solidFill>
                        <a:schemeClr val="accent2">
                          <a:lumMod val="60000"/>
                          <a:lumOff val="40000"/>
                        </a:schemeClr>
                      </a:solidFill>
                      <a:ln>
                        <a:solidFill>
                          <a:schemeClr val="accent2">
                            <a:lumMod val="75000"/>
                          </a:schemeClr>
                        </a:solidFill>
                      </a:ln>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C’</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직사각형 19"/>
                      <a:cNvSpPr/>
                    </a:nvSpPr>
                    <a:spPr>
                      <a:xfrm>
                        <a:off x="6086078" y="2204939"/>
                        <a:ext cx="433387" cy="431800"/>
                      </a:xfrm>
                      <a:prstGeom prst="rect">
                        <a:avLst/>
                      </a:prstGeom>
                      <a:solidFill>
                        <a:schemeClr val="accent2">
                          <a:lumMod val="60000"/>
                          <a:lumOff val="40000"/>
                        </a:schemeClr>
                      </a:solidFill>
                      <a:ln>
                        <a:solidFill>
                          <a:schemeClr val="accent2">
                            <a:lumMod val="75000"/>
                          </a:schemeClr>
                        </a:solidFill>
                      </a:ln>
                    </a:spPr>
                    <a:txSp>
                      <a:txBody>
                        <a:bodyPr anchor="ctr"/>
                        <a:lstStyle>
                          <a:defPPr>
                            <a:defRPr lang="ko-KR"/>
                          </a:defPPr>
                          <a:lvl1pPr algn="l" rtl="0" fontAlgn="base" latinLnBrk="1">
                            <a:spcBef>
                              <a:spcPct val="50000"/>
                            </a:spcBef>
                            <a:spcAft>
                              <a:spcPct val="0"/>
                            </a:spcAft>
                            <a:defRPr kumimoji="1" sz="1600" kern="1200">
                              <a:solidFill>
                                <a:schemeClr val="lt1"/>
                              </a:solidFill>
                              <a:latin typeface="+mn-lt"/>
                              <a:ea typeface="+mn-ea"/>
                              <a:cs typeface="+mn-cs"/>
                            </a:defRPr>
                          </a:lvl1pPr>
                          <a:lvl2pPr marL="457200" algn="l" rtl="0" fontAlgn="base" latinLnBrk="1">
                            <a:spcBef>
                              <a:spcPct val="50000"/>
                            </a:spcBef>
                            <a:spcAft>
                              <a:spcPct val="0"/>
                            </a:spcAft>
                            <a:defRPr kumimoji="1" sz="1600" kern="1200">
                              <a:solidFill>
                                <a:schemeClr val="lt1"/>
                              </a:solidFill>
                              <a:latin typeface="+mn-lt"/>
                              <a:ea typeface="+mn-ea"/>
                              <a:cs typeface="+mn-cs"/>
                            </a:defRPr>
                          </a:lvl2pPr>
                          <a:lvl3pPr marL="914400" algn="l" rtl="0" fontAlgn="base" latinLnBrk="1">
                            <a:spcBef>
                              <a:spcPct val="50000"/>
                            </a:spcBef>
                            <a:spcAft>
                              <a:spcPct val="0"/>
                            </a:spcAft>
                            <a:defRPr kumimoji="1" sz="1600" kern="1200">
                              <a:solidFill>
                                <a:schemeClr val="lt1"/>
                              </a:solidFill>
                              <a:latin typeface="+mn-lt"/>
                              <a:ea typeface="+mn-ea"/>
                              <a:cs typeface="+mn-cs"/>
                            </a:defRPr>
                          </a:lvl3pPr>
                          <a:lvl4pPr marL="1371600" algn="l" rtl="0" fontAlgn="base" latinLnBrk="1">
                            <a:spcBef>
                              <a:spcPct val="50000"/>
                            </a:spcBef>
                            <a:spcAft>
                              <a:spcPct val="0"/>
                            </a:spcAft>
                            <a:defRPr kumimoji="1" sz="1600" kern="1200">
                              <a:solidFill>
                                <a:schemeClr val="lt1"/>
                              </a:solidFill>
                              <a:latin typeface="+mn-lt"/>
                              <a:ea typeface="+mn-ea"/>
                              <a:cs typeface="+mn-cs"/>
                            </a:defRPr>
                          </a:lvl4pPr>
                          <a:lvl5pPr marL="1828800" algn="l" rtl="0" fontAlgn="base" latinLnBrk="1">
                            <a:spcBef>
                              <a:spcPct val="50000"/>
                            </a:spcBef>
                            <a:spcAft>
                              <a:spcPct val="0"/>
                            </a:spcAft>
                            <a:defRPr kumimoji="1" sz="1600" kern="1200">
                              <a:solidFill>
                                <a:schemeClr val="lt1"/>
                              </a:solidFill>
                              <a:latin typeface="+mn-lt"/>
                              <a:ea typeface="+mn-ea"/>
                              <a:cs typeface="+mn-cs"/>
                            </a:defRPr>
                          </a:lvl5pPr>
                          <a:lvl6pPr marL="2286000" algn="l" defTabSz="914400" rtl="0" eaLnBrk="1" latinLnBrk="0" hangingPunct="1">
                            <a:defRPr kumimoji="1" sz="1600" kern="1200">
                              <a:solidFill>
                                <a:schemeClr val="lt1"/>
                              </a:solidFill>
                              <a:latin typeface="+mn-lt"/>
                              <a:ea typeface="+mn-ea"/>
                              <a:cs typeface="+mn-cs"/>
                            </a:defRPr>
                          </a:lvl6pPr>
                          <a:lvl7pPr marL="2743200" algn="l" defTabSz="914400" rtl="0" eaLnBrk="1" latinLnBrk="0" hangingPunct="1">
                            <a:defRPr kumimoji="1" sz="1600" kern="1200">
                              <a:solidFill>
                                <a:schemeClr val="lt1"/>
                              </a:solidFill>
                              <a:latin typeface="+mn-lt"/>
                              <a:ea typeface="+mn-ea"/>
                              <a:cs typeface="+mn-cs"/>
                            </a:defRPr>
                          </a:lvl7pPr>
                          <a:lvl8pPr marL="3200400" algn="l" defTabSz="914400" rtl="0" eaLnBrk="1" latinLnBrk="0" hangingPunct="1">
                            <a:defRPr kumimoji="1" sz="1600" kern="1200">
                              <a:solidFill>
                                <a:schemeClr val="lt1"/>
                              </a:solidFill>
                              <a:latin typeface="+mn-lt"/>
                              <a:ea typeface="+mn-ea"/>
                              <a:cs typeface="+mn-cs"/>
                            </a:defRPr>
                          </a:lvl8pPr>
                          <a:lvl9pPr marL="3657600" algn="l" defTabSz="914400" rtl="0" eaLnBrk="1" latinLnBrk="0" hangingPunct="1">
                            <a:defRPr kumimoji="1" sz="1600" kern="1200">
                              <a:solidFill>
                                <a:schemeClr val="lt1"/>
                              </a:solidFill>
                              <a:latin typeface="+mn-lt"/>
                              <a:ea typeface="+mn-ea"/>
                              <a:cs typeface="+mn-cs"/>
                            </a:defRPr>
                          </a:lvl9pPr>
                        </a:lstStyle>
                        <a:p>
                          <a:pPr algn="ctr">
                            <a:defRPr/>
                          </a:pPr>
                          <a:r>
                            <a:rPr lang="en-US" sz="1500" b="1" dirty="0">
                              <a:latin typeface="Arial" pitchFamily="34" charset="0"/>
                              <a:cs typeface="Arial" pitchFamily="34" charset="0"/>
                            </a:rPr>
                            <a:t>D’</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TextBox 15"/>
                      <a:cNvSpPr txBox="1">
                        <a:spLocks noChangeArrowheads="1"/>
                      </a:cNvSpPr>
                    </a:nvSpPr>
                    <a:spPr bwMode="auto">
                      <a:xfrm>
                        <a:off x="5724128" y="1412776"/>
                        <a:ext cx="696912" cy="338138"/>
                      </a:xfrm>
                      <a:prstGeom prst="rect">
                        <a:avLst/>
                      </a:prstGeom>
                      <a:noFill/>
                      <a:ln w="9525">
                        <a:noFill/>
                        <a:miter lim="800000"/>
                        <a:headEnd/>
                        <a:tailEnd/>
                      </a:ln>
                    </a:spPr>
                    <a:txSp>
                      <a:txBody>
                        <a:bodyPr wrap="none">
                          <a:spAutoFit/>
                        </a:bodyPr>
                        <a:lstStyle>
                          <a:defPPr>
                            <a:defRPr lang="ko-KR"/>
                          </a:defPPr>
                          <a:lvl1pPr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1pPr>
                          <a:lvl2pPr marL="4572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2pPr>
                          <a:lvl3pPr marL="9144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3pPr>
                          <a:lvl4pPr marL="13716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4pPr>
                          <a:lvl5pPr marL="1828800" algn="l" rtl="0" fontAlgn="base" latinLnBrk="1">
                            <a:spcBef>
                              <a:spcPct val="50000"/>
                            </a:spcBef>
                            <a:spcAft>
                              <a:spcPct val="0"/>
                            </a:spcAft>
                            <a:defRPr kumimoji="1" sz="1600" kern="1200">
                              <a:solidFill>
                                <a:schemeClr val="tx1"/>
                              </a:solidFill>
                              <a:latin typeface="산돌고딕B" pitchFamily="18" charset="-127"/>
                              <a:ea typeface="산돌고딕B" pitchFamily="18" charset="-127"/>
                              <a:cs typeface="+mn-cs"/>
                            </a:defRPr>
                          </a:lvl5pPr>
                          <a:lvl6pPr marL="2286000" algn="l" defTabSz="914400" rtl="0" eaLnBrk="1" latinLnBrk="0" hangingPunct="1">
                            <a:defRPr kumimoji="1" sz="1600" kern="1200">
                              <a:solidFill>
                                <a:schemeClr val="tx1"/>
                              </a:solidFill>
                              <a:latin typeface="산돌고딕B" pitchFamily="18" charset="-127"/>
                              <a:ea typeface="산돌고딕B" pitchFamily="18" charset="-127"/>
                              <a:cs typeface="+mn-cs"/>
                            </a:defRPr>
                          </a:lvl6pPr>
                          <a:lvl7pPr marL="2743200" algn="l" defTabSz="914400" rtl="0" eaLnBrk="1" latinLnBrk="0" hangingPunct="1">
                            <a:defRPr kumimoji="1" sz="1600" kern="1200">
                              <a:solidFill>
                                <a:schemeClr val="tx1"/>
                              </a:solidFill>
                              <a:latin typeface="산돌고딕B" pitchFamily="18" charset="-127"/>
                              <a:ea typeface="산돌고딕B" pitchFamily="18" charset="-127"/>
                              <a:cs typeface="+mn-cs"/>
                            </a:defRPr>
                          </a:lvl7pPr>
                          <a:lvl8pPr marL="3200400" algn="l" defTabSz="914400" rtl="0" eaLnBrk="1" latinLnBrk="0" hangingPunct="1">
                            <a:defRPr kumimoji="1" sz="1600" kern="1200">
                              <a:solidFill>
                                <a:schemeClr val="tx1"/>
                              </a:solidFill>
                              <a:latin typeface="산돌고딕B" pitchFamily="18" charset="-127"/>
                              <a:ea typeface="산돌고딕B" pitchFamily="18" charset="-127"/>
                              <a:cs typeface="+mn-cs"/>
                            </a:defRPr>
                          </a:lvl8pPr>
                          <a:lvl9pPr marL="3657600" algn="l" defTabSz="914400" rtl="0" eaLnBrk="1" latinLnBrk="0" hangingPunct="1">
                            <a:defRPr kumimoji="1" sz="1600" kern="1200">
                              <a:solidFill>
                                <a:schemeClr val="tx1"/>
                              </a:solidFill>
                              <a:latin typeface="산돌고딕B" pitchFamily="18" charset="-127"/>
                              <a:ea typeface="산돌고딕B" pitchFamily="18" charset="-127"/>
                              <a:cs typeface="+mn-cs"/>
                            </a:defRPr>
                          </a:lvl9pPr>
                        </a:lstStyle>
                        <a:p>
                          <a:pPr algn="ctr"/>
                          <a:r>
                            <a:rPr lang="en-US">
                              <a:latin typeface="Arial" charset="0"/>
                              <a:cs typeface="Arial" charset="0"/>
                            </a:rPr>
                            <a:t>depth</a:t>
                          </a:r>
                        </a:p>
                      </a:txBody>
                      <a:useSpRect/>
                    </a:txSp>
                  </a:sp>
                </lc:lockedCanvas>
              </a:graphicData>
            </a:graphic>
          </wp:inline>
        </w:drawing>
      </w:r>
    </w:p>
    <w:p w:rsidR="00914CBB" w:rsidRPr="00345268" w:rsidRDefault="00914CBB" w:rsidP="00345268">
      <w:pPr>
        <w:jc w:val="center"/>
        <w:rPr>
          <w:b/>
          <w:lang w:eastAsia="ko-KR"/>
        </w:rPr>
      </w:pPr>
      <w:r w:rsidRPr="00345268">
        <w:rPr>
          <w:rFonts w:hint="eastAsia"/>
          <w:b/>
          <w:lang w:eastAsia="ko-KR"/>
        </w:rPr>
        <w:t>Fig.</w:t>
      </w:r>
      <w:r w:rsidR="00345268" w:rsidRPr="00345268">
        <w:rPr>
          <w:rFonts w:hint="eastAsia"/>
          <w:b/>
          <w:lang w:eastAsia="ko-KR"/>
        </w:rPr>
        <w:t>1.</w:t>
      </w:r>
      <w:r w:rsidRPr="00345268">
        <w:rPr>
          <w:rFonts w:hint="eastAsia"/>
          <w:b/>
          <w:lang w:eastAsia="ko-KR"/>
        </w:rPr>
        <w:t xml:space="preserve"> </w:t>
      </w:r>
      <w:r w:rsidR="00345268" w:rsidRPr="00345268">
        <w:rPr>
          <w:rFonts w:hint="eastAsia"/>
          <w:b/>
          <w:lang w:eastAsia="ko-KR"/>
        </w:rPr>
        <w:t>Macroblock c</w:t>
      </w:r>
      <w:r w:rsidRPr="00345268">
        <w:rPr>
          <w:rFonts w:hint="eastAsia"/>
          <w:b/>
          <w:lang w:eastAsia="ko-KR"/>
        </w:rPr>
        <w:t xml:space="preserve">orrespondence of </w:t>
      </w:r>
      <w:r w:rsidR="00345268" w:rsidRPr="00345268">
        <w:rPr>
          <w:rFonts w:hint="eastAsia"/>
          <w:b/>
          <w:lang w:eastAsia="ko-KR"/>
        </w:rPr>
        <w:t>texture and depth for mixed resolution 3D video</w:t>
      </w:r>
    </w:p>
    <w:p w:rsidR="00DB7133" w:rsidRDefault="00DB7133" w:rsidP="00AA6287">
      <w:pPr>
        <w:jc w:val="both"/>
        <w:rPr>
          <w:lang w:eastAsia="ko-KR"/>
        </w:rPr>
      </w:pPr>
    </w:p>
    <w:p w:rsidR="00CD0B97" w:rsidRPr="00D40BDB" w:rsidRDefault="00DB7133" w:rsidP="00AA6287">
      <w:pPr>
        <w:jc w:val="both"/>
        <w:rPr>
          <w:lang w:eastAsia="ko-KR"/>
        </w:rPr>
      </w:pPr>
      <w:r>
        <w:rPr>
          <w:rFonts w:hint="eastAsia"/>
          <w:lang w:eastAsia="ko-KR"/>
        </w:rPr>
        <w:lastRenderedPageBreak/>
        <w:t xml:space="preserve">The </w:t>
      </w:r>
      <w:r w:rsidR="00747C2E">
        <w:rPr>
          <w:rFonts w:hint="eastAsia"/>
          <w:lang w:eastAsia="ko-KR"/>
        </w:rPr>
        <w:t>motion prediction</w:t>
      </w:r>
      <w:r>
        <w:rPr>
          <w:rFonts w:hint="eastAsia"/>
          <w:lang w:eastAsia="ko-KR"/>
        </w:rPr>
        <w:t xml:space="preserve"> of 8x8 </w:t>
      </w:r>
      <w:proofErr w:type="gramStart"/>
      <w:r>
        <w:rPr>
          <w:rFonts w:hint="eastAsia"/>
          <w:lang w:eastAsia="ko-KR"/>
        </w:rPr>
        <w:t>sub-block</w:t>
      </w:r>
      <w:proofErr w:type="gramEnd"/>
      <w:r>
        <w:rPr>
          <w:rFonts w:hint="eastAsia"/>
          <w:lang w:eastAsia="ko-KR"/>
        </w:rPr>
        <w:t xml:space="preserve"> is determined by </w:t>
      </w:r>
      <w:proofErr w:type="spellStart"/>
      <w:r>
        <w:rPr>
          <w:rFonts w:hint="eastAsia"/>
          <w:lang w:eastAsia="ko-KR"/>
        </w:rPr>
        <w:t>mb_type</w:t>
      </w:r>
      <w:proofErr w:type="spellEnd"/>
      <w:r>
        <w:rPr>
          <w:rFonts w:hint="eastAsia"/>
          <w:lang w:eastAsia="ko-KR"/>
        </w:rPr>
        <w:t xml:space="preserve"> of corresponding texture macroblock. For example, </w:t>
      </w:r>
      <w:r w:rsidR="00747C2E">
        <w:rPr>
          <w:rFonts w:hint="eastAsia"/>
          <w:lang w:eastAsia="ko-KR"/>
        </w:rPr>
        <w:t xml:space="preserve">the motion prediction unit of </w:t>
      </w:r>
      <w:r>
        <w:rPr>
          <w:rFonts w:hint="eastAsia"/>
          <w:lang w:eastAsia="ko-KR"/>
        </w:rPr>
        <w:t>A</w:t>
      </w:r>
      <w:r>
        <w:rPr>
          <w:lang w:eastAsia="ko-KR"/>
        </w:rPr>
        <w:t>’</w:t>
      </w:r>
      <w:r>
        <w:rPr>
          <w:rFonts w:hint="eastAsia"/>
          <w:lang w:eastAsia="ko-KR"/>
        </w:rPr>
        <w:t xml:space="preserve"> is 8x4 block if </w:t>
      </w:r>
      <w:proofErr w:type="spellStart"/>
      <w:r>
        <w:rPr>
          <w:rFonts w:hint="eastAsia"/>
          <w:lang w:eastAsia="ko-KR"/>
        </w:rPr>
        <w:t>mb_type</w:t>
      </w:r>
      <w:proofErr w:type="spellEnd"/>
      <w:r>
        <w:rPr>
          <w:rFonts w:hint="eastAsia"/>
          <w:lang w:eastAsia="ko-KR"/>
        </w:rPr>
        <w:t xml:space="preserve"> of A is P16x8. </w:t>
      </w:r>
      <w:r w:rsidR="00251CA3">
        <w:rPr>
          <w:rFonts w:hint="eastAsia"/>
          <w:lang w:eastAsia="ko-KR"/>
        </w:rPr>
        <w:t xml:space="preserve">However, depth does not need to accurate motion vector as much as texture. Thus, the proposed motion prediction uses 8x8 block size regardless of </w:t>
      </w:r>
      <w:proofErr w:type="spellStart"/>
      <w:r w:rsidR="00251CA3">
        <w:rPr>
          <w:rFonts w:hint="eastAsia"/>
          <w:lang w:eastAsia="ko-KR"/>
        </w:rPr>
        <w:t>mb_type</w:t>
      </w:r>
      <w:proofErr w:type="spellEnd"/>
      <w:r w:rsidR="00251CA3">
        <w:rPr>
          <w:rFonts w:hint="eastAsia"/>
          <w:lang w:eastAsia="ko-KR"/>
        </w:rPr>
        <w:t xml:space="preserve"> of corresponding texture. </w:t>
      </w:r>
      <w:r w:rsidR="00251CA3" w:rsidRPr="00251CA3">
        <w:rPr>
          <w:lang w:eastAsia="ko-KR"/>
        </w:rPr>
        <w:t>Instead, process that find</w:t>
      </w:r>
      <w:r w:rsidR="00251CA3">
        <w:rPr>
          <w:rFonts w:hint="eastAsia"/>
          <w:lang w:eastAsia="ko-KR"/>
        </w:rPr>
        <w:t>s</w:t>
      </w:r>
      <w:r w:rsidR="00251CA3" w:rsidRPr="00251CA3">
        <w:rPr>
          <w:lang w:eastAsia="ko-KR"/>
        </w:rPr>
        <w:t xml:space="preserve"> </w:t>
      </w:r>
      <w:r w:rsidR="00251CA3">
        <w:rPr>
          <w:rFonts w:hint="eastAsia"/>
          <w:lang w:eastAsia="ko-KR"/>
        </w:rPr>
        <w:t>the reliable motion vector is</w:t>
      </w:r>
      <w:r w:rsidR="00251CA3" w:rsidRPr="00251CA3">
        <w:rPr>
          <w:lang w:eastAsia="ko-KR"/>
        </w:rPr>
        <w:t xml:space="preserve"> added.</w:t>
      </w:r>
      <w:r w:rsidR="00251CA3">
        <w:rPr>
          <w:rFonts w:hint="eastAsia"/>
          <w:lang w:eastAsia="ko-KR"/>
        </w:rPr>
        <w:t xml:space="preserve"> In H.264/AVC can have up to other 16 motion vectors for a macroblock. The motion </w:t>
      </w:r>
      <w:r w:rsidR="00F143FA">
        <w:rPr>
          <w:rFonts w:hint="eastAsia"/>
          <w:lang w:eastAsia="ko-KR"/>
        </w:rPr>
        <w:t xml:space="preserve">information of the 4x4 block </w:t>
      </w:r>
      <w:r w:rsidR="00251CA3" w:rsidRPr="00251CA3">
        <w:rPr>
          <w:lang w:eastAsia="ko-KR"/>
        </w:rPr>
        <w:t>that ha</w:t>
      </w:r>
      <w:r w:rsidR="00251CA3">
        <w:rPr>
          <w:rFonts w:hint="eastAsia"/>
          <w:lang w:eastAsia="ko-KR"/>
        </w:rPr>
        <w:t>s</w:t>
      </w:r>
      <w:r w:rsidR="00251CA3" w:rsidRPr="00251CA3">
        <w:rPr>
          <w:lang w:eastAsia="ko-KR"/>
        </w:rPr>
        <w:t xml:space="preserve"> </w:t>
      </w:r>
      <w:r w:rsidR="00F143FA">
        <w:rPr>
          <w:rFonts w:hint="eastAsia"/>
          <w:lang w:eastAsia="ko-KR"/>
        </w:rPr>
        <w:t xml:space="preserve">motion vector of </w:t>
      </w:r>
      <w:r w:rsidR="00251CA3" w:rsidRPr="00251CA3">
        <w:rPr>
          <w:lang w:eastAsia="ko-KR"/>
        </w:rPr>
        <w:t xml:space="preserve">maximum </w:t>
      </w:r>
      <w:r w:rsidR="00251CA3">
        <w:rPr>
          <w:rFonts w:hint="eastAsia"/>
          <w:lang w:eastAsia="ko-KR"/>
        </w:rPr>
        <w:t xml:space="preserve">magnitude </w:t>
      </w:r>
      <w:r w:rsidR="00F143FA">
        <w:rPr>
          <w:rFonts w:hint="eastAsia"/>
          <w:lang w:eastAsia="ko-KR"/>
        </w:rPr>
        <w:t xml:space="preserve">is </w:t>
      </w:r>
      <w:r w:rsidR="00251CA3" w:rsidRPr="00251CA3">
        <w:rPr>
          <w:lang w:eastAsia="ko-KR"/>
        </w:rPr>
        <w:t>selected</w:t>
      </w:r>
      <w:r w:rsidR="00251CA3">
        <w:rPr>
          <w:rFonts w:hint="eastAsia"/>
          <w:lang w:eastAsia="ko-KR"/>
        </w:rPr>
        <w:t xml:space="preserve"> for motion prediction</w:t>
      </w:r>
      <w:r w:rsidR="00251CA3" w:rsidRPr="00251CA3">
        <w:rPr>
          <w:lang w:eastAsia="ko-KR"/>
        </w:rPr>
        <w:t>.</w:t>
      </w:r>
      <w:r w:rsidR="00251CA3">
        <w:rPr>
          <w:rFonts w:hint="eastAsia"/>
          <w:lang w:eastAsia="ko-KR"/>
        </w:rPr>
        <w:t xml:space="preserve"> </w:t>
      </w:r>
      <w:r w:rsidR="00AA6287">
        <w:rPr>
          <w:rFonts w:hint="eastAsia"/>
          <w:lang w:eastAsia="ko-KR"/>
        </w:rPr>
        <w:t xml:space="preserve">   </w:t>
      </w:r>
    </w:p>
    <w:p w:rsidR="00CD0B97" w:rsidRDefault="00CD0B97" w:rsidP="00CD0B97">
      <w:pPr>
        <w:pStyle w:val="1"/>
        <w:rPr>
          <w:lang w:eastAsia="ja-JP"/>
        </w:rPr>
      </w:pPr>
      <w:r>
        <w:rPr>
          <w:lang w:eastAsia="ja-JP"/>
        </w:rPr>
        <w:t>Coding experiments</w:t>
      </w:r>
      <w:bookmarkEnd w:id="0"/>
      <w:r>
        <w:rPr>
          <w:lang w:eastAsia="ja-JP"/>
        </w:rPr>
        <w:t xml:space="preserve"> </w:t>
      </w:r>
    </w:p>
    <w:p w:rsidR="00CD0B97" w:rsidRDefault="00CD0B97" w:rsidP="00F143FA">
      <w:pPr>
        <w:jc w:val="both"/>
        <w:rPr>
          <w:lang w:eastAsia="ko-KR"/>
        </w:rPr>
      </w:pPr>
      <w:r>
        <w:rPr>
          <w:lang w:eastAsia="ja-JP"/>
        </w:rPr>
        <w:t>Results of the coding experiment using a 3D-</w:t>
      </w:r>
      <w:r w:rsidR="00F143FA">
        <w:rPr>
          <w:rFonts w:hint="eastAsia"/>
          <w:lang w:eastAsia="ko-KR"/>
        </w:rPr>
        <w:t>A</w:t>
      </w:r>
      <w:r>
        <w:rPr>
          <w:lang w:eastAsia="ja-JP"/>
        </w:rPr>
        <w:t xml:space="preserve">TM version </w:t>
      </w:r>
      <w:r w:rsidR="00F143FA">
        <w:rPr>
          <w:rFonts w:hint="eastAsia"/>
          <w:lang w:eastAsia="ko-KR"/>
        </w:rPr>
        <w:t>0</w:t>
      </w:r>
      <w:r>
        <w:rPr>
          <w:lang w:eastAsia="ja-JP"/>
        </w:rPr>
        <w:t>.</w:t>
      </w:r>
      <w:r w:rsidR="00F143FA">
        <w:rPr>
          <w:rFonts w:hint="eastAsia"/>
          <w:lang w:eastAsia="ko-KR"/>
        </w:rPr>
        <w:t>4</w:t>
      </w:r>
      <w:r>
        <w:rPr>
          <w:lang w:eastAsia="ja-JP"/>
        </w:rPr>
        <w:t xml:space="preserve"> including the proposed modifications for the three view case are given in </w:t>
      </w:r>
      <w:fldSimple w:instr=" REF _Ref323141261 \h  \* MERGEFORMAT ">
        <w:r>
          <w:t xml:space="preserve">Table </w:t>
        </w:r>
        <w:r>
          <w:rPr>
            <w:noProof/>
          </w:rPr>
          <w:t>1</w:t>
        </w:r>
      </w:fldSimple>
      <w:r>
        <w:rPr>
          <w:lang w:eastAsia="ja-JP"/>
        </w:rPr>
        <w:t xml:space="preserve">. It can be seen that run time </w:t>
      </w:r>
      <w:r w:rsidR="00F143FA">
        <w:rPr>
          <w:rFonts w:hint="eastAsia"/>
          <w:lang w:eastAsia="ko-KR"/>
        </w:rPr>
        <w:t>is almost same with anchor</w:t>
      </w:r>
      <w:r>
        <w:rPr>
          <w:lang w:eastAsia="ja-JP"/>
        </w:rPr>
        <w:t xml:space="preserve"> </w:t>
      </w:r>
      <w:r w:rsidR="00F143FA">
        <w:rPr>
          <w:rFonts w:hint="eastAsia"/>
          <w:lang w:eastAsia="ko-KR"/>
        </w:rPr>
        <w:t xml:space="preserve">and </w:t>
      </w:r>
      <w:r>
        <w:rPr>
          <w:lang w:eastAsia="ja-JP"/>
        </w:rPr>
        <w:t xml:space="preserve">a rate reduction of </w:t>
      </w:r>
      <w:r w:rsidR="00F143FA">
        <w:rPr>
          <w:rFonts w:hint="eastAsia"/>
          <w:lang w:eastAsia="ko-KR"/>
        </w:rPr>
        <w:t>0</w:t>
      </w:r>
      <w:r>
        <w:rPr>
          <w:lang w:eastAsia="ja-JP"/>
        </w:rPr>
        <w:t>.</w:t>
      </w:r>
      <w:r w:rsidR="00F143FA">
        <w:rPr>
          <w:rFonts w:hint="eastAsia"/>
          <w:lang w:eastAsia="ko-KR"/>
        </w:rPr>
        <w:t>2</w:t>
      </w:r>
      <w:r>
        <w:rPr>
          <w:lang w:eastAsia="ja-JP"/>
        </w:rPr>
        <w:t xml:space="preserve">% for the synthesized views can be achieved. Additional results can be found in the attached excel sheet. </w:t>
      </w:r>
    </w:p>
    <w:p w:rsidR="00CD0B97" w:rsidRDefault="00CD0B97" w:rsidP="00CD0B97">
      <w:pPr>
        <w:pStyle w:val="ab"/>
        <w:keepNext/>
        <w:rPr>
          <w:rFonts w:eastAsiaTheme="minorEastAsia"/>
          <w:noProof/>
          <w:lang w:eastAsia="ko-KR"/>
        </w:rPr>
      </w:pPr>
      <w:bookmarkStart w:id="1" w:name="_Ref323141261"/>
      <w:r>
        <w:t xml:space="preserve">Table </w:t>
      </w:r>
      <w:fldSimple w:instr=" SEQ Table \* ARABIC ">
        <w:r>
          <w:rPr>
            <w:noProof/>
          </w:rPr>
          <w:t>1</w:t>
        </w:r>
      </w:fldSimple>
      <w:bookmarkEnd w:id="1"/>
      <w:r>
        <w:t>:</w:t>
      </w:r>
      <w:r>
        <w:rPr>
          <w:noProof/>
        </w:rPr>
        <w:t xml:space="preserve"> coding results for proposed modifications</w:t>
      </w:r>
    </w:p>
    <w:tbl>
      <w:tblPr>
        <w:tblW w:w="4944" w:type="pct"/>
        <w:tblInd w:w="108" w:type="dxa"/>
        <w:tblLayout w:type="fixed"/>
        <w:tblLook w:val="04A0"/>
      </w:tblPr>
      <w:tblGrid>
        <w:gridCol w:w="1256"/>
        <w:gridCol w:w="1282"/>
        <w:gridCol w:w="1282"/>
        <w:gridCol w:w="1282"/>
        <w:gridCol w:w="1282"/>
        <w:gridCol w:w="1543"/>
        <w:gridCol w:w="1542"/>
      </w:tblGrid>
      <w:tr w:rsidR="00F143FA" w:rsidRPr="00F143FA" w:rsidTr="00A710BF">
        <w:trPr>
          <w:trHeight w:val="245"/>
        </w:trPr>
        <w:tc>
          <w:tcPr>
            <w:tcW w:w="663" w:type="pct"/>
            <w:tcBorders>
              <w:top w:val="single" w:sz="4" w:space="0" w:color="000000"/>
              <w:left w:val="single" w:sz="4" w:space="0" w:color="000000"/>
              <w:bottom w:val="single" w:sz="4" w:space="0" w:color="000000"/>
              <w:right w:val="single" w:sz="4" w:space="0" w:color="000000"/>
            </w:tcBorders>
            <w:shd w:val="clear" w:color="CCFFFF" w:fill="DCE6F2"/>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w:t>
            </w:r>
          </w:p>
        </w:tc>
        <w:tc>
          <w:tcPr>
            <w:tcW w:w="1354" w:type="pct"/>
            <w:gridSpan w:val="2"/>
            <w:tcBorders>
              <w:top w:val="single" w:sz="4" w:space="0" w:color="000000"/>
              <w:left w:val="nil"/>
              <w:bottom w:val="single" w:sz="4" w:space="0" w:color="000000"/>
              <w:right w:val="single" w:sz="4" w:space="0" w:color="000000"/>
            </w:tcBorders>
            <w:shd w:val="clear" w:color="CCFFFF" w:fill="DCE6F2"/>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Total (Coded PSNR)</w:t>
            </w:r>
          </w:p>
        </w:tc>
        <w:tc>
          <w:tcPr>
            <w:tcW w:w="1354" w:type="pct"/>
            <w:gridSpan w:val="2"/>
            <w:tcBorders>
              <w:top w:val="single" w:sz="4" w:space="0" w:color="000000"/>
              <w:left w:val="nil"/>
              <w:bottom w:val="single" w:sz="4" w:space="0" w:color="000000"/>
              <w:right w:val="single" w:sz="4" w:space="0" w:color="000000"/>
            </w:tcBorders>
            <w:shd w:val="clear" w:color="CCFFFF" w:fill="DCE6F2"/>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Total (Synthesized PSNR)</w:t>
            </w:r>
          </w:p>
        </w:tc>
        <w:tc>
          <w:tcPr>
            <w:tcW w:w="1630" w:type="pct"/>
            <w:gridSpan w:val="2"/>
            <w:tcBorders>
              <w:top w:val="single" w:sz="4" w:space="0" w:color="000000"/>
              <w:left w:val="nil"/>
              <w:bottom w:val="single" w:sz="4" w:space="0" w:color="000000"/>
              <w:right w:val="single" w:sz="4" w:space="0" w:color="000000"/>
            </w:tcBorders>
            <w:shd w:val="clear" w:color="CCFFFF" w:fill="DCE6F2"/>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Complexity estimate (ratio to anchor)</w:t>
            </w:r>
          </w:p>
        </w:tc>
      </w:tr>
      <w:tr w:rsidR="00A710BF" w:rsidRPr="00F143FA" w:rsidTr="00A710BF">
        <w:trPr>
          <w:trHeight w:val="269"/>
        </w:trPr>
        <w:tc>
          <w:tcPr>
            <w:tcW w:w="663" w:type="pct"/>
            <w:tcBorders>
              <w:top w:val="nil"/>
              <w:left w:val="single" w:sz="4" w:space="0" w:color="000000"/>
              <w:bottom w:val="single" w:sz="4" w:space="0" w:color="000000"/>
              <w:right w:val="single" w:sz="4" w:space="0" w:color="000000"/>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 </w:t>
            </w:r>
          </w:p>
        </w:tc>
        <w:tc>
          <w:tcPr>
            <w:tcW w:w="677" w:type="pct"/>
            <w:tcBorders>
              <w:top w:val="nil"/>
              <w:left w:val="nil"/>
              <w:bottom w:val="nil"/>
              <w:right w:val="single" w:sz="4" w:space="0" w:color="000000"/>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dBR</w:t>
            </w:r>
            <w:proofErr w:type="spellEnd"/>
            <w:r w:rsidRPr="000A0BE2">
              <w:rPr>
                <w:rFonts w:ascii="Arial" w:eastAsia="Arial Unicode MS" w:hAnsi="Arial" w:cs="Arial"/>
                <w:color w:val="000000"/>
                <w:sz w:val="16"/>
                <w:szCs w:val="16"/>
                <w:lang w:eastAsia="ko-KR"/>
              </w:rPr>
              <w:t>, %</w:t>
            </w:r>
          </w:p>
        </w:tc>
        <w:tc>
          <w:tcPr>
            <w:tcW w:w="677" w:type="pct"/>
            <w:tcBorders>
              <w:top w:val="nil"/>
              <w:left w:val="nil"/>
              <w:bottom w:val="nil"/>
              <w:right w:val="single" w:sz="4" w:space="0" w:color="000000"/>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dPSNR</w:t>
            </w:r>
            <w:proofErr w:type="spellEnd"/>
            <w:r w:rsidRPr="000A0BE2">
              <w:rPr>
                <w:rFonts w:ascii="Arial" w:eastAsia="Arial Unicode MS" w:hAnsi="Arial" w:cs="Arial"/>
                <w:color w:val="000000"/>
                <w:sz w:val="16"/>
                <w:szCs w:val="16"/>
                <w:lang w:eastAsia="ko-KR"/>
              </w:rPr>
              <w:t>,</w:t>
            </w:r>
            <w:r w:rsidR="00EB61DC">
              <w:rPr>
                <w:rFonts w:ascii="Arial" w:eastAsia="Arial Unicode MS" w:hAnsi="Arial" w:cs="Arial" w:hint="eastAsia"/>
                <w:color w:val="000000"/>
                <w:sz w:val="16"/>
                <w:szCs w:val="16"/>
                <w:lang w:eastAsia="ko-KR"/>
              </w:rPr>
              <w:t xml:space="preserve"> </w:t>
            </w:r>
            <w:r w:rsidRPr="000A0BE2">
              <w:rPr>
                <w:rFonts w:ascii="Arial" w:eastAsia="Arial Unicode MS" w:hAnsi="Arial" w:cs="Arial"/>
                <w:color w:val="000000"/>
                <w:sz w:val="16"/>
                <w:szCs w:val="16"/>
                <w:lang w:eastAsia="ko-KR"/>
              </w:rPr>
              <w:t>dB</w:t>
            </w:r>
          </w:p>
        </w:tc>
        <w:tc>
          <w:tcPr>
            <w:tcW w:w="677" w:type="pct"/>
            <w:tcBorders>
              <w:top w:val="nil"/>
              <w:left w:val="nil"/>
              <w:bottom w:val="nil"/>
              <w:right w:val="single" w:sz="4" w:space="0" w:color="000000"/>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dBR</w:t>
            </w:r>
            <w:proofErr w:type="spellEnd"/>
            <w:r w:rsidRPr="000A0BE2">
              <w:rPr>
                <w:rFonts w:ascii="Arial" w:eastAsia="Arial Unicode MS" w:hAnsi="Arial" w:cs="Arial"/>
                <w:color w:val="000000"/>
                <w:sz w:val="16"/>
                <w:szCs w:val="16"/>
                <w:lang w:eastAsia="ko-KR"/>
              </w:rPr>
              <w:t>, %</w:t>
            </w:r>
          </w:p>
        </w:tc>
        <w:tc>
          <w:tcPr>
            <w:tcW w:w="677" w:type="pct"/>
            <w:tcBorders>
              <w:top w:val="nil"/>
              <w:left w:val="nil"/>
              <w:bottom w:val="nil"/>
              <w:right w:val="nil"/>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dPSNR</w:t>
            </w:r>
            <w:proofErr w:type="spellEnd"/>
            <w:r w:rsidRPr="000A0BE2">
              <w:rPr>
                <w:rFonts w:ascii="Arial" w:eastAsia="Arial Unicode MS" w:hAnsi="Arial" w:cs="Arial"/>
                <w:color w:val="000000"/>
                <w:sz w:val="16"/>
                <w:szCs w:val="16"/>
                <w:lang w:eastAsia="ko-KR"/>
              </w:rPr>
              <w:t>,</w:t>
            </w:r>
            <w:r w:rsidR="00EB61DC">
              <w:rPr>
                <w:rFonts w:ascii="Arial" w:eastAsia="Arial Unicode MS" w:hAnsi="Arial" w:cs="Arial" w:hint="eastAsia"/>
                <w:color w:val="000000"/>
                <w:sz w:val="16"/>
                <w:szCs w:val="16"/>
                <w:lang w:eastAsia="ko-KR"/>
              </w:rPr>
              <w:t xml:space="preserve"> </w:t>
            </w:r>
            <w:r w:rsidRPr="000A0BE2">
              <w:rPr>
                <w:rFonts w:ascii="Arial" w:eastAsia="Arial Unicode MS" w:hAnsi="Arial" w:cs="Arial"/>
                <w:color w:val="000000"/>
                <w:sz w:val="16"/>
                <w:szCs w:val="16"/>
                <w:lang w:eastAsia="ko-KR"/>
              </w:rPr>
              <w:t>dB</w:t>
            </w:r>
          </w:p>
        </w:tc>
        <w:tc>
          <w:tcPr>
            <w:tcW w:w="815" w:type="pct"/>
            <w:tcBorders>
              <w:top w:val="nil"/>
              <w:left w:val="single" w:sz="4" w:space="0" w:color="auto"/>
              <w:bottom w:val="single" w:sz="4" w:space="0" w:color="auto"/>
              <w:right w:val="single" w:sz="4" w:space="0" w:color="auto"/>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sz w:val="16"/>
                <w:szCs w:val="16"/>
                <w:lang w:eastAsia="ko-KR"/>
              </w:rPr>
            </w:pPr>
            <w:r w:rsidRPr="000A0BE2">
              <w:rPr>
                <w:rFonts w:ascii="Arial" w:eastAsia="Arial Unicode MS" w:hAnsi="Arial" w:cs="Arial"/>
                <w:sz w:val="16"/>
                <w:szCs w:val="16"/>
                <w:lang w:eastAsia="ko-KR"/>
              </w:rPr>
              <w:t>Encoder Time, %</w:t>
            </w:r>
          </w:p>
        </w:tc>
        <w:tc>
          <w:tcPr>
            <w:tcW w:w="815" w:type="pct"/>
            <w:tcBorders>
              <w:top w:val="nil"/>
              <w:left w:val="nil"/>
              <w:bottom w:val="single" w:sz="4" w:space="0" w:color="auto"/>
              <w:right w:val="single" w:sz="4" w:space="0" w:color="auto"/>
            </w:tcBorders>
            <w:shd w:val="clear" w:color="FFFFCC" w:fill="FFFF99"/>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sz w:val="16"/>
                <w:szCs w:val="16"/>
                <w:lang w:eastAsia="ko-KR"/>
              </w:rPr>
            </w:pPr>
            <w:r w:rsidRPr="000A0BE2">
              <w:rPr>
                <w:rFonts w:ascii="Arial" w:eastAsia="Arial Unicode MS" w:hAnsi="Arial" w:cs="Arial"/>
                <w:sz w:val="16"/>
                <w:szCs w:val="16"/>
                <w:lang w:eastAsia="ko-KR"/>
              </w:rPr>
              <w:t>Decoder Time,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PoznanHall2</w:t>
            </w: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-0.27</w:t>
            </w:r>
          </w:p>
        </w:tc>
        <w:tc>
          <w:tcPr>
            <w:tcW w:w="677" w:type="pct"/>
            <w:tcBorders>
              <w:top w:val="single" w:sz="4" w:space="0" w:color="auto"/>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677" w:type="pct"/>
            <w:tcBorders>
              <w:top w:val="single" w:sz="4" w:space="0" w:color="auto"/>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-0.18</w:t>
            </w:r>
          </w:p>
        </w:tc>
        <w:tc>
          <w:tcPr>
            <w:tcW w:w="677" w:type="pct"/>
            <w:tcBorders>
              <w:top w:val="single" w:sz="4" w:space="0" w:color="auto"/>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99.97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100.71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PoznanStreet</w:t>
            </w:r>
            <w:proofErr w:type="spellEnd"/>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-0.14</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-0.14</w:t>
            </w:r>
          </w:p>
        </w:tc>
        <w:tc>
          <w:tcPr>
            <w:tcW w:w="677" w:type="pct"/>
            <w:tcBorders>
              <w:top w:val="nil"/>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98.23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100.95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UndoDancer</w:t>
            </w:r>
            <w:proofErr w:type="spellEnd"/>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-0.15</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-0.27</w:t>
            </w:r>
          </w:p>
        </w:tc>
        <w:tc>
          <w:tcPr>
            <w:tcW w:w="677" w:type="pct"/>
            <w:tcBorders>
              <w:top w:val="nil"/>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99.64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98.61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GhostTownFly</w:t>
            </w:r>
            <w:proofErr w:type="spellEnd"/>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-0.12</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-0.10</w:t>
            </w:r>
          </w:p>
        </w:tc>
        <w:tc>
          <w:tcPr>
            <w:tcW w:w="677" w:type="pct"/>
            <w:tcBorders>
              <w:top w:val="nil"/>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99.82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100.23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Kendo</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-0.14</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-0.28</w:t>
            </w:r>
          </w:p>
        </w:tc>
        <w:tc>
          <w:tcPr>
            <w:tcW w:w="677" w:type="pct"/>
            <w:tcBorders>
              <w:top w:val="nil"/>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99.47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101.36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Balloons</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-0.18</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-0.16</w:t>
            </w:r>
          </w:p>
        </w:tc>
        <w:tc>
          <w:tcPr>
            <w:tcW w:w="677" w:type="pct"/>
            <w:tcBorders>
              <w:top w:val="nil"/>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99.31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99.63 </w:t>
            </w:r>
          </w:p>
        </w:tc>
      </w:tr>
      <w:tr w:rsidR="00A710BF" w:rsidRPr="00F143FA" w:rsidTr="00A710BF">
        <w:trPr>
          <w:trHeight w:val="269"/>
        </w:trPr>
        <w:tc>
          <w:tcPr>
            <w:tcW w:w="663" w:type="pct"/>
            <w:tcBorders>
              <w:top w:val="nil"/>
              <w:left w:val="single" w:sz="4" w:space="0" w:color="000000"/>
              <w:bottom w:val="single" w:sz="4" w:space="0" w:color="000000"/>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Newspaper</w:t>
            </w:r>
          </w:p>
        </w:tc>
        <w:tc>
          <w:tcPr>
            <w:tcW w:w="677"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-0.07</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677"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-0.07</w:t>
            </w:r>
          </w:p>
        </w:tc>
        <w:tc>
          <w:tcPr>
            <w:tcW w:w="677" w:type="pct"/>
            <w:tcBorders>
              <w:top w:val="nil"/>
              <w:left w:val="nil"/>
              <w:bottom w:val="single" w:sz="4" w:space="0" w:color="auto"/>
              <w:right w:val="nil"/>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0.00</w:t>
            </w:r>
          </w:p>
        </w:tc>
        <w:tc>
          <w:tcPr>
            <w:tcW w:w="815" w:type="pct"/>
            <w:tcBorders>
              <w:top w:val="nil"/>
              <w:left w:val="single" w:sz="4" w:space="0" w:color="auto"/>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100.34 </w:t>
            </w:r>
          </w:p>
        </w:tc>
        <w:tc>
          <w:tcPr>
            <w:tcW w:w="815" w:type="pct"/>
            <w:tcBorders>
              <w:top w:val="nil"/>
              <w:left w:val="nil"/>
              <w:bottom w:val="single" w:sz="4" w:space="0" w:color="auto"/>
              <w:right w:val="single" w:sz="4" w:space="0" w:color="auto"/>
            </w:tcBorders>
            <w:shd w:val="clear" w:color="auto" w:fill="auto"/>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97.95 </w:t>
            </w:r>
          </w:p>
        </w:tc>
      </w:tr>
      <w:tr w:rsidR="00A710BF" w:rsidRPr="00F143FA" w:rsidTr="00A710BF">
        <w:trPr>
          <w:trHeight w:val="269"/>
        </w:trPr>
        <w:tc>
          <w:tcPr>
            <w:tcW w:w="663" w:type="pct"/>
            <w:tcBorders>
              <w:top w:val="nil"/>
              <w:left w:val="single" w:sz="4" w:space="0" w:color="000000"/>
              <w:bottom w:val="single" w:sz="4" w:space="0" w:color="000000"/>
              <w:right w:val="single" w:sz="4" w:space="0" w:color="000000"/>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Average</w:t>
            </w:r>
          </w:p>
        </w:tc>
        <w:tc>
          <w:tcPr>
            <w:tcW w:w="677" w:type="pct"/>
            <w:tcBorders>
              <w:top w:val="nil"/>
              <w:left w:val="nil"/>
              <w:bottom w:val="single" w:sz="4" w:space="0" w:color="000000"/>
              <w:right w:val="single" w:sz="4" w:space="0" w:color="000000"/>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-0.15</w:t>
            </w:r>
          </w:p>
        </w:tc>
        <w:tc>
          <w:tcPr>
            <w:tcW w:w="677" w:type="pct"/>
            <w:tcBorders>
              <w:top w:val="nil"/>
              <w:left w:val="nil"/>
              <w:bottom w:val="single" w:sz="4" w:space="0" w:color="000000"/>
              <w:right w:val="single" w:sz="4" w:space="0" w:color="000000"/>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677" w:type="pct"/>
            <w:tcBorders>
              <w:top w:val="nil"/>
              <w:left w:val="nil"/>
              <w:bottom w:val="single" w:sz="4" w:space="0" w:color="000000"/>
              <w:right w:val="single" w:sz="4" w:space="0" w:color="000000"/>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-0.17</w:t>
            </w:r>
          </w:p>
        </w:tc>
        <w:tc>
          <w:tcPr>
            <w:tcW w:w="677" w:type="pct"/>
            <w:tcBorders>
              <w:top w:val="nil"/>
              <w:left w:val="nil"/>
              <w:bottom w:val="single" w:sz="4" w:space="0" w:color="000000"/>
              <w:right w:val="nil"/>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815" w:type="pct"/>
            <w:tcBorders>
              <w:top w:val="nil"/>
              <w:left w:val="single" w:sz="4" w:space="0" w:color="auto"/>
              <w:bottom w:val="single" w:sz="4" w:space="0" w:color="auto"/>
              <w:right w:val="single" w:sz="4" w:space="0" w:color="auto"/>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99.54 </w:t>
            </w:r>
          </w:p>
        </w:tc>
        <w:tc>
          <w:tcPr>
            <w:tcW w:w="815" w:type="pct"/>
            <w:tcBorders>
              <w:top w:val="nil"/>
              <w:left w:val="nil"/>
              <w:bottom w:val="single" w:sz="4" w:space="0" w:color="auto"/>
              <w:right w:val="single" w:sz="4" w:space="0" w:color="auto"/>
            </w:tcBorders>
            <w:shd w:val="clear" w:color="FF9900" w:fill="FFC000"/>
            <w:noWrap/>
            <w:vAlign w:val="center"/>
            <w:hideMark/>
          </w:tcPr>
          <w:p w:rsidR="00F143FA" w:rsidRPr="000A0BE2" w:rsidRDefault="00F143FA" w:rsidP="00F143F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16"/>
                <w:szCs w:val="16"/>
                <w:lang w:eastAsia="ko-KR"/>
              </w:rPr>
            </w:pPr>
            <w:r w:rsidRPr="000A0BE2">
              <w:rPr>
                <w:rFonts w:ascii="Arial" w:eastAsia="Times New Roman" w:hAnsi="Arial" w:cs="Arial"/>
                <w:sz w:val="16"/>
                <w:szCs w:val="16"/>
                <w:lang w:eastAsia="ko-KR"/>
              </w:rPr>
              <w:t xml:space="preserve">99.92 </w:t>
            </w:r>
          </w:p>
        </w:tc>
      </w:tr>
    </w:tbl>
    <w:p w:rsidR="00A710BF" w:rsidRDefault="00A710BF" w:rsidP="00A710BF">
      <w:pPr>
        <w:pStyle w:val="ab"/>
        <w:keepNext/>
        <w:rPr>
          <w:rFonts w:eastAsiaTheme="minorEastAsia"/>
          <w:lang w:eastAsia="ko-KR"/>
        </w:rPr>
      </w:pPr>
    </w:p>
    <w:p w:rsidR="00A710BF" w:rsidRDefault="00A710BF" w:rsidP="00A710BF">
      <w:pPr>
        <w:pStyle w:val="ab"/>
        <w:keepNext/>
        <w:rPr>
          <w:rFonts w:eastAsiaTheme="minorEastAsia"/>
          <w:noProof/>
          <w:lang w:eastAsia="ko-KR"/>
        </w:rPr>
      </w:pPr>
      <w:r>
        <w:t xml:space="preserve">Table </w:t>
      </w:r>
      <w:fldSimple w:instr=" SEQ Table \* ARABIC ">
        <w:r>
          <w:rPr>
            <w:noProof/>
          </w:rPr>
          <w:t>2</w:t>
        </w:r>
      </w:fldSimple>
      <w:r>
        <w:t>:</w:t>
      </w:r>
      <w:r>
        <w:rPr>
          <w:noProof/>
        </w:rPr>
        <w:t xml:space="preserve"> coding results </w:t>
      </w:r>
      <w:r w:rsidR="00A1560B">
        <w:rPr>
          <w:rFonts w:eastAsiaTheme="minorEastAsia" w:hint="eastAsia"/>
          <w:noProof/>
          <w:lang w:eastAsia="ko-KR"/>
        </w:rPr>
        <w:t xml:space="preserve">for </w:t>
      </w:r>
      <w:r>
        <w:rPr>
          <w:rFonts w:eastAsiaTheme="minorEastAsia" w:hint="eastAsia"/>
          <w:noProof/>
          <w:lang w:eastAsia="ko-KR"/>
        </w:rPr>
        <w:t>IVMP</w:t>
      </w:r>
    </w:p>
    <w:tbl>
      <w:tblPr>
        <w:tblW w:w="3333" w:type="pct"/>
        <w:tblInd w:w="1500" w:type="dxa"/>
        <w:tblLayout w:type="fixed"/>
        <w:tblLook w:val="04A0"/>
      </w:tblPr>
      <w:tblGrid>
        <w:gridCol w:w="1255"/>
        <w:gridCol w:w="1282"/>
        <w:gridCol w:w="1282"/>
        <w:gridCol w:w="1282"/>
        <w:gridCol w:w="1282"/>
      </w:tblGrid>
      <w:tr w:rsidR="00F858F1" w:rsidRPr="00A710BF" w:rsidTr="00F858F1">
        <w:trPr>
          <w:trHeight w:val="245"/>
        </w:trPr>
        <w:tc>
          <w:tcPr>
            <w:tcW w:w="983" w:type="pct"/>
            <w:tcBorders>
              <w:top w:val="single" w:sz="4" w:space="0" w:color="auto"/>
              <w:left w:val="single" w:sz="4" w:space="0" w:color="auto"/>
              <w:bottom w:val="single" w:sz="4" w:space="0" w:color="000000"/>
              <w:right w:val="single" w:sz="4" w:space="0" w:color="000000"/>
            </w:tcBorders>
            <w:shd w:val="clear" w:color="CCFFFF" w:fill="DCE6F2"/>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w:t>
            </w:r>
          </w:p>
        </w:tc>
        <w:tc>
          <w:tcPr>
            <w:tcW w:w="2008" w:type="pct"/>
            <w:gridSpan w:val="2"/>
            <w:tcBorders>
              <w:top w:val="single" w:sz="4" w:space="0" w:color="auto"/>
              <w:left w:val="nil"/>
              <w:bottom w:val="single" w:sz="4" w:space="0" w:color="000000"/>
              <w:right w:val="single" w:sz="4" w:space="0" w:color="000000"/>
            </w:tcBorders>
            <w:shd w:val="clear" w:color="CCFFFF" w:fill="DCE6F2"/>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Total (Coded PSNR)</w:t>
            </w:r>
          </w:p>
        </w:tc>
        <w:tc>
          <w:tcPr>
            <w:tcW w:w="2008" w:type="pct"/>
            <w:gridSpan w:val="2"/>
            <w:tcBorders>
              <w:top w:val="single" w:sz="4" w:space="0" w:color="auto"/>
              <w:left w:val="nil"/>
              <w:bottom w:val="single" w:sz="4" w:space="0" w:color="000000"/>
              <w:right w:val="single" w:sz="4" w:space="0" w:color="auto"/>
            </w:tcBorders>
            <w:shd w:val="clear" w:color="CCFFFF" w:fill="DCE6F2"/>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Total (Synthesized PSNR)</w:t>
            </w:r>
          </w:p>
        </w:tc>
      </w:tr>
      <w:tr w:rsidR="00F858F1" w:rsidRPr="00A710BF" w:rsidTr="00F858F1">
        <w:trPr>
          <w:trHeight w:val="269"/>
        </w:trPr>
        <w:tc>
          <w:tcPr>
            <w:tcW w:w="983" w:type="pct"/>
            <w:tcBorders>
              <w:top w:val="nil"/>
              <w:left w:val="single" w:sz="4" w:space="0" w:color="auto"/>
              <w:bottom w:val="single" w:sz="4" w:space="0" w:color="000000"/>
              <w:right w:val="single" w:sz="4" w:space="0" w:color="000000"/>
            </w:tcBorders>
            <w:shd w:val="clear" w:color="FFFFCC" w:fill="FFFF99"/>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 </w:t>
            </w:r>
          </w:p>
        </w:tc>
        <w:tc>
          <w:tcPr>
            <w:tcW w:w="1004" w:type="pct"/>
            <w:tcBorders>
              <w:top w:val="nil"/>
              <w:left w:val="nil"/>
              <w:bottom w:val="nil"/>
              <w:right w:val="single" w:sz="4" w:space="0" w:color="000000"/>
            </w:tcBorders>
            <w:shd w:val="clear" w:color="FFFFCC" w:fill="FFFF99"/>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dBR</w:t>
            </w:r>
            <w:proofErr w:type="spellEnd"/>
            <w:r w:rsidRPr="000A0BE2">
              <w:rPr>
                <w:rFonts w:ascii="Arial" w:eastAsia="Arial Unicode MS" w:hAnsi="Arial" w:cs="Arial"/>
                <w:color w:val="000000"/>
                <w:sz w:val="16"/>
                <w:szCs w:val="16"/>
                <w:lang w:eastAsia="ko-KR"/>
              </w:rPr>
              <w:t>, %</w:t>
            </w:r>
          </w:p>
        </w:tc>
        <w:tc>
          <w:tcPr>
            <w:tcW w:w="1004" w:type="pct"/>
            <w:tcBorders>
              <w:top w:val="nil"/>
              <w:left w:val="nil"/>
              <w:bottom w:val="nil"/>
              <w:right w:val="single" w:sz="4" w:space="0" w:color="000000"/>
            </w:tcBorders>
            <w:shd w:val="clear" w:color="FFFFCC" w:fill="FFFF99"/>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dPSNR</w:t>
            </w:r>
            <w:proofErr w:type="spellEnd"/>
            <w:r w:rsidRPr="000A0BE2">
              <w:rPr>
                <w:rFonts w:ascii="Arial" w:eastAsia="Arial Unicode MS" w:hAnsi="Arial" w:cs="Arial"/>
                <w:color w:val="000000"/>
                <w:sz w:val="16"/>
                <w:szCs w:val="16"/>
                <w:lang w:eastAsia="ko-KR"/>
              </w:rPr>
              <w:t>,</w:t>
            </w:r>
            <w:r>
              <w:rPr>
                <w:rFonts w:ascii="Arial" w:eastAsia="Arial Unicode MS" w:hAnsi="Arial" w:cs="Arial" w:hint="eastAsia"/>
                <w:color w:val="000000"/>
                <w:sz w:val="16"/>
                <w:szCs w:val="16"/>
                <w:lang w:eastAsia="ko-KR"/>
              </w:rPr>
              <w:t xml:space="preserve"> </w:t>
            </w:r>
            <w:r w:rsidRPr="000A0BE2">
              <w:rPr>
                <w:rFonts w:ascii="Arial" w:eastAsia="Arial Unicode MS" w:hAnsi="Arial" w:cs="Arial"/>
                <w:color w:val="000000"/>
                <w:sz w:val="16"/>
                <w:szCs w:val="16"/>
                <w:lang w:eastAsia="ko-KR"/>
              </w:rPr>
              <w:t>dB</w:t>
            </w:r>
          </w:p>
        </w:tc>
        <w:tc>
          <w:tcPr>
            <w:tcW w:w="1004" w:type="pct"/>
            <w:tcBorders>
              <w:top w:val="nil"/>
              <w:left w:val="nil"/>
              <w:bottom w:val="nil"/>
              <w:right w:val="single" w:sz="4" w:space="0" w:color="000000"/>
            </w:tcBorders>
            <w:shd w:val="clear" w:color="FFFFCC" w:fill="FFFF99"/>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dBR</w:t>
            </w:r>
            <w:proofErr w:type="spellEnd"/>
            <w:r w:rsidRPr="000A0BE2">
              <w:rPr>
                <w:rFonts w:ascii="Arial" w:eastAsia="Arial Unicode MS" w:hAnsi="Arial" w:cs="Arial"/>
                <w:color w:val="000000"/>
                <w:sz w:val="16"/>
                <w:szCs w:val="16"/>
                <w:lang w:eastAsia="ko-KR"/>
              </w:rPr>
              <w:t>, %</w:t>
            </w:r>
          </w:p>
        </w:tc>
        <w:tc>
          <w:tcPr>
            <w:tcW w:w="1004" w:type="pct"/>
            <w:tcBorders>
              <w:top w:val="nil"/>
              <w:left w:val="nil"/>
              <w:bottom w:val="nil"/>
              <w:right w:val="single" w:sz="4" w:space="0" w:color="auto"/>
            </w:tcBorders>
            <w:shd w:val="clear" w:color="FFFFCC" w:fill="FFFF99"/>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jc w:val="center"/>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dPSNR</w:t>
            </w:r>
            <w:proofErr w:type="spellEnd"/>
            <w:r w:rsidRPr="000A0BE2">
              <w:rPr>
                <w:rFonts w:ascii="Arial" w:eastAsia="Arial Unicode MS" w:hAnsi="Arial" w:cs="Arial"/>
                <w:color w:val="000000"/>
                <w:sz w:val="16"/>
                <w:szCs w:val="16"/>
                <w:lang w:eastAsia="ko-KR"/>
              </w:rPr>
              <w:t>,</w:t>
            </w:r>
            <w:r>
              <w:rPr>
                <w:rFonts w:ascii="Arial" w:eastAsia="Arial Unicode MS" w:hAnsi="Arial" w:cs="Arial" w:hint="eastAsia"/>
                <w:color w:val="000000"/>
                <w:sz w:val="16"/>
                <w:szCs w:val="16"/>
                <w:lang w:eastAsia="ko-KR"/>
              </w:rPr>
              <w:t xml:space="preserve"> </w:t>
            </w:r>
            <w:r w:rsidRPr="000A0BE2">
              <w:rPr>
                <w:rFonts w:ascii="Arial" w:eastAsia="Arial Unicode MS" w:hAnsi="Arial" w:cs="Arial"/>
                <w:color w:val="000000"/>
                <w:sz w:val="16"/>
                <w:szCs w:val="16"/>
                <w:lang w:eastAsia="ko-KR"/>
              </w:rPr>
              <w:t>dB</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PoznanHall2</w:t>
            </w:r>
          </w:p>
        </w:tc>
        <w:tc>
          <w:tcPr>
            <w:tcW w:w="10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-0.06 </w:t>
            </w:r>
          </w:p>
        </w:tc>
        <w:tc>
          <w:tcPr>
            <w:tcW w:w="1004" w:type="pct"/>
            <w:tcBorders>
              <w:top w:val="single" w:sz="4" w:space="0" w:color="auto"/>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0.00 </w:t>
            </w:r>
          </w:p>
        </w:tc>
        <w:tc>
          <w:tcPr>
            <w:tcW w:w="1004" w:type="pct"/>
            <w:tcBorders>
              <w:top w:val="single" w:sz="4" w:space="0" w:color="auto"/>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-0.25 </w:t>
            </w:r>
          </w:p>
        </w:tc>
        <w:tc>
          <w:tcPr>
            <w:tcW w:w="1004" w:type="pct"/>
            <w:tcBorders>
              <w:top w:val="single" w:sz="4" w:space="0" w:color="auto"/>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0.01 </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PoznanStreet</w:t>
            </w:r>
            <w:proofErr w:type="spellEnd"/>
          </w:p>
        </w:tc>
        <w:tc>
          <w:tcPr>
            <w:tcW w:w="1004" w:type="pct"/>
            <w:tcBorders>
              <w:top w:val="nil"/>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-0.38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0.01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-0.44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0.01 </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UndoDancer</w:t>
            </w:r>
            <w:proofErr w:type="spellEnd"/>
          </w:p>
        </w:tc>
        <w:tc>
          <w:tcPr>
            <w:tcW w:w="1004" w:type="pct"/>
            <w:tcBorders>
              <w:top w:val="nil"/>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-0.27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-0.35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0.01 </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proofErr w:type="spellStart"/>
            <w:r w:rsidRPr="000A0BE2">
              <w:rPr>
                <w:rFonts w:ascii="Arial" w:eastAsia="Arial Unicode MS" w:hAnsi="Arial" w:cs="Arial"/>
                <w:color w:val="000000"/>
                <w:sz w:val="16"/>
                <w:szCs w:val="16"/>
                <w:lang w:eastAsia="ko-KR"/>
              </w:rPr>
              <w:t>GhostTownFly</w:t>
            </w:r>
            <w:proofErr w:type="spellEnd"/>
          </w:p>
        </w:tc>
        <w:tc>
          <w:tcPr>
            <w:tcW w:w="1004" w:type="pct"/>
            <w:tcBorders>
              <w:top w:val="nil"/>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-0.34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0.01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-0.68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0.02 </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Kendo</w:t>
            </w:r>
          </w:p>
        </w:tc>
        <w:tc>
          <w:tcPr>
            <w:tcW w:w="1004" w:type="pct"/>
            <w:tcBorders>
              <w:top w:val="nil"/>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-0.23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-0.35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Balloons</w:t>
            </w:r>
          </w:p>
        </w:tc>
        <w:tc>
          <w:tcPr>
            <w:tcW w:w="1004" w:type="pct"/>
            <w:tcBorders>
              <w:top w:val="nil"/>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-0.23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-0.44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0.02 </w:t>
            </w:r>
          </w:p>
        </w:tc>
      </w:tr>
      <w:tr w:rsidR="00F858F1" w:rsidRPr="00A710BF" w:rsidTr="00F858F1">
        <w:trPr>
          <w:trHeight w:val="269"/>
        </w:trPr>
        <w:tc>
          <w:tcPr>
            <w:tcW w:w="983" w:type="pct"/>
            <w:tcBorders>
              <w:top w:val="nil"/>
              <w:left w:val="single" w:sz="4" w:space="0" w:color="auto"/>
              <w:bottom w:val="single" w:sz="4" w:space="0" w:color="000000"/>
              <w:right w:val="nil"/>
            </w:tcBorders>
            <w:shd w:val="clear" w:color="auto" w:fill="auto"/>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Newspaper</w:t>
            </w:r>
          </w:p>
        </w:tc>
        <w:tc>
          <w:tcPr>
            <w:tcW w:w="1004" w:type="pct"/>
            <w:tcBorders>
              <w:top w:val="nil"/>
              <w:left w:val="single" w:sz="4" w:space="0" w:color="auto"/>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-0.32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0.01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-0.49 </w:t>
            </w:r>
          </w:p>
        </w:tc>
        <w:tc>
          <w:tcPr>
            <w:tcW w:w="1004" w:type="pct"/>
            <w:tcBorders>
              <w:top w:val="nil"/>
              <w:left w:val="nil"/>
              <w:bottom w:val="single" w:sz="4" w:space="0" w:color="auto"/>
              <w:right w:val="single" w:sz="4" w:space="0" w:color="auto"/>
            </w:tcBorders>
            <w:shd w:val="clear" w:color="auto" w:fill="auto"/>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0.02 </w:t>
            </w:r>
          </w:p>
        </w:tc>
      </w:tr>
      <w:tr w:rsidR="00F858F1" w:rsidRPr="00A710BF" w:rsidTr="00F858F1">
        <w:trPr>
          <w:trHeight w:val="269"/>
        </w:trPr>
        <w:tc>
          <w:tcPr>
            <w:tcW w:w="983" w:type="pct"/>
            <w:tcBorders>
              <w:top w:val="nil"/>
              <w:left w:val="single" w:sz="4" w:space="0" w:color="auto"/>
              <w:bottom w:val="single" w:sz="4" w:space="0" w:color="auto"/>
              <w:right w:val="single" w:sz="4" w:space="0" w:color="000000"/>
            </w:tcBorders>
            <w:shd w:val="clear" w:color="FF9900" w:fill="FFC000"/>
            <w:noWrap/>
            <w:vAlign w:val="center"/>
            <w:hideMark/>
          </w:tcPr>
          <w:p w:rsidR="00F858F1" w:rsidRPr="000A0BE2" w:rsidRDefault="00F858F1" w:rsidP="00FB4B92">
            <w:pPr>
              <w:tabs>
                <w:tab w:val="clear" w:pos="360"/>
                <w:tab w:val="clear" w:pos="720"/>
                <w:tab w:val="clear" w:pos="1080"/>
                <w:tab w:val="clear" w:pos="1440"/>
              </w:tabs>
              <w:overflowPunct/>
              <w:autoSpaceDE/>
              <w:autoSpaceDN/>
              <w:adjustRightInd/>
              <w:spacing w:before="0"/>
              <w:textAlignment w:val="auto"/>
              <w:rPr>
                <w:rFonts w:ascii="Arial" w:eastAsia="Arial Unicode MS" w:hAnsi="Arial" w:cs="Arial"/>
                <w:color w:val="000000"/>
                <w:sz w:val="16"/>
                <w:szCs w:val="16"/>
                <w:lang w:eastAsia="ko-KR"/>
              </w:rPr>
            </w:pPr>
            <w:r w:rsidRPr="000A0BE2">
              <w:rPr>
                <w:rFonts w:ascii="Arial" w:eastAsia="Arial Unicode MS" w:hAnsi="Arial" w:cs="Arial"/>
                <w:color w:val="000000"/>
                <w:sz w:val="16"/>
                <w:szCs w:val="16"/>
                <w:lang w:eastAsia="ko-KR"/>
              </w:rPr>
              <w:t>Average</w:t>
            </w:r>
          </w:p>
        </w:tc>
        <w:tc>
          <w:tcPr>
            <w:tcW w:w="1004" w:type="pct"/>
            <w:tcBorders>
              <w:top w:val="nil"/>
              <w:left w:val="nil"/>
              <w:bottom w:val="single" w:sz="4" w:space="0" w:color="auto"/>
              <w:right w:val="single" w:sz="4" w:space="0" w:color="000000"/>
            </w:tcBorders>
            <w:shd w:val="clear" w:color="FF9900" w:fill="FFC000"/>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-0.26 </w:t>
            </w:r>
          </w:p>
        </w:tc>
        <w:tc>
          <w:tcPr>
            <w:tcW w:w="1004" w:type="pct"/>
            <w:tcBorders>
              <w:top w:val="nil"/>
              <w:left w:val="nil"/>
              <w:bottom w:val="single" w:sz="4" w:space="0" w:color="auto"/>
              <w:right w:val="single" w:sz="4" w:space="0" w:color="000000"/>
            </w:tcBorders>
            <w:shd w:val="clear" w:color="FF9900" w:fill="FFC000"/>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0.01</w:t>
            </w:r>
          </w:p>
        </w:tc>
        <w:tc>
          <w:tcPr>
            <w:tcW w:w="1004" w:type="pct"/>
            <w:tcBorders>
              <w:top w:val="nil"/>
              <w:left w:val="nil"/>
              <w:bottom w:val="single" w:sz="4" w:space="0" w:color="auto"/>
              <w:right w:val="single" w:sz="4" w:space="0" w:color="000000"/>
            </w:tcBorders>
            <w:shd w:val="clear" w:color="FF9900" w:fill="FFC000"/>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-0.43 </w:t>
            </w:r>
          </w:p>
        </w:tc>
        <w:tc>
          <w:tcPr>
            <w:tcW w:w="1004" w:type="pct"/>
            <w:tcBorders>
              <w:top w:val="nil"/>
              <w:left w:val="nil"/>
              <w:bottom w:val="single" w:sz="4" w:space="0" w:color="auto"/>
              <w:right w:val="single" w:sz="4" w:space="0" w:color="auto"/>
            </w:tcBorders>
            <w:shd w:val="clear" w:color="FF9900" w:fill="FFC000"/>
            <w:noWrap/>
            <w:vAlign w:val="center"/>
            <w:hideMark/>
          </w:tcPr>
          <w:p w:rsidR="00F858F1" w:rsidRPr="000A0BE2" w:rsidRDefault="00F858F1" w:rsidP="001F07CA">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color w:val="000000"/>
                <w:sz w:val="16"/>
                <w:szCs w:val="16"/>
                <w:lang w:eastAsia="ko-KR"/>
              </w:rPr>
            </w:pPr>
            <w:r w:rsidRPr="000A0BE2">
              <w:rPr>
                <w:rFonts w:ascii="Arial" w:eastAsia="Times New Roman" w:hAnsi="Arial" w:cs="Arial"/>
                <w:color w:val="000000"/>
                <w:sz w:val="16"/>
                <w:szCs w:val="16"/>
                <w:lang w:eastAsia="ko-KR"/>
              </w:rPr>
              <w:t xml:space="preserve">0.02 </w:t>
            </w:r>
          </w:p>
        </w:tc>
      </w:tr>
    </w:tbl>
    <w:p w:rsidR="00CD0B97" w:rsidRDefault="00CD0B97" w:rsidP="00CD0B97">
      <w:pPr>
        <w:pStyle w:val="1"/>
        <w:rPr>
          <w:lang w:eastAsia="ja-JP"/>
        </w:rPr>
      </w:pPr>
      <w:r>
        <w:rPr>
          <w:lang w:eastAsia="ja-JP"/>
        </w:rPr>
        <w:t>Conclus</w:t>
      </w:r>
      <w:r w:rsidRPr="00CD0B97">
        <w:t>i</w:t>
      </w:r>
      <w:r>
        <w:rPr>
          <w:lang w:eastAsia="ja-JP"/>
        </w:rPr>
        <w:t>on</w:t>
      </w:r>
    </w:p>
    <w:p w:rsidR="00CD0B97" w:rsidRDefault="00CD0B97" w:rsidP="00447A02">
      <w:pPr>
        <w:jc w:val="both"/>
        <w:rPr>
          <w:lang w:eastAsia="ko-KR"/>
        </w:rPr>
      </w:pPr>
      <w:r>
        <w:rPr>
          <w:lang w:eastAsia="ja-JP"/>
        </w:rPr>
        <w:t>Modifications o</w:t>
      </w:r>
      <w:r w:rsidR="00A1560B">
        <w:rPr>
          <w:rFonts w:hint="eastAsia"/>
          <w:lang w:eastAsia="ko-KR"/>
        </w:rPr>
        <w:t>n</w:t>
      </w:r>
      <w:r>
        <w:rPr>
          <w:lang w:eastAsia="ja-JP"/>
        </w:rPr>
        <w:t xml:space="preserve"> </w:t>
      </w:r>
      <w:r w:rsidR="00A1560B">
        <w:rPr>
          <w:rFonts w:hint="eastAsia"/>
          <w:lang w:eastAsia="ko-KR"/>
        </w:rPr>
        <w:t>IVMP</w:t>
      </w:r>
      <w:r>
        <w:rPr>
          <w:lang w:eastAsia="ja-JP"/>
        </w:rPr>
        <w:t xml:space="preserve"> have been suggested. Coding results for these modifications have been presented. </w:t>
      </w:r>
      <w:r w:rsidR="00A1560B">
        <w:rPr>
          <w:rFonts w:hint="eastAsia"/>
          <w:lang w:eastAsia="ko-KR"/>
        </w:rPr>
        <w:t xml:space="preserve">It achieves 0.2% coding gain without run time </w:t>
      </w:r>
      <w:r w:rsidR="00A1560B">
        <w:rPr>
          <w:lang w:eastAsia="ko-KR"/>
        </w:rPr>
        <w:t>increase</w:t>
      </w:r>
      <w:r w:rsidR="00A1560B">
        <w:rPr>
          <w:rFonts w:hint="eastAsia"/>
          <w:lang w:eastAsia="ko-KR"/>
        </w:rPr>
        <w:t xml:space="preserve">. </w:t>
      </w:r>
      <w:r w:rsidR="00447A02">
        <w:rPr>
          <w:rFonts w:hint="eastAsia"/>
          <w:lang w:eastAsia="ko-KR"/>
        </w:rPr>
        <w:t>The improve</w:t>
      </w:r>
      <w:r w:rsidR="000A0BE2">
        <w:rPr>
          <w:rFonts w:hint="eastAsia"/>
          <w:lang w:eastAsia="ko-KR"/>
        </w:rPr>
        <w:t xml:space="preserve">ment </w:t>
      </w:r>
      <w:r w:rsidR="00447A02">
        <w:rPr>
          <w:rFonts w:hint="eastAsia"/>
          <w:lang w:eastAsia="ko-KR"/>
        </w:rPr>
        <w:t xml:space="preserve">is almost half </w:t>
      </w:r>
      <w:r w:rsidR="000A0BE2">
        <w:rPr>
          <w:rFonts w:hint="eastAsia"/>
          <w:lang w:eastAsia="ko-KR"/>
        </w:rPr>
        <w:t xml:space="preserve">gain </w:t>
      </w:r>
      <w:r w:rsidR="00447A02">
        <w:rPr>
          <w:rFonts w:hint="eastAsia"/>
          <w:lang w:eastAsia="ko-KR"/>
        </w:rPr>
        <w:t xml:space="preserve">of IVMP. </w:t>
      </w:r>
    </w:p>
    <w:p w:rsidR="00CD0B97" w:rsidRPr="00144A0B" w:rsidRDefault="00CD0B97" w:rsidP="00CD0B97">
      <w:pPr>
        <w:pStyle w:val="1"/>
        <w:rPr>
          <w:lang w:val="en-GB" w:eastAsia="ja-JP"/>
        </w:rPr>
      </w:pPr>
      <w:r>
        <w:rPr>
          <w:rFonts w:eastAsia="Batang" w:hint="eastAsia"/>
          <w:lang w:val="en-GB" w:eastAsia="ko-KR"/>
        </w:rPr>
        <w:t xml:space="preserve">Patent right </w:t>
      </w:r>
      <w:r w:rsidRPr="00CD0B97">
        <w:rPr>
          <w:rFonts w:eastAsia="Batang" w:hint="eastAsia"/>
        </w:rPr>
        <w:t>declaration</w:t>
      </w:r>
      <w:r>
        <w:rPr>
          <w:rFonts w:eastAsia="Batang" w:hint="eastAsia"/>
          <w:lang w:val="en-GB" w:eastAsia="ko-KR"/>
        </w:rPr>
        <w:t>(s)</w:t>
      </w:r>
    </w:p>
    <w:p w:rsidR="00CD0B97" w:rsidRPr="005939C4" w:rsidRDefault="00CD0B97" w:rsidP="005F6A2A">
      <w:pPr>
        <w:jc w:val="both"/>
        <w:rPr>
          <w:b/>
          <w:szCs w:val="22"/>
          <w:lang w:eastAsia="ko-KR"/>
        </w:rPr>
      </w:pPr>
      <w:r w:rsidRPr="00144A0B">
        <w:rPr>
          <w:b/>
        </w:rPr>
        <w:t xml:space="preserve">Samsung </w:t>
      </w:r>
      <w:r w:rsidRPr="00144A0B">
        <w:rPr>
          <w:rFonts w:eastAsia="Malgun Gothic" w:hint="eastAsia"/>
          <w:b/>
          <w:lang w:eastAsia="ko-KR"/>
        </w:rPr>
        <w:t xml:space="preserve">Electronics Co., Ltd. </w:t>
      </w:r>
      <w:r w:rsidRPr="00144A0B">
        <w:rPr>
          <w:b/>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D0B97" w:rsidRPr="005939C4"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3FA" w:rsidRDefault="00F143FA">
      <w:r>
        <w:separator/>
      </w:r>
    </w:p>
  </w:endnote>
  <w:endnote w:type="continuationSeparator" w:id="0">
    <w:p w:rsidR="00F143FA" w:rsidRDefault="00F143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0000000000000000000"/>
    <w:charset w:val="00"/>
    <w:family w:val="roman"/>
    <w:notTrueType/>
    <w:pitch w:val="default"/>
    <w:sig w:usb0="00000000" w:usb1="00000000" w:usb2="00000000" w:usb3="00000000" w:csb0="00000000" w:csb1="00000000"/>
  </w:font>
  <w:font w:name="Arial Unicode MS">
    <w:panose1 w:val="020B0604020202020204"/>
    <w:charset w:val="81"/>
    <w:family w:val="modern"/>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3FA" w:rsidRDefault="00F143FA"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B79BC">
      <w:rPr>
        <w:rStyle w:val="a5"/>
      </w:rPr>
      <w:fldChar w:fldCharType="begin"/>
    </w:r>
    <w:r>
      <w:rPr>
        <w:rStyle w:val="a5"/>
      </w:rPr>
      <w:instrText xml:space="preserve"> PAGE </w:instrText>
    </w:r>
    <w:r w:rsidR="000B79BC">
      <w:rPr>
        <w:rStyle w:val="a5"/>
      </w:rPr>
      <w:fldChar w:fldCharType="separate"/>
    </w:r>
    <w:r w:rsidR="002C2BD8">
      <w:rPr>
        <w:rStyle w:val="a5"/>
        <w:noProof/>
      </w:rPr>
      <w:t>2</w:t>
    </w:r>
    <w:r w:rsidR="000B79BC">
      <w:rPr>
        <w:rStyle w:val="a5"/>
      </w:rPr>
      <w:fldChar w:fldCharType="end"/>
    </w:r>
    <w:r>
      <w:rPr>
        <w:rStyle w:val="a5"/>
      </w:rPr>
      <w:tab/>
      <w:t xml:space="preserve">Date Saved: </w:t>
    </w:r>
    <w:r w:rsidR="000B79BC">
      <w:rPr>
        <w:rStyle w:val="a5"/>
      </w:rPr>
      <w:fldChar w:fldCharType="begin"/>
    </w:r>
    <w:r>
      <w:rPr>
        <w:rStyle w:val="a5"/>
      </w:rPr>
      <w:instrText xml:space="preserve"> SAVEDATE  \@ "yyyy-MM-dd"  \* MERGEFORMAT </w:instrText>
    </w:r>
    <w:r w:rsidR="000B79BC">
      <w:rPr>
        <w:rStyle w:val="a5"/>
      </w:rPr>
      <w:fldChar w:fldCharType="separate"/>
    </w:r>
    <w:r w:rsidR="002C2BD8">
      <w:rPr>
        <w:rStyle w:val="a5"/>
        <w:noProof/>
      </w:rPr>
      <w:t>2012-07-10</w:t>
    </w:r>
    <w:r w:rsidR="000B79BC">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3FA" w:rsidRDefault="00F143FA">
      <w:r>
        <w:separator/>
      </w:r>
    </w:p>
  </w:footnote>
  <w:footnote w:type="continuationSeparator" w:id="0">
    <w:p w:rsidR="00F143FA" w:rsidRDefault="00F143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CE2B2D"/>
    <w:multiLevelType w:val="hybridMultilevel"/>
    <w:tmpl w:val="37E0DE5A"/>
    <w:lvl w:ilvl="0" w:tplc="8CB47954">
      <w:start w:val="1"/>
      <w:numFmt w:val="decimal"/>
      <w:lvlText w:val="%1."/>
      <w:lvlJc w:val="left"/>
      <w:pPr>
        <w:ind w:left="720" w:hanging="360"/>
      </w:pPr>
      <w:rPr>
        <w:rFonts w:eastAsia="Batang"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2"/>
  </w:num>
  <w:num w:numId="12">
    <w:abstractNumId w:val="11"/>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3B06"/>
    <w:rsid w:val="0002410E"/>
    <w:rsid w:val="000458BC"/>
    <w:rsid w:val="00045C41"/>
    <w:rsid w:val="00046C03"/>
    <w:rsid w:val="0007614F"/>
    <w:rsid w:val="000A0BE2"/>
    <w:rsid w:val="000B1C6B"/>
    <w:rsid w:val="000B4FF9"/>
    <w:rsid w:val="000B79BC"/>
    <w:rsid w:val="000C00BE"/>
    <w:rsid w:val="000C09AC"/>
    <w:rsid w:val="000E00F3"/>
    <w:rsid w:val="000F158C"/>
    <w:rsid w:val="000F3BDF"/>
    <w:rsid w:val="00102F3D"/>
    <w:rsid w:val="001052A3"/>
    <w:rsid w:val="00124E38"/>
    <w:rsid w:val="0012580B"/>
    <w:rsid w:val="00131F90"/>
    <w:rsid w:val="0013526E"/>
    <w:rsid w:val="00171371"/>
    <w:rsid w:val="00175A24"/>
    <w:rsid w:val="00181A4D"/>
    <w:rsid w:val="00187E58"/>
    <w:rsid w:val="001972E4"/>
    <w:rsid w:val="001A297E"/>
    <w:rsid w:val="001A368E"/>
    <w:rsid w:val="001A3D94"/>
    <w:rsid w:val="001A7329"/>
    <w:rsid w:val="001B4E28"/>
    <w:rsid w:val="001C3525"/>
    <w:rsid w:val="001D1BD2"/>
    <w:rsid w:val="001E02BE"/>
    <w:rsid w:val="001E3B37"/>
    <w:rsid w:val="001F07CA"/>
    <w:rsid w:val="001F2594"/>
    <w:rsid w:val="002055A6"/>
    <w:rsid w:val="00206460"/>
    <w:rsid w:val="002069B4"/>
    <w:rsid w:val="00215DFC"/>
    <w:rsid w:val="002212DF"/>
    <w:rsid w:val="00227BA7"/>
    <w:rsid w:val="00251CA3"/>
    <w:rsid w:val="00263398"/>
    <w:rsid w:val="00275BCF"/>
    <w:rsid w:val="00287F36"/>
    <w:rsid w:val="00292257"/>
    <w:rsid w:val="002A54E0"/>
    <w:rsid w:val="002A7DFF"/>
    <w:rsid w:val="002B1595"/>
    <w:rsid w:val="002B191D"/>
    <w:rsid w:val="002C2BD8"/>
    <w:rsid w:val="002D0AF6"/>
    <w:rsid w:val="002F164D"/>
    <w:rsid w:val="00306206"/>
    <w:rsid w:val="00317D85"/>
    <w:rsid w:val="00327C56"/>
    <w:rsid w:val="003315A1"/>
    <w:rsid w:val="003373EC"/>
    <w:rsid w:val="00342FF4"/>
    <w:rsid w:val="00345268"/>
    <w:rsid w:val="003706CC"/>
    <w:rsid w:val="00377710"/>
    <w:rsid w:val="003A2D8E"/>
    <w:rsid w:val="003C20E4"/>
    <w:rsid w:val="003E6F90"/>
    <w:rsid w:val="003F5D0F"/>
    <w:rsid w:val="00414101"/>
    <w:rsid w:val="00433DDB"/>
    <w:rsid w:val="00437619"/>
    <w:rsid w:val="00447A02"/>
    <w:rsid w:val="004611B4"/>
    <w:rsid w:val="0049006B"/>
    <w:rsid w:val="004909B3"/>
    <w:rsid w:val="004A2A63"/>
    <w:rsid w:val="004A71DC"/>
    <w:rsid w:val="004B210C"/>
    <w:rsid w:val="004D405F"/>
    <w:rsid w:val="004E4F4F"/>
    <w:rsid w:val="004E6789"/>
    <w:rsid w:val="004F61E3"/>
    <w:rsid w:val="004F7188"/>
    <w:rsid w:val="005020F4"/>
    <w:rsid w:val="0051015C"/>
    <w:rsid w:val="00516CF1"/>
    <w:rsid w:val="00531AE9"/>
    <w:rsid w:val="00540640"/>
    <w:rsid w:val="00546E28"/>
    <w:rsid w:val="00550A66"/>
    <w:rsid w:val="00567EC7"/>
    <w:rsid w:val="00570013"/>
    <w:rsid w:val="005705E6"/>
    <w:rsid w:val="005801A2"/>
    <w:rsid w:val="005939C4"/>
    <w:rsid w:val="005952A5"/>
    <w:rsid w:val="005A33A1"/>
    <w:rsid w:val="005B217D"/>
    <w:rsid w:val="005C385F"/>
    <w:rsid w:val="005E1AC6"/>
    <w:rsid w:val="005F6A2A"/>
    <w:rsid w:val="005F6F1B"/>
    <w:rsid w:val="00624B2F"/>
    <w:rsid w:val="00624B33"/>
    <w:rsid w:val="00630AA2"/>
    <w:rsid w:val="00646707"/>
    <w:rsid w:val="00662E58"/>
    <w:rsid w:val="00663350"/>
    <w:rsid w:val="00664DCF"/>
    <w:rsid w:val="006C5D39"/>
    <w:rsid w:val="006E2810"/>
    <w:rsid w:val="006E5417"/>
    <w:rsid w:val="006E6E0B"/>
    <w:rsid w:val="006F7C6D"/>
    <w:rsid w:val="00712F60"/>
    <w:rsid w:val="00720E3B"/>
    <w:rsid w:val="007276CB"/>
    <w:rsid w:val="00744CE2"/>
    <w:rsid w:val="00745F6B"/>
    <w:rsid w:val="00747C2E"/>
    <w:rsid w:val="0075585E"/>
    <w:rsid w:val="007610B7"/>
    <w:rsid w:val="00770571"/>
    <w:rsid w:val="007768FF"/>
    <w:rsid w:val="007824D3"/>
    <w:rsid w:val="00796EE3"/>
    <w:rsid w:val="007A7D29"/>
    <w:rsid w:val="007B4AB8"/>
    <w:rsid w:val="007D3169"/>
    <w:rsid w:val="007E7469"/>
    <w:rsid w:val="007F1F8B"/>
    <w:rsid w:val="007F67A1"/>
    <w:rsid w:val="008206C8"/>
    <w:rsid w:val="008500C7"/>
    <w:rsid w:val="00861D70"/>
    <w:rsid w:val="00874A6C"/>
    <w:rsid w:val="00876A53"/>
    <w:rsid w:val="00876C65"/>
    <w:rsid w:val="008A4B4C"/>
    <w:rsid w:val="008A6176"/>
    <w:rsid w:val="008C239F"/>
    <w:rsid w:val="008E480C"/>
    <w:rsid w:val="008F3894"/>
    <w:rsid w:val="00907757"/>
    <w:rsid w:val="00914CBB"/>
    <w:rsid w:val="009212B0"/>
    <w:rsid w:val="009234A5"/>
    <w:rsid w:val="009336F7"/>
    <w:rsid w:val="009374A7"/>
    <w:rsid w:val="0098551D"/>
    <w:rsid w:val="0099518F"/>
    <w:rsid w:val="009A523D"/>
    <w:rsid w:val="009A5B6D"/>
    <w:rsid w:val="009E6D0B"/>
    <w:rsid w:val="009F496B"/>
    <w:rsid w:val="00A01439"/>
    <w:rsid w:val="00A02E61"/>
    <w:rsid w:val="00A05CFF"/>
    <w:rsid w:val="00A1560B"/>
    <w:rsid w:val="00A2758E"/>
    <w:rsid w:val="00A46D15"/>
    <w:rsid w:val="00A53EC0"/>
    <w:rsid w:val="00A54CCC"/>
    <w:rsid w:val="00A56B97"/>
    <w:rsid w:val="00A6093D"/>
    <w:rsid w:val="00A710BF"/>
    <w:rsid w:val="00A76A6D"/>
    <w:rsid w:val="00A83253"/>
    <w:rsid w:val="00AA6287"/>
    <w:rsid w:val="00AA6E84"/>
    <w:rsid w:val="00AE04F1"/>
    <w:rsid w:val="00AE341B"/>
    <w:rsid w:val="00B07CA7"/>
    <w:rsid w:val="00B1279A"/>
    <w:rsid w:val="00B5222E"/>
    <w:rsid w:val="00B61C96"/>
    <w:rsid w:val="00B73A2A"/>
    <w:rsid w:val="00B94B06"/>
    <w:rsid w:val="00B94C28"/>
    <w:rsid w:val="00BC10BA"/>
    <w:rsid w:val="00BC5AFD"/>
    <w:rsid w:val="00BE2878"/>
    <w:rsid w:val="00C04F43"/>
    <w:rsid w:val="00C0609D"/>
    <w:rsid w:val="00C115AB"/>
    <w:rsid w:val="00C30249"/>
    <w:rsid w:val="00C3723B"/>
    <w:rsid w:val="00C606C9"/>
    <w:rsid w:val="00C80288"/>
    <w:rsid w:val="00C84003"/>
    <w:rsid w:val="00C90650"/>
    <w:rsid w:val="00C97D78"/>
    <w:rsid w:val="00CC2AAE"/>
    <w:rsid w:val="00CC5A42"/>
    <w:rsid w:val="00CD0B97"/>
    <w:rsid w:val="00CD0EAB"/>
    <w:rsid w:val="00CD56F2"/>
    <w:rsid w:val="00CF34DB"/>
    <w:rsid w:val="00CF558F"/>
    <w:rsid w:val="00CF6FFA"/>
    <w:rsid w:val="00D073E2"/>
    <w:rsid w:val="00D446EC"/>
    <w:rsid w:val="00D51BF0"/>
    <w:rsid w:val="00D55942"/>
    <w:rsid w:val="00D7584E"/>
    <w:rsid w:val="00D807BF"/>
    <w:rsid w:val="00D849C6"/>
    <w:rsid w:val="00DA7887"/>
    <w:rsid w:val="00DB2C26"/>
    <w:rsid w:val="00DB7133"/>
    <w:rsid w:val="00DE6B43"/>
    <w:rsid w:val="00E11923"/>
    <w:rsid w:val="00E21F20"/>
    <w:rsid w:val="00E262D4"/>
    <w:rsid w:val="00E36250"/>
    <w:rsid w:val="00E54511"/>
    <w:rsid w:val="00E61DAC"/>
    <w:rsid w:val="00E72B80"/>
    <w:rsid w:val="00E75098"/>
    <w:rsid w:val="00E75FE3"/>
    <w:rsid w:val="00E86C4C"/>
    <w:rsid w:val="00EA6089"/>
    <w:rsid w:val="00EB61DC"/>
    <w:rsid w:val="00EB7AB1"/>
    <w:rsid w:val="00EF48CC"/>
    <w:rsid w:val="00F13CB4"/>
    <w:rsid w:val="00F143FA"/>
    <w:rsid w:val="00F47A5A"/>
    <w:rsid w:val="00F5276D"/>
    <w:rsid w:val="00F73032"/>
    <w:rsid w:val="00F848FC"/>
    <w:rsid w:val="00F858F1"/>
    <w:rsid w:val="00F85E55"/>
    <w:rsid w:val="00F9282A"/>
    <w:rsid w:val="00F96BAD"/>
    <w:rsid w:val="00FB0E84"/>
    <w:rsid w:val="00FD01C2"/>
    <w:rsid w:val="00FF0CE3"/>
    <w:rsid w:val="00FF47A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1">
    <w:name w:val="heading 1"/>
    <w:basedOn w:val="a"/>
    <w:next w:val="a"/>
    <w:link w:val="1Char"/>
    <w:uiPriority w:val="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uiPriority w:val="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uiPriority w:val="9"/>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uiPriority w:val="9"/>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uiPriority w:val="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uiPriority w:val="9"/>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uiPriority w:val="9"/>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uiPriority w:val="9"/>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4B2F"/>
    <w:pPr>
      <w:tabs>
        <w:tab w:val="center" w:pos="4320"/>
        <w:tab w:val="right" w:pos="8640"/>
      </w:tabs>
    </w:pPr>
  </w:style>
  <w:style w:type="paragraph" w:styleId="a4">
    <w:name w:val="footer"/>
    <w:basedOn w:val="a"/>
    <w:rsid w:val="00624B2F"/>
    <w:pPr>
      <w:tabs>
        <w:tab w:val="center" w:pos="4320"/>
        <w:tab w:val="right" w:pos="8640"/>
      </w:tabs>
    </w:pPr>
  </w:style>
  <w:style w:type="character" w:styleId="a5">
    <w:name w:val="page number"/>
    <w:basedOn w:val="a0"/>
    <w:rsid w:val="00624B2F"/>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1Char">
    <w:name w:val="제목 1 Char"/>
    <w:basedOn w:val="a0"/>
    <w:link w:val="1"/>
    <w:uiPriority w:val="9"/>
    <w:rsid w:val="00CD0B97"/>
    <w:rPr>
      <w:rFonts w:cs="Arial"/>
      <w:b/>
      <w:bCs/>
      <w:kern w:val="32"/>
      <w:sz w:val="32"/>
      <w:szCs w:val="32"/>
      <w:lang w:val="en-US" w:eastAsia="en-US"/>
    </w:rPr>
  </w:style>
  <w:style w:type="paragraph" w:styleId="aa">
    <w:name w:val="List Paragraph"/>
    <w:basedOn w:val="a"/>
    <w:uiPriority w:val="34"/>
    <w:rsid w:val="00CD0B97"/>
    <w:pPr>
      <w:tabs>
        <w:tab w:val="clear" w:pos="360"/>
        <w:tab w:val="clear" w:pos="720"/>
        <w:tab w:val="clear" w:pos="1080"/>
        <w:tab w:val="clear" w:pos="1440"/>
      </w:tabs>
      <w:overflowPunct/>
      <w:autoSpaceDE/>
      <w:autoSpaceDN/>
      <w:adjustRightInd/>
      <w:spacing w:before="120" w:line="276" w:lineRule="auto"/>
      <w:ind w:left="720"/>
      <w:contextualSpacing/>
      <w:jc w:val="both"/>
      <w:textAlignment w:val="auto"/>
    </w:pPr>
    <w:rPr>
      <w:rFonts w:eastAsiaTheme="minorHAnsi"/>
      <w:sz w:val="24"/>
      <w:szCs w:val="24"/>
    </w:rPr>
  </w:style>
  <w:style w:type="paragraph" w:styleId="ab">
    <w:name w:val="caption"/>
    <w:basedOn w:val="a"/>
    <w:next w:val="a"/>
    <w:qFormat/>
    <w:rsid w:val="00CD0B97"/>
    <w:pPr>
      <w:tabs>
        <w:tab w:val="clear" w:pos="360"/>
        <w:tab w:val="clear" w:pos="720"/>
        <w:tab w:val="clear" w:pos="1080"/>
        <w:tab w:val="clear" w:pos="1440"/>
      </w:tabs>
      <w:spacing w:before="120" w:after="120"/>
      <w:ind w:left="851" w:hanging="709"/>
      <w:jc w:val="center"/>
    </w:pPr>
    <w:rPr>
      <w:rFonts w:eastAsia="MS Mincho"/>
      <w:b/>
      <w:sz w:val="24"/>
      <w:szCs w:val="24"/>
      <w:lang w:eastAsia="ja-JP"/>
    </w:rPr>
  </w:style>
  <w:style w:type="paragraph" w:styleId="ac">
    <w:name w:val="Normal (Web)"/>
    <w:basedOn w:val="a"/>
    <w:uiPriority w:val="99"/>
    <w:unhideWhenUsed/>
    <w:rsid w:val="00A1560B"/>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ko-KR"/>
    </w:rPr>
  </w:style>
</w:styles>
</file>

<file path=word/webSettings.xml><?xml version="1.0" encoding="utf-8"?>
<w:webSettings xmlns:r="http://schemas.openxmlformats.org/officeDocument/2006/relationships" xmlns:w="http://schemas.openxmlformats.org/wordprocessingml/2006/main">
  <w:divs>
    <w:div w:id="233123079">
      <w:bodyDiv w:val="1"/>
      <w:marLeft w:val="0"/>
      <w:marRight w:val="0"/>
      <w:marTop w:val="0"/>
      <w:marBottom w:val="0"/>
      <w:divBdr>
        <w:top w:val="none" w:sz="0" w:space="0" w:color="auto"/>
        <w:left w:val="none" w:sz="0" w:space="0" w:color="auto"/>
        <w:bottom w:val="none" w:sz="0" w:space="0" w:color="auto"/>
        <w:right w:val="none" w:sz="0" w:space="0" w:color="auto"/>
      </w:divBdr>
    </w:div>
    <w:div w:id="13535360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4614968">
      <w:bodyDiv w:val="1"/>
      <w:marLeft w:val="0"/>
      <w:marRight w:val="0"/>
      <w:marTop w:val="0"/>
      <w:marBottom w:val="0"/>
      <w:divBdr>
        <w:top w:val="none" w:sz="0" w:space="0" w:color="auto"/>
        <w:left w:val="none" w:sz="0" w:space="0" w:color="auto"/>
        <w:bottom w:val="none" w:sz="0" w:space="0" w:color="auto"/>
        <w:right w:val="none" w:sz="0" w:space="0" w:color="auto"/>
      </w:divBdr>
    </w:div>
    <w:div w:id="198989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8FC51-244B-4E97-81D2-2D4DBCFCC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652</Words>
  <Characters>3756</Characters>
  <Application>Microsoft Office Word</Application>
  <DocSecurity>0</DocSecurity>
  <Lines>31</Lines>
  <Paragraphs>8</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4400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2949183</vt:i4>
      </vt:variant>
      <vt:variant>
        <vt:i4>0</vt:i4>
      </vt:variant>
      <vt:variant>
        <vt:i4>0</vt:i4>
      </vt:variant>
      <vt:variant>
        <vt:i4>5</vt:i4>
      </vt:variant>
      <vt:variant>
        <vt:lpwstr>http://phenix.int-evry.fr/jct2/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Kwan-Jung Oh</dc:creator>
  <cp:keywords>JCT-VC, MPEG, VCEG</cp:keywords>
  <cp:lastModifiedBy>Kwan-Jung Oh</cp:lastModifiedBy>
  <cp:revision>15</cp:revision>
  <cp:lastPrinted>1601-01-01T00:00:00Z</cp:lastPrinted>
  <dcterms:created xsi:type="dcterms:W3CDTF">2012-07-06T01:06:00Z</dcterms:created>
  <dcterms:modified xsi:type="dcterms:W3CDTF">2012-07-10T04:51:00Z</dcterms:modified>
</cp:coreProperties>
</file>