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D8010B1" w14:textId="77777777">
        <w:tc>
          <w:tcPr>
            <w:tcW w:w="6408" w:type="dxa"/>
          </w:tcPr>
          <w:p w14:paraId="6C1C76D2" w14:textId="77777777" w:rsidR="006C5D39" w:rsidRPr="005B217D" w:rsidRDefault="0097703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216CE05A" wp14:editId="68E79710">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179B2DC3" wp14:editId="3737495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5F063F1D" wp14:editId="0DB01C9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B074C61"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209E2E9" w14:textId="77777777"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14:paraId="5052A490" w14:textId="77D1DE78" w:rsidR="008A4B4C" w:rsidRPr="005B217D" w:rsidRDefault="00E61DAC" w:rsidP="004D1D5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B56BD">
              <w:rPr>
                <w:lang w:val="en-CA"/>
              </w:rPr>
              <w:t>Z</w:t>
            </w:r>
            <w:r w:rsidR="004D1D53" w:rsidRPr="004D1D53">
              <w:rPr>
                <w:lang w:val="en-CA"/>
              </w:rPr>
              <w:t>00</w:t>
            </w:r>
            <w:r w:rsidR="0038389B">
              <w:rPr>
                <w:lang w:val="en-CA"/>
              </w:rPr>
              <w:t>4</w:t>
            </w:r>
            <w:r w:rsidR="009014EF">
              <w:rPr>
                <w:lang w:val="en-CA"/>
              </w:rPr>
              <w:t>2</w:t>
            </w:r>
          </w:p>
        </w:tc>
      </w:tr>
    </w:tbl>
    <w:p w14:paraId="050D21C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217B2560" w14:textId="77777777">
        <w:tc>
          <w:tcPr>
            <w:tcW w:w="1458" w:type="dxa"/>
          </w:tcPr>
          <w:p w14:paraId="63D4BF94"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3C68221" w14:textId="2CD806FA" w:rsidR="00E61DAC" w:rsidRPr="005B217D" w:rsidRDefault="00096085" w:rsidP="00E956B6">
            <w:pPr>
              <w:spacing w:before="60" w:after="60"/>
              <w:rPr>
                <w:b/>
                <w:szCs w:val="22"/>
                <w:lang w:val="en-CA"/>
              </w:rPr>
            </w:pPr>
            <w:r w:rsidRPr="00096085">
              <w:rPr>
                <w:b/>
                <w:szCs w:val="22"/>
                <w:lang w:val="en-CA"/>
              </w:rPr>
              <w:t>HDRTools: Generalized Scaling and Tone Mapping Support</w:t>
            </w:r>
          </w:p>
        </w:tc>
      </w:tr>
      <w:tr w:rsidR="00E61DAC" w:rsidRPr="005B217D" w14:paraId="445DDE1B" w14:textId="77777777">
        <w:tc>
          <w:tcPr>
            <w:tcW w:w="1458" w:type="dxa"/>
          </w:tcPr>
          <w:p w14:paraId="0C55913F"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49B1C84C" w14:textId="77777777" w:rsidR="00E61DAC" w:rsidRPr="005B217D" w:rsidRDefault="00E61DAC" w:rsidP="009719B7">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5D6DAFA" w14:textId="77777777">
        <w:tc>
          <w:tcPr>
            <w:tcW w:w="1458" w:type="dxa"/>
          </w:tcPr>
          <w:p w14:paraId="601E8B1F"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ECC11E3" w14:textId="77777777" w:rsidR="00E61DAC" w:rsidRPr="005B217D" w:rsidRDefault="00E61DAC" w:rsidP="005E1AC6">
            <w:pPr>
              <w:spacing w:before="60" w:after="60"/>
              <w:rPr>
                <w:szCs w:val="22"/>
                <w:lang w:val="en-CA"/>
              </w:rPr>
            </w:pPr>
            <w:r w:rsidRPr="005B217D">
              <w:rPr>
                <w:szCs w:val="22"/>
                <w:lang w:val="en-CA"/>
              </w:rPr>
              <w:t>Information</w:t>
            </w:r>
          </w:p>
        </w:tc>
      </w:tr>
      <w:tr w:rsidR="00C968BE" w:rsidRPr="005B217D" w14:paraId="051C2191" w14:textId="77777777">
        <w:tc>
          <w:tcPr>
            <w:tcW w:w="1458" w:type="dxa"/>
          </w:tcPr>
          <w:p w14:paraId="5E9B746C" w14:textId="77777777" w:rsidR="00C968BE" w:rsidRPr="005B217D" w:rsidRDefault="00C968BE">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4E2F4FB" w14:textId="18927CF9" w:rsidR="00C968BE" w:rsidRDefault="00C968BE" w:rsidP="00C968BE">
            <w:pPr>
              <w:spacing w:before="60" w:after="60"/>
              <w:rPr>
                <w:szCs w:val="22"/>
                <w:lang w:val="en-CA"/>
              </w:rPr>
            </w:pPr>
            <w:r>
              <w:rPr>
                <w:szCs w:val="22"/>
                <w:lang w:val="sv-SE"/>
              </w:rPr>
              <w:t>A.M. Tourapis</w:t>
            </w:r>
            <w:r w:rsidRPr="002E3BF2">
              <w:rPr>
                <w:szCs w:val="22"/>
                <w:lang w:val="sv-SE"/>
              </w:rPr>
              <w:t xml:space="preserve">, </w:t>
            </w:r>
            <w:r w:rsidR="00096085">
              <w:rPr>
                <w:szCs w:val="22"/>
                <w:lang w:val="sv-SE"/>
              </w:rPr>
              <w:t>T</w:t>
            </w:r>
            <w:r>
              <w:rPr>
                <w:szCs w:val="22"/>
                <w:lang w:val="sv-SE"/>
              </w:rPr>
              <w:t xml:space="preserve">. </w:t>
            </w:r>
            <w:r w:rsidR="00096085">
              <w:rPr>
                <w:szCs w:val="22"/>
                <w:lang w:val="sv-SE"/>
              </w:rPr>
              <w:t>Baar</w:t>
            </w:r>
            <w:r>
              <w:rPr>
                <w:szCs w:val="22"/>
                <w:lang w:val="sv-SE"/>
              </w:rPr>
              <w:t xml:space="preserve">, </w:t>
            </w:r>
            <w:r>
              <w:rPr>
                <w:szCs w:val="22"/>
                <w:lang w:val="en-CA"/>
              </w:rPr>
              <w:t>D. Singer</w:t>
            </w:r>
            <w:r w:rsidR="00096085">
              <w:rPr>
                <w:szCs w:val="22"/>
                <w:lang w:val="en-CA"/>
              </w:rPr>
              <w:t>, Y. Su</w:t>
            </w:r>
          </w:p>
          <w:p w14:paraId="0CCE37A4" w14:textId="51DD078A" w:rsidR="00C968BE" w:rsidRPr="002E3BF2" w:rsidRDefault="00C968BE" w:rsidP="00C968BE">
            <w:pPr>
              <w:spacing w:before="60" w:after="60"/>
              <w:rPr>
                <w:szCs w:val="22"/>
                <w:lang w:val="sv-SE"/>
              </w:rPr>
            </w:pPr>
            <w:r>
              <w:rPr>
                <w:szCs w:val="22"/>
                <w:lang w:val="en-CA"/>
              </w:rPr>
              <w:t>1 Infinite Loop</w:t>
            </w:r>
            <w:r>
              <w:rPr>
                <w:szCs w:val="22"/>
                <w:lang w:val="en-CA"/>
              </w:rPr>
              <w:br/>
              <w:t>Cupertino, CA 95014</w:t>
            </w:r>
            <w:r>
              <w:rPr>
                <w:szCs w:val="22"/>
                <w:lang w:val="en-CA"/>
              </w:rPr>
              <w:br/>
              <w:t>USA</w:t>
            </w:r>
          </w:p>
        </w:tc>
        <w:tc>
          <w:tcPr>
            <w:tcW w:w="900" w:type="dxa"/>
          </w:tcPr>
          <w:p w14:paraId="5E395156" w14:textId="7AF49C09" w:rsidR="00C968BE" w:rsidRPr="005B217D" w:rsidRDefault="00C968BE">
            <w:pPr>
              <w:spacing w:before="60" w:after="60"/>
              <w:rPr>
                <w:szCs w:val="22"/>
                <w:lang w:val="en-CA"/>
              </w:rPr>
            </w:pPr>
            <w:r w:rsidRPr="005B217D">
              <w:rPr>
                <w:szCs w:val="22"/>
                <w:lang w:val="en-CA"/>
              </w:rPr>
              <w:t>Tel:</w:t>
            </w:r>
            <w:r w:rsidRPr="005B217D">
              <w:rPr>
                <w:szCs w:val="22"/>
                <w:lang w:val="en-CA"/>
              </w:rPr>
              <w:br/>
              <w:t>Email:</w:t>
            </w:r>
          </w:p>
        </w:tc>
        <w:tc>
          <w:tcPr>
            <w:tcW w:w="3168" w:type="dxa"/>
          </w:tcPr>
          <w:p w14:paraId="57F24A60" w14:textId="13C61BBA" w:rsidR="00C968BE" w:rsidRPr="005B217D" w:rsidRDefault="00C968BE" w:rsidP="002E3BF2">
            <w:pPr>
              <w:spacing w:before="60" w:after="60"/>
              <w:rPr>
                <w:szCs w:val="22"/>
                <w:lang w:val="en-CA"/>
              </w:rPr>
            </w:pPr>
            <w:r>
              <w:rPr>
                <w:szCs w:val="22"/>
                <w:lang w:val="en-CA"/>
              </w:rPr>
              <w:t>+1-408-228-7983</w:t>
            </w:r>
            <w:r>
              <w:rPr>
                <w:szCs w:val="22"/>
                <w:lang w:val="en-CA"/>
              </w:rPr>
              <w:br/>
              <w:t>atourapis@apple.com</w:t>
            </w:r>
          </w:p>
        </w:tc>
      </w:tr>
      <w:tr w:rsidR="00E61DAC" w:rsidRPr="005B217D" w14:paraId="49E1B4E1" w14:textId="77777777">
        <w:tc>
          <w:tcPr>
            <w:tcW w:w="1458" w:type="dxa"/>
          </w:tcPr>
          <w:p w14:paraId="23405F3D"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77927D66" w14:textId="48E536BA" w:rsidR="00E61DAC" w:rsidRPr="005B217D" w:rsidRDefault="00C968BE" w:rsidP="00C968BE">
            <w:pPr>
              <w:spacing w:before="60" w:after="60"/>
              <w:rPr>
                <w:szCs w:val="22"/>
                <w:lang w:val="en-CA"/>
              </w:rPr>
            </w:pPr>
            <w:r>
              <w:rPr>
                <w:szCs w:val="22"/>
                <w:lang w:val="en-CA"/>
              </w:rPr>
              <w:t>Apple Inc</w:t>
            </w:r>
          </w:p>
        </w:tc>
      </w:tr>
    </w:tbl>
    <w:p w14:paraId="72E4FB45"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588769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F3B11EA" w14:textId="4515E891" w:rsidR="00263398" w:rsidRPr="0027192F" w:rsidRDefault="009014EF" w:rsidP="005708C6">
      <w:pPr>
        <w:jc w:val="both"/>
        <w:rPr>
          <w:szCs w:val="22"/>
          <w:lang w:val="en-CA"/>
        </w:rPr>
      </w:pPr>
      <w:r w:rsidRPr="0027192F">
        <w:rPr>
          <w:szCs w:val="22"/>
          <w:lang w:val="en-CA"/>
        </w:rPr>
        <w:t xml:space="preserve">This contribution presents several new enhancements that were introduced to the latest version of HDRTools. In particular, the HDRTools package now supports generalized scaling, using Lanczos filters, mapping of HDR content to displays with limited brightness, </w:t>
      </w:r>
      <w:r w:rsidR="005708C6" w:rsidRPr="0027192F">
        <w:rPr>
          <w:szCs w:val="22"/>
          <w:lang w:val="en-CA"/>
        </w:rPr>
        <w:t>and EXR files with non-linear input data among other things. A tool for analyzing gamut information is also included. A new version</w:t>
      </w:r>
      <w:r w:rsidR="0027192F">
        <w:rPr>
          <w:szCs w:val="22"/>
          <w:lang w:val="en-CA"/>
        </w:rPr>
        <w:t xml:space="preserve"> of HDRTools</w:t>
      </w:r>
      <w:r w:rsidR="005708C6" w:rsidRPr="0027192F">
        <w:rPr>
          <w:szCs w:val="22"/>
          <w:lang w:val="en-CA"/>
        </w:rPr>
        <w:t xml:space="preserve">, </w:t>
      </w:r>
      <w:r w:rsidR="0027192F">
        <w:rPr>
          <w:szCs w:val="22"/>
          <w:lang w:val="en-CA"/>
        </w:rPr>
        <w:t>v</w:t>
      </w:r>
      <w:r w:rsidR="005708C6" w:rsidRPr="0027192F">
        <w:rPr>
          <w:szCs w:val="22"/>
          <w:lang w:val="en-CA"/>
        </w:rPr>
        <w:t xml:space="preserve">0.14, </w:t>
      </w:r>
      <w:r w:rsidR="0027192F">
        <w:rPr>
          <w:szCs w:val="22"/>
          <w:lang w:val="en-CA"/>
        </w:rPr>
        <w:t>which</w:t>
      </w:r>
      <w:r w:rsidR="005708C6" w:rsidRPr="0027192F">
        <w:rPr>
          <w:szCs w:val="22"/>
          <w:lang w:val="en-CA"/>
        </w:rPr>
        <w:t xml:space="preserve"> includes all of these updates</w:t>
      </w:r>
      <w:r w:rsidR="0027192F">
        <w:rPr>
          <w:szCs w:val="22"/>
          <w:lang w:val="en-CA"/>
        </w:rPr>
        <w:t>,</w:t>
      </w:r>
      <w:r w:rsidR="005708C6" w:rsidRPr="0027192F">
        <w:rPr>
          <w:szCs w:val="22"/>
          <w:lang w:val="en-CA"/>
        </w:rPr>
        <w:t xml:space="preserve"> is expected to be released </w:t>
      </w:r>
      <w:r w:rsidR="0030185E">
        <w:rPr>
          <w:szCs w:val="22"/>
          <w:lang w:val="en-CA"/>
        </w:rPr>
        <w:t>during</w:t>
      </w:r>
      <w:r w:rsidR="005708C6" w:rsidRPr="0027192F">
        <w:rPr>
          <w:szCs w:val="22"/>
          <w:lang w:val="en-CA"/>
        </w:rPr>
        <w:t xml:space="preserve"> the upcoming MPEG meeting. A beta version is already available to interested parties.</w:t>
      </w:r>
    </w:p>
    <w:p w14:paraId="482B36A4" w14:textId="77777777" w:rsidR="00745F6B" w:rsidRDefault="00745F6B" w:rsidP="00E11923">
      <w:pPr>
        <w:pStyle w:val="Heading1"/>
        <w:rPr>
          <w:lang w:val="en-CA"/>
        </w:rPr>
      </w:pPr>
      <w:r w:rsidRPr="005B217D">
        <w:rPr>
          <w:lang w:val="en-CA"/>
        </w:rPr>
        <w:t xml:space="preserve">Introduction </w:t>
      </w:r>
    </w:p>
    <w:p w14:paraId="6D5F5EC3" w14:textId="23716ACF" w:rsidR="004D58DF" w:rsidRDefault="004D58DF" w:rsidP="004D58DF">
      <w:pPr>
        <w:jc w:val="both"/>
      </w:pPr>
      <w:r>
        <w:t xml:space="preserve">The HDRTools software package </w:t>
      </w:r>
      <w:r>
        <w:fldChar w:fldCharType="begin"/>
      </w:r>
      <w:r>
        <w:instrText xml:space="preserve"> REF _Ref451524751 \r \h </w:instrText>
      </w:r>
      <w:r>
        <w:fldChar w:fldCharType="separate"/>
      </w:r>
      <w:r w:rsidR="0065611D">
        <w:t>[1]</w:t>
      </w:r>
      <w:r>
        <w:fldChar w:fldCharType="end"/>
      </w:r>
      <w:r>
        <w:t xml:space="preserve"> is a system available to MPEG members and the video research community in general, with the intent of providing a variety of video signal processing, analysis, and conversion tools. </w:t>
      </w:r>
      <w:r w:rsidR="007270C9">
        <w:t>The software</w:t>
      </w:r>
      <w:r>
        <w:t xml:space="preserve"> original focus</w:t>
      </w:r>
      <w:r w:rsidR="007270C9">
        <w:t>ed</w:t>
      </w:r>
      <w:r>
        <w:t xml:space="preserve"> </w:t>
      </w:r>
      <w:r w:rsidR="007270C9">
        <w:t xml:space="preserve">on </w:t>
      </w:r>
      <w:r>
        <w:t xml:space="preserve">High Dynamic Range (HDR) and Wide Colour Gamut (WCG) video content, however </w:t>
      </w:r>
      <w:r w:rsidR="007270C9">
        <w:t xml:space="preserve">support for SDR formats has also been introduced and </w:t>
      </w:r>
      <w:r w:rsidR="0027192F">
        <w:t>the software</w:t>
      </w:r>
      <w:r w:rsidR="007270C9">
        <w:t xml:space="preserve"> has been extended in focus</w:t>
      </w:r>
      <w:r>
        <w:t xml:space="preserve">. The package includes a variety of tools for converting video data from one format to another, including color space conversions, applications of transfer functions, chroma format conversion, scaling, primitive tone mapping, and filtering among others. It also includes some basic video analysis tools, including tools for video quality measurement. </w:t>
      </w:r>
    </w:p>
    <w:p w14:paraId="5D9A01CF" w14:textId="7BAFEEA5" w:rsidR="00936A5B" w:rsidRDefault="007270C9" w:rsidP="0022645B">
      <w:pPr>
        <w:jc w:val="both"/>
        <w:rPr>
          <w:lang w:val="en-CA"/>
        </w:rPr>
      </w:pPr>
      <w:r>
        <w:rPr>
          <w:lang w:val="en-CA"/>
        </w:rPr>
        <w:t>There ha</w:t>
      </w:r>
      <w:r w:rsidR="007A316F">
        <w:rPr>
          <w:lang w:val="en-CA"/>
        </w:rPr>
        <w:t>ve</w:t>
      </w:r>
      <w:r>
        <w:rPr>
          <w:lang w:val="en-CA"/>
        </w:rPr>
        <w:t xml:space="preserve"> been </w:t>
      </w:r>
      <w:r w:rsidR="007A316F">
        <w:rPr>
          <w:lang w:val="en-CA"/>
        </w:rPr>
        <w:t>numerous</w:t>
      </w:r>
      <w:r w:rsidR="002969DC">
        <w:rPr>
          <w:lang w:val="en-CA"/>
        </w:rPr>
        <w:t xml:space="preserve"> </w:t>
      </w:r>
      <w:r>
        <w:rPr>
          <w:lang w:val="en-CA"/>
        </w:rPr>
        <w:t xml:space="preserve">requests to add scaling and better tone mapping support in HDRTools. </w:t>
      </w:r>
      <w:r w:rsidR="00936A5B">
        <w:rPr>
          <w:lang w:val="en-CA"/>
        </w:rPr>
        <w:t xml:space="preserve">We have made attempts to address </w:t>
      </w:r>
      <w:r w:rsidR="0027192F">
        <w:rPr>
          <w:lang w:val="en-CA"/>
        </w:rPr>
        <w:t>these</w:t>
      </w:r>
      <w:r w:rsidR="00936A5B">
        <w:rPr>
          <w:lang w:val="en-CA"/>
        </w:rPr>
        <w:t xml:space="preserve"> issues in the upcoming revision, which hopefully will be useful to researchers and </w:t>
      </w:r>
      <w:r w:rsidR="0027192F">
        <w:rPr>
          <w:lang w:val="en-CA"/>
        </w:rPr>
        <w:t>to</w:t>
      </w:r>
      <w:r w:rsidR="00936A5B">
        <w:rPr>
          <w:lang w:val="en-CA"/>
        </w:rPr>
        <w:t xml:space="preserve"> future MPEG </w:t>
      </w:r>
      <w:r w:rsidR="0027192F">
        <w:rPr>
          <w:lang w:val="en-CA"/>
        </w:rPr>
        <w:t xml:space="preserve">development </w:t>
      </w:r>
      <w:r w:rsidR="00936A5B">
        <w:rPr>
          <w:lang w:val="en-CA"/>
        </w:rPr>
        <w:t>activities. Other new features and bug fixes were a</w:t>
      </w:r>
      <w:r w:rsidR="002969DC">
        <w:rPr>
          <w:lang w:val="en-CA"/>
        </w:rPr>
        <w:t>lso introduced in the software including a</w:t>
      </w:r>
      <w:r w:rsidR="00936A5B">
        <w:rPr>
          <w:lang w:val="en-CA"/>
        </w:rPr>
        <w:t xml:space="preserve"> new tool, named GamutTest, </w:t>
      </w:r>
      <w:r w:rsidR="0027192F">
        <w:rPr>
          <w:lang w:val="en-CA"/>
        </w:rPr>
        <w:t>which</w:t>
      </w:r>
      <w:r w:rsidR="002969DC">
        <w:rPr>
          <w:lang w:val="en-CA"/>
        </w:rPr>
        <w:t xml:space="preserve"> can </w:t>
      </w:r>
      <w:r w:rsidR="0027192F">
        <w:rPr>
          <w:lang w:val="en-CA"/>
        </w:rPr>
        <w:t>be used for</w:t>
      </w:r>
      <w:r w:rsidR="002969DC">
        <w:rPr>
          <w:lang w:val="en-CA"/>
        </w:rPr>
        <w:t xml:space="preserve"> video sequence gamut analysis, </w:t>
      </w:r>
      <w:r w:rsidR="0027192F">
        <w:rPr>
          <w:lang w:val="en-CA"/>
        </w:rPr>
        <w:t xml:space="preserve">improved RGB data support, and </w:t>
      </w:r>
      <w:r w:rsidR="002969DC">
        <w:rPr>
          <w:lang w:val="en-CA"/>
        </w:rPr>
        <w:t>support for non-linearly encoded EXR files among others. A more detailed description of these tools</w:t>
      </w:r>
      <w:r w:rsidR="0027192F">
        <w:rPr>
          <w:lang w:val="en-CA"/>
        </w:rPr>
        <w:t>/enhancements</w:t>
      </w:r>
      <w:r w:rsidR="002969DC">
        <w:rPr>
          <w:lang w:val="en-CA"/>
        </w:rPr>
        <w:t xml:space="preserve"> is provided in the next section.</w:t>
      </w:r>
    </w:p>
    <w:p w14:paraId="78D97B78" w14:textId="7A576F77" w:rsidR="00936A5B" w:rsidRDefault="002969DC" w:rsidP="00936A5B">
      <w:pPr>
        <w:pStyle w:val="Heading1"/>
        <w:rPr>
          <w:lang w:val="en-CA"/>
        </w:rPr>
      </w:pPr>
      <w:r>
        <w:rPr>
          <w:lang w:val="en-CA"/>
        </w:rPr>
        <w:t>New Tool/Feature support in HDRTools</w:t>
      </w:r>
    </w:p>
    <w:p w14:paraId="45F4668F" w14:textId="6A21A80F" w:rsidR="00036098" w:rsidRDefault="00036098" w:rsidP="00036098">
      <w:pPr>
        <w:pStyle w:val="Heading2"/>
        <w:rPr>
          <w:lang w:val="en-CA"/>
        </w:rPr>
      </w:pPr>
      <w:r>
        <w:rPr>
          <w:lang w:val="en-CA"/>
        </w:rPr>
        <w:t>Support for non-linear EXR data</w:t>
      </w:r>
    </w:p>
    <w:p w14:paraId="1DCBFF4D" w14:textId="18AF6604" w:rsidR="003F6DAE" w:rsidRDefault="00936A5B" w:rsidP="00936A5B">
      <w:pPr>
        <w:jc w:val="both"/>
      </w:pPr>
      <w:r>
        <w:t xml:space="preserve">At the </w:t>
      </w:r>
      <w:r w:rsidR="007F7340">
        <w:t>116</w:t>
      </w:r>
      <w:r w:rsidR="007F7340" w:rsidRPr="007F7340">
        <w:rPr>
          <w:vertAlign w:val="superscript"/>
        </w:rPr>
        <w:t>th</w:t>
      </w:r>
      <w:r w:rsidR="007F7340">
        <w:t xml:space="preserve"> MPEG meeting, new video sequences were donated </w:t>
      </w:r>
      <w:r w:rsidR="007F7340">
        <w:fldChar w:fldCharType="begin"/>
      </w:r>
      <w:r w:rsidR="007F7340">
        <w:instrText xml:space="preserve"> REF _Ref345580413 \r \h </w:instrText>
      </w:r>
      <w:r w:rsidR="007F7340">
        <w:fldChar w:fldCharType="separate"/>
      </w:r>
      <w:r w:rsidR="0065611D">
        <w:t>[2]</w:t>
      </w:r>
      <w:r w:rsidR="007F7340">
        <w:fldChar w:fldCharType="end"/>
      </w:r>
      <w:r w:rsidR="007F7340">
        <w:t xml:space="preserve"> to the video community to better support current and future SDR and HDR video coding activities. Unfortunately, the HDR video sequences provided in </w:t>
      </w:r>
      <w:r w:rsidR="007F7340">
        <w:fldChar w:fldCharType="begin"/>
      </w:r>
      <w:r w:rsidR="007F7340">
        <w:instrText xml:space="preserve"> REF _Ref345580413 \r \h </w:instrText>
      </w:r>
      <w:r w:rsidR="007F7340">
        <w:fldChar w:fldCharType="separate"/>
      </w:r>
      <w:r w:rsidR="0065611D">
        <w:t>[2]</w:t>
      </w:r>
      <w:r w:rsidR="007F7340">
        <w:fldChar w:fldCharType="end"/>
      </w:r>
      <w:r w:rsidR="007F7340">
        <w:t xml:space="preserve"> included content that used a proprietary format that was not previously supported by HDRTools. More specifically, </w:t>
      </w:r>
      <w:r w:rsidR="003F6DAE">
        <w:t>these sequences were provided in the</w:t>
      </w:r>
      <w:r w:rsidR="00DA23EB">
        <w:t xml:space="preserve"> </w:t>
      </w:r>
      <w:r w:rsidR="007F7340">
        <w:t xml:space="preserve">EXR </w:t>
      </w:r>
      <w:r w:rsidR="003F6DAE">
        <w:t xml:space="preserve">file format with </w:t>
      </w:r>
      <w:r w:rsidR="00DA23EB">
        <w:t xml:space="preserve">video samples encoded using the </w:t>
      </w:r>
      <w:r w:rsidR="003F6DAE">
        <w:t xml:space="preserve">normalized (range 0 to 1) </w:t>
      </w:r>
      <w:r w:rsidR="00DA23EB">
        <w:t>non-linear PQ transfer function</w:t>
      </w:r>
      <w:r w:rsidR="003F6DAE">
        <w:t>. Although these frames could be read using the HDRTools package, they were interpreted as linear video data and improperly converted or processed afterwards.</w:t>
      </w:r>
    </w:p>
    <w:p w14:paraId="531D9CEE" w14:textId="77777777" w:rsidR="00036098" w:rsidRDefault="003F6DAE" w:rsidP="00936A5B">
      <w:pPr>
        <w:jc w:val="both"/>
      </w:pPr>
      <w:r>
        <w:lastRenderedPageBreak/>
        <w:t>Given the importance of this new video material, support for this new format was added in the new version of HDRTools. A user can now set also for EXR video files both the input file video range (</w:t>
      </w:r>
      <w:r w:rsidR="00036098" w:rsidRPr="00036098">
        <w:t>SourceNormalizationScale</w:t>
      </w:r>
      <w:r w:rsidR="00036098">
        <w:t>) and the transfer function (</w:t>
      </w:r>
      <w:r w:rsidR="00036098" w:rsidRPr="00036098">
        <w:t>SourceTransferFunction</w:t>
      </w:r>
      <w:r w:rsidR="00036098">
        <w:t>), whereas these parameters were previously ignored. To avoid issues with old files, we have also introduced the parameter “</w:t>
      </w:r>
      <w:r w:rsidR="00036098" w:rsidRPr="00036098">
        <w:t>EnableLegacy</w:t>
      </w:r>
      <w:r w:rsidR="00036098">
        <w:t xml:space="preserve">” that permits files in previous version of HDRTools and the HDRConvert tool to operate without any changes. </w:t>
      </w:r>
    </w:p>
    <w:p w14:paraId="7AF3168A" w14:textId="7C31BE86" w:rsidR="00036098" w:rsidRDefault="00036098" w:rsidP="00036098">
      <w:pPr>
        <w:pStyle w:val="Heading2"/>
        <w:rPr>
          <w:lang w:val="en-CA"/>
        </w:rPr>
      </w:pPr>
      <w:r>
        <w:rPr>
          <w:lang w:val="en-CA"/>
        </w:rPr>
        <w:t>Video Rescaling</w:t>
      </w:r>
    </w:p>
    <w:p w14:paraId="1726995A" w14:textId="52CDC067" w:rsidR="00E1258E" w:rsidRDefault="00665AA1" w:rsidP="00036098">
      <w:pPr>
        <w:jc w:val="both"/>
      </w:pPr>
      <w:r>
        <w:t>Support of arbitrary rescaling has been extended in HDRTools with the addition of a generalized lanczos implementation. Currently rescaling is supported through the HDRConvScaler tool and is only performed on linear, floating point data. Future extensions will be added to allow support for this tool directly within HDRConvert, on also non-linear and fixed precision data, as well as by adding additional filters that might also be more appropriate for downconversions (e.g. bilinear, bicubic etc).  Currently the number of taps for the Lanczos filter used is hard-coded to 6, but that will also be extended in a next revision. From an implementation perspective, the software automatically computes the appropriate lanczos phase filters given the horizontal and vertical scaling ratio and assigns these filters to every filter</w:t>
      </w:r>
      <w:r w:rsidR="00E1258E">
        <w:t>ed</w:t>
      </w:r>
      <w:r>
        <w:t xml:space="preserve"> position. </w:t>
      </w:r>
      <w:r w:rsidR="00E1258E">
        <w:t xml:space="preserve">Each position is filtered on the fly, without the use of any intermediate buffers. Even though this adds a bit in terms of processing complexity, it reduces the memory requirements of the process. This method, i.e. separable filtering without the use of intermediate </w:t>
      </w:r>
      <w:r w:rsidR="00822AF6">
        <w:t>interpolation/</w:t>
      </w:r>
      <w:r w:rsidR="00E1258E">
        <w:t>buffering, is used by several other software and hardware systems be</w:t>
      </w:r>
      <w:r w:rsidR="00822AF6">
        <w:t xml:space="preserve">cause of its memory </w:t>
      </w:r>
      <w:r w:rsidR="007A316F">
        <w:t xml:space="preserve">and pipelining </w:t>
      </w:r>
      <w:r w:rsidR="00822AF6">
        <w:t>benefits. In future implementations</w:t>
      </w:r>
      <w:r w:rsidR="007A316F">
        <w:t xml:space="preserve"> we will also provide support for a filters that make use of a limited number of phases</w:t>
      </w:r>
      <w:r w:rsidR="00822AF6">
        <w:t xml:space="preserve">, </w:t>
      </w:r>
      <w:r w:rsidR="007A316F">
        <w:t>as is also commonly done in many implementations.</w:t>
      </w:r>
    </w:p>
    <w:p w14:paraId="51EC35BC" w14:textId="55D616F4" w:rsidR="007A316F" w:rsidRDefault="0027192F" w:rsidP="007A316F">
      <w:pPr>
        <w:pStyle w:val="Heading2"/>
        <w:rPr>
          <w:lang w:val="en-CA"/>
        </w:rPr>
      </w:pPr>
      <w:r>
        <w:rPr>
          <w:lang w:val="en-CA"/>
        </w:rPr>
        <w:t>Display Mapping – From HDR to displays of Limited Dynamic Range</w:t>
      </w:r>
    </w:p>
    <w:p w14:paraId="71018C4A" w14:textId="0A1E16A1" w:rsidR="00936A5B" w:rsidRDefault="0027192F" w:rsidP="00936A5B">
      <w:pPr>
        <w:jc w:val="both"/>
      </w:pPr>
      <w:r>
        <w:t>Given the emergence of HDR and WCG video content and applications, display mapping of HDR content on displays of limited dynamic range has recently become one of hottest topics in the video industry. Having the ability to display HDR/WCG content on any display</w:t>
      </w:r>
      <w:r w:rsidR="00A809EB">
        <w:t xml:space="preserve"> with and without metadata is highly desirable and advantageous for the deployment and adoption of such technologies.</w:t>
      </w:r>
    </w:p>
    <w:p w14:paraId="364181D2" w14:textId="37D307B8" w:rsidR="00A809EB" w:rsidRPr="004F2834" w:rsidRDefault="00A809EB" w:rsidP="00936A5B">
      <w:pPr>
        <w:jc w:val="both"/>
      </w:pPr>
      <w:r>
        <w:t xml:space="preserve">One such method was introduced in </w:t>
      </w:r>
      <w:r>
        <w:t xml:space="preserve">Report ITU-R BT.2390 </w:t>
      </w:r>
      <w:r>
        <w:fldChar w:fldCharType="begin"/>
      </w:r>
      <w:r>
        <w:instrText xml:space="preserve"> REF _Ref345598790 \r \h </w:instrText>
      </w:r>
      <w:r>
        <w:fldChar w:fldCharType="separate"/>
      </w:r>
      <w:r w:rsidR="0065611D">
        <w:t>[6]</w:t>
      </w:r>
      <w:r>
        <w:fldChar w:fldCharType="end"/>
      </w:r>
      <w:r>
        <w:t xml:space="preserve"> particularly targeting display referred HDR systems, such as systems based on the PQ transfer function (ITU-R BT.2100 </w:t>
      </w:r>
      <w:r>
        <w:fldChar w:fldCharType="begin"/>
      </w:r>
      <w:r>
        <w:instrText xml:space="preserve"> REF _Ref448325941 \r \h </w:instrText>
      </w:r>
      <w:r>
        <w:fldChar w:fldCharType="separate"/>
      </w:r>
      <w:r w:rsidR="0065611D">
        <w:t>[3]</w:t>
      </w:r>
      <w:r>
        <w:fldChar w:fldCharType="end"/>
      </w:r>
      <w:r>
        <w:t xml:space="preserve">). According to this technique, the characteristics of the display </w:t>
      </w:r>
      <w:r w:rsidR="00704079">
        <w:t>can be</w:t>
      </w:r>
      <w:r>
        <w:t xml:space="preserve"> accounted </w:t>
      </w:r>
      <w:r w:rsidR="00704079">
        <w:t xml:space="preserve">for </w:t>
      </w:r>
      <w:r>
        <w:t xml:space="preserve">to define a mapping function or process named the “electrical-electrical transfer function” or EETF. As described in ITU-R BT.2390, </w:t>
      </w:r>
      <w:r w:rsidRPr="00704079">
        <w:rPr>
          <w:i/>
        </w:rPr>
        <w:t>this function can provide a toe and knee to gracefully roll off the highlights and shadows, while providing a balance between preserving the artistic intent and maintaining details</w:t>
      </w:r>
      <w:r>
        <w:t>.</w:t>
      </w:r>
      <w:r w:rsidR="00704079">
        <w:t xml:space="preserve"> An example EETF process is then recommended in this document where the knee roll of is computed using a hermite spline.</w:t>
      </w:r>
      <w:r w:rsidR="004F2834">
        <w:t xml:space="preserve"> Two different options are suggested in that document, the first one using the IC</w:t>
      </w:r>
      <w:r w:rsidR="004F2834" w:rsidRPr="004F2834">
        <w:rPr>
          <w:vertAlign w:val="subscript"/>
        </w:rPr>
        <w:t>T</w:t>
      </w:r>
      <w:r w:rsidR="004F2834">
        <w:t>C</w:t>
      </w:r>
      <w:r w:rsidR="004F2834" w:rsidRPr="004F2834">
        <w:rPr>
          <w:vertAlign w:val="subscript"/>
        </w:rPr>
        <w:t>P</w:t>
      </w:r>
      <w:r w:rsidR="004F2834">
        <w:t xml:space="preserve"> color representation that is described in ITU-R BT.2100, whereas the second one used the Y’CbCr representation. It is suggested that the first method is superior than the former.</w:t>
      </w:r>
    </w:p>
    <w:p w14:paraId="5785E7B7" w14:textId="77777777" w:rsidR="00704079" w:rsidRDefault="00704079" w:rsidP="00936A5B">
      <w:pPr>
        <w:jc w:val="both"/>
      </w:pPr>
    </w:p>
    <w:p w14:paraId="01B7580F" w14:textId="0C4894EC" w:rsidR="00704079" w:rsidRPr="00704079" w:rsidRDefault="00704079" w:rsidP="00704079">
      <w:pPr>
        <w:pStyle w:val="Caption"/>
        <w:jc w:val="center"/>
        <w:rPr>
          <w:sz w:val="22"/>
          <w:szCs w:val="22"/>
        </w:rPr>
      </w:pPr>
      <w:r w:rsidRPr="00704079">
        <w:rPr>
          <w:sz w:val="22"/>
          <w:szCs w:val="22"/>
        </w:rPr>
        <w:t xml:space="preserve">Figure </w:t>
      </w:r>
      <w:r w:rsidRPr="00704079">
        <w:rPr>
          <w:sz w:val="22"/>
          <w:szCs w:val="22"/>
        </w:rPr>
        <w:fldChar w:fldCharType="begin"/>
      </w:r>
      <w:r w:rsidRPr="00704079">
        <w:rPr>
          <w:sz w:val="22"/>
          <w:szCs w:val="22"/>
        </w:rPr>
        <w:instrText xml:space="preserve"> STYLEREF 1 \s </w:instrText>
      </w:r>
      <w:r w:rsidRPr="00704079">
        <w:rPr>
          <w:sz w:val="22"/>
          <w:szCs w:val="22"/>
        </w:rPr>
        <w:fldChar w:fldCharType="separate"/>
      </w:r>
      <w:r w:rsidR="0065611D">
        <w:rPr>
          <w:noProof/>
          <w:sz w:val="22"/>
          <w:szCs w:val="22"/>
        </w:rPr>
        <w:t>2</w:t>
      </w:r>
      <w:r w:rsidRPr="00704079">
        <w:rPr>
          <w:sz w:val="22"/>
          <w:szCs w:val="22"/>
        </w:rPr>
        <w:fldChar w:fldCharType="end"/>
      </w:r>
      <w:r w:rsidRPr="00704079">
        <w:rPr>
          <w:sz w:val="22"/>
          <w:szCs w:val="22"/>
        </w:rPr>
        <w:noBreakHyphen/>
      </w:r>
      <w:r w:rsidRPr="00704079">
        <w:rPr>
          <w:sz w:val="22"/>
          <w:szCs w:val="22"/>
        </w:rPr>
        <w:fldChar w:fldCharType="begin"/>
      </w:r>
      <w:r w:rsidRPr="00704079">
        <w:rPr>
          <w:sz w:val="22"/>
          <w:szCs w:val="22"/>
        </w:rPr>
        <w:instrText xml:space="preserve"> SEQ Figure \* ARABIC \s 1 </w:instrText>
      </w:r>
      <w:r w:rsidRPr="00704079">
        <w:rPr>
          <w:sz w:val="22"/>
          <w:szCs w:val="22"/>
        </w:rPr>
        <w:fldChar w:fldCharType="separate"/>
      </w:r>
      <w:r w:rsidR="0065611D">
        <w:rPr>
          <w:noProof/>
          <w:sz w:val="22"/>
          <w:szCs w:val="22"/>
        </w:rPr>
        <w:t>1</w:t>
      </w:r>
      <w:r w:rsidRPr="00704079">
        <w:rPr>
          <w:sz w:val="22"/>
          <w:szCs w:val="22"/>
        </w:rPr>
        <w:fldChar w:fldCharType="end"/>
      </w:r>
      <w:r w:rsidRPr="00704079">
        <w:rPr>
          <w:sz w:val="22"/>
          <w:szCs w:val="22"/>
        </w:rPr>
        <w:t>. Block Diagram of signal chain showing location of EETF application</w:t>
      </w:r>
    </w:p>
    <w:p w14:paraId="50D16F98" w14:textId="67298DC3" w:rsidR="00704079" w:rsidRDefault="00704079" w:rsidP="00936A5B">
      <w:pPr>
        <w:jc w:val="both"/>
      </w:pPr>
      <w:r>
        <w:rPr>
          <w:noProof/>
        </w:rPr>
        <w:drawing>
          <wp:inline distT="0" distB="0" distL="0" distR="0" wp14:anchorId="1AF14406" wp14:editId="4C80BBF4">
            <wp:extent cx="5943600" cy="499289"/>
            <wp:effectExtent l="0" t="0" r="0" b="889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99289"/>
                    </a:xfrm>
                    <a:prstGeom prst="rect">
                      <a:avLst/>
                    </a:prstGeom>
                    <a:noFill/>
                    <a:ln>
                      <a:noFill/>
                    </a:ln>
                  </pic:spPr>
                </pic:pic>
              </a:graphicData>
            </a:graphic>
          </wp:inline>
        </w:drawing>
      </w:r>
    </w:p>
    <w:p w14:paraId="0A4C16CC" w14:textId="12FA98D2" w:rsidR="0065611D" w:rsidRDefault="004F2834" w:rsidP="00936A5B">
      <w:pPr>
        <w:jc w:val="both"/>
        <w:rPr>
          <w:lang w:val="en-CA"/>
        </w:rPr>
      </w:pPr>
      <w:r>
        <w:rPr>
          <w:lang w:val="en-CA"/>
        </w:rPr>
        <w:t xml:space="preserve">Inspired by the hermite spline method of ITU-R BT.2390 we introduced 3 new display-mapping modes in HDRTools that utilize the same approach. The first mode performs this method in the IPT </w:t>
      </w:r>
      <w:r w:rsidR="0011003D">
        <w:rPr>
          <w:lang w:val="en-CA"/>
        </w:rPr>
        <w:t xml:space="preserve">color representation </w:t>
      </w:r>
      <w:r>
        <w:rPr>
          <w:lang w:val="en-CA"/>
        </w:rPr>
        <w:t>domain th</w:t>
      </w:r>
      <w:r w:rsidR="0011003D">
        <w:rPr>
          <w:lang w:val="en-CA"/>
        </w:rPr>
        <w:t xml:space="preserve">at was presented in </w:t>
      </w:r>
      <w:r w:rsidR="0011003D">
        <w:rPr>
          <w:lang w:val="en-CA"/>
        </w:rPr>
        <w:fldChar w:fldCharType="begin"/>
      </w:r>
      <w:r w:rsidR="0011003D">
        <w:rPr>
          <w:lang w:val="en-CA"/>
        </w:rPr>
        <w:instrText xml:space="preserve"> REF _Ref345600620 \r \h </w:instrText>
      </w:r>
      <w:r w:rsidR="0011003D">
        <w:rPr>
          <w:lang w:val="en-CA"/>
        </w:rPr>
      </w:r>
      <w:r w:rsidR="0011003D">
        <w:rPr>
          <w:lang w:val="en-CA"/>
        </w:rPr>
        <w:fldChar w:fldCharType="separate"/>
      </w:r>
      <w:r w:rsidR="0065611D">
        <w:rPr>
          <w:lang w:val="en-CA"/>
        </w:rPr>
        <w:t>[3]</w:t>
      </w:r>
      <w:r w:rsidR="0011003D">
        <w:rPr>
          <w:lang w:val="en-CA"/>
        </w:rPr>
        <w:fldChar w:fldCharType="end"/>
      </w:r>
      <w:r w:rsidR="0011003D">
        <w:rPr>
          <w:lang w:val="en-CA"/>
        </w:rPr>
        <w:fldChar w:fldCharType="begin"/>
      </w:r>
      <w:r w:rsidR="0011003D">
        <w:rPr>
          <w:lang w:val="en-CA"/>
        </w:rPr>
        <w:instrText xml:space="preserve"> REF _Ref345600621 \r \h </w:instrText>
      </w:r>
      <w:r w:rsidR="0011003D">
        <w:rPr>
          <w:lang w:val="en-CA"/>
        </w:rPr>
      </w:r>
      <w:r w:rsidR="0011003D">
        <w:rPr>
          <w:lang w:val="en-CA"/>
        </w:rPr>
        <w:fldChar w:fldCharType="separate"/>
      </w:r>
      <w:r w:rsidR="0065611D">
        <w:rPr>
          <w:lang w:val="en-CA"/>
        </w:rPr>
        <w:t>[4]</w:t>
      </w:r>
      <w:r w:rsidR="0011003D">
        <w:rPr>
          <w:lang w:val="en-CA"/>
        </w:rPr>
        <w:fldChar w:fldCharType="end"/>
      </w:r>
      <w:r w:rsidR="0011003D">
        <w:rPr>
          <w:lang w:val="en-CA"/>
        </w:rPr>
        <w:t xml:space="preserve">, whereas the second and third mode utilize the xvY’ and Y’u’v’ domains (Constant Luminance representations) respectively. The IPT color representation is very similar to the ICtCp and we do not expect a significant difference between the two. We, however, preferred the use of the IPT color representation since this is already well defined compared to the XYZ CIE 1931 representation </w:t>
      </w:r>
      <w:r w:rsidR="0065611D">
        <w:rPr>
          <w:lang w:val="en-CA"/>
        </w:rPr>
        <w:t xml:space="preserve">instead of BT.2020. </w:t>
      </w:r>
      <w:r w:rsidR="0011003D">
        <w:rPr>
          <w:lang w:val="en-CA"/>
        </w:rPr>
        <w:t xml:space="preserve">For all these modes, the PQ transfer function was used </w:t>
      </w:r>
      <w:r w:rsidR="0011003D">
        <w:rPr>
          <w:lang w:val="en-CA"/>
        </w:rPr>
        <w:lastRenderedPageBreak/>
        <w:t xml:space="preserve">instead of a power law gamma transfer function. </w:t>
      </w:r>
      <w:r>
        <w:rPr>
          <w:lang w:val="en-CA"/>
        </w:rPr>
        <w:t xml:space="preserve">These modes can be easily selected in the software by setting the parameter </w:t>
      </w:r>
      <w:r w:rsidRPr="004F2834">
        <w:rPr>
          <w:lang w:val="en-CA"/>
        </w:rPr>
        <w:t>ToneMappingMode</w:t>
      </w:r>
      <w:r w:rsidR="0011003D">
        <w:rPr>
          <w:lang w:val="en-CA"/>
        </w:rPr>
        <w:t xml:space="preserve"> in the HDRConvert tool.</w:t>
      </w:r>
      <w:r w:rsidR="0065611D">
        <w:rPr>
          <w:lang w:val="en-CA"/>
        </w:rPr>
        <w:t xml:space="preserve"> </w:t>
      </w:r>
    </w:p>
    <w:p w14:paraId="32C572E7" w14:textId="502E0080" w:rsidR="0065611D" w:rsidRDefault="0065611D" w:rsidP="00936A5B">
      <w:pPr>
        <w:jc w:val="both"/>
        <w:rPr>
          <w:lang w:val="en-CA"/>
        </w:rPr>
      </w:pPr>
      <w:r>
        <w:rPr>
          <w:lang w:val="en-CA"/>
        </w:rPr>
        <w:t xml:space="preserve">Although for the IPT case we have used the method described in </w:t>
      </w:r>
      <w:r>
        <w:fldChar w:fldCharType="begin"/>
      </w:r>
      <w:r>
        <w:instrText xml:space="preserve"> REF _Ref345598790 \r \h </w:instrText>
      </w:r>
      <w:r>
        <w:fldChar w:fldCharType="separate"/>
      </w:r>
      <w:r>
        <w:t>[6]</w:t>
      </w:r>
      <w:r>
        <w:fldChar w:fldCharType="end"/>
      </w:r>
      <w:r>
        <w:t xml:space="preserve"> for adjusting also the color information, for the other two colour representations no colour adjustments were performed in this implementation. So it is quite possible that in some scenarios color saturation may be observed. </w:t>
      </w:r>
      <w:r w:rsidR="008F3423">
        <w:t xml:space="preserve"> Currently our recommendation is to use the IPT method instead of the other two.</w:t>
      </w:r>
    </w:p>
    <w:p w14:paraId="20362DBF" w14:textId="0A12C7FD" w:rsidR="00BB5C65" w:rsidRDefault="00D52077" w:rsidP="00BB5C65">
      <w:pPr>
        <w:pStyle w:val="Heading1"/>
        <w:rPr>
          <w:lang w:val="en-CA"/>
        </w:rPr>
      </w:pPr>
      <w:r>
        <w:rPr>
          <w:lang w:val="en-CA"/>
        </w:rPr>
        <w:t>Gamut Analysis</w:t>
      </w:r>
    </w:p>
    <w:p w14:paraId="63F32A51" w14:textId="460128BF" w:rsidR="00D07735" w:rsidRDefault="00D52077" w:rsidP="00A145D7">
      <w:pPr>
        <w:tabs>
          <w:tab w:val="clear" w:pos="360"/>
          <w:tab w:val="clear" w:pos="720"/>
          <w:tab w:val="clear" w:pos="1080"/>
          <w:tab w:val="clear" w:pos="1440"/>
        </w:tabs>
        <w:rPr>
          <w:lang w:val="en-CA"/>
        </w:rPr>
      </w:pPr>
      <w:r>
        <w:rPr>
          <w:lang w:val="en-CA"/>
        </w:rPr>
        <w:t xml:space="preserve">A new tool was also included in HDRTools, named GamutTest, which can report statistics relating to the Gamut of an input video sequence. More information about this tool can be found in </w:t>
      </w:r>
      <w:r>
        <w:rPr>
          <w:lang w:val="en-CA"/>
        </w:rPr>
        <w:fldChar w:fldCharType="begin"/>
      </w:r>
      <w:r>
        <w:rPr>
          <w:lang w:val="en-CA"/>
        </w:rPr>
        <w:instrText xml:space="preserve"> REF _Ref345606855 \r \h </w:instrText>
      </w:r>
      <w:r>
        <w:rPr>
          <w:lang w:val="en-CA"/>
        </w:rPr>
      </w:r>
      <w:r>
        <w:rPr>
          <w:lang w:val="en-CA"/>
        </w:rPr>
        <w:fldChar w:fldCharType="separate"/>
      </w:r>
      <w:r>
        <w:rPr>
          <w:lang w:val="en-CA"/>
        </w:rPr>
        <w:t>[7]</w:t>
      </w:r>
      <w:r>
        <w:rPr>
          <w:lang w:val="en-CA"/>
        </w:rPr>
        <w:fldChar w:fldCharType="end"/>
      </w:r>
      <w:r>
        <w:rPr>
          <w:lang w:val="en-CA"/>
        </w:rPr>
        <w:t xml:space="preserve">. </w:t>
      </w:r>
    </w:p>
    <w:p w14:paraId="17CDE2DA" w14:textId="57D98784" w:rsidR="00B2274C" w:rsidRDefault="00B2274C" w:rsidP="00B2274C">
      <w:pPr>
        <w:pStyle w:val="Heading1"/>
        <w:rPr>
          <w:lang w:val="en-CA"/>
        </w:rPr>
      </w:pPr>
      <w:r>
        <w:rPr>
          <w:lang w:val="en-CA"/>
        </w:rPr>
        <w:t>Other improvements/features</w:t>
      </w:r>
    </w:p>
    <w:p w14:paraId="45B9F5AD" w14:textId="1D761ED4" w:rsidR="00B2274C" w:rsidRDefault="00B2274C" w:rsidP="00B2274C">
      <w:pPr>
        <w:tabs>
          <w:tab w:val="clear" w:pos="360"/>
          <w:tab w:val="clear" w:pos="720"/>
          <w:tab w:val="clear" w:pos="1080"/>
          <w:tab w:val="clear" w:pos="1440"/>
        </w:tabs>
        <w:rPr>
          <w:lang w:val="en-CA"/>
        </w:rPr>
      </w:pPr>
      <w:r>
        <w:rPr>
          <w:lang w:val="en-CA"/>
        </w:rPr>
        <w:t xml:space="preserve">Several other smaller improvements </w:t>
      </w:r>
      <w:r w:rsidR="0030185E">
        <w:rPr>
          <w:lang w:val="en-CA"/>
        </w:rPr>
        <w:t xml:space="preserve">or bug fixes </w:t>
      </w:r>
      <w:r>
        <w:rPr>
          <w:lang w:val="en-CA"/>
        </w:rPr>
        <w:t xml:space="preserve">were </w:t>
      </w:r>
      <w:r w:rsidR="0030185E">
        <w:rPr>
          <w:lang w:val="en-CA"/>
        </w:rPr>
        <w:t xml:space="preserve">introduced into the software. In particular, it was requested (Canon) that HDRMontage is able to support only a single input sequence, allowing simple manipulations to be performed, such as cropping, on video content without conversions. We have also corrected bugs in the xPSNR and regionwise PSNR computations, issues with RGB raw inputs and outputs, as well as some issues with certain transfer functions (e.g. support of different black point and peak brightness in BT.1886) among others. </w:t>
      </w:r>
    </w:p>
    <w:p w14:paraId="5D618634" w14:textId="216C1284" w:rsidR="00D14180" w:rsidRDefault="00D14180" w:rsidP="00D14180">
      <w:pPr>
        <w:pStyle w:val="Heading1"/>
      </w:pPr>
      <w:r>
        <w:t>Conclusion</w:t>
      </w:r>
    </w:p>
    <w:p w14:paraId="016660BF" w14:textId="7EBA390A" w:rsidR="00D14180" w:rsidRPr="0030185E" w:rsidRDefault="0030185E" w:rsidP="00F7502B">
      <w:pPr>
        <w:jc w:val="both"/>
        <w:rPr>
          <w:szCs w:val="22"/>
        </w:rPr>
      </w:pPr>
      <w:r w:rsidRPr="0030185E">
        <w:rPr>
          <w:szCs w:val="22"/>
        </w:rPr>
        <w:t xml:space="preserve">Several </w:t>
      </w:r>
      <w:r>
        <w:rPr>
          <w:szCs w:val="22"/>
        </w:rPr>
        <w:t>new enhancements were made to the HDRTools software that will be released during the upcoming MPEG meeting. Enhancements include generalized scaling, display mapping, and gamut analysis tools among others.</w:t>
      </w:r>
      <w:bookmarkStart w:id="0" w:name="_GoBack"/>
      <w:bookmarkEnd w:id="0"/>
      <w:r>
        <w:rPr>
          <w:szCs w:val="22"/>
        </w:rPr>
        <w:t xml:space="preserve">  </w:t>
      </w:r>
    </w:p>
    <w:p w14:paraId="4F9A296C" w14:textId="77777777" w:rsidR="008C3E85" w:rsidRDefault="008C3E85" w:rsidP="00E11923">
      <w:pPr>
        <w:pStyle w:val="Heading1"/>
        <w:rPr>
          <w:lang w:val="en-CA"/>
        </w:rPr>
      </w:pPr>
      <w:r>
        <w:rPr>
          <w:lang w:val="en-CA"/>
        </w:rPr>
        <w:t>References</w:t>
      </w:r>
    </w:p>
    <w:p w14:paraId="5F5723CA" w14:textId="25E3290B" w:rsidR="00E330C6" w:rsidRPr="0030185E" w:rsidRDefault="00E330C6" w:rsidP="00E330C6">
      <w:pPr>
        <w:pStyle w:val="Reftext"/>
        <w:numPr>
          <w:ilvl w:val="0"/>
          <w:numId w:val="13"/>
        </w:numPr>
        <w:tabs>
          <w:tab w:val="left" w:pos="720"/>
        </w:tabs>
        <w:rPr>
          <w:rStyle w:val="Hyperlink"/>
          <w:color w:val="auto"/>
          <w:sz w:val="22"/>
          <w:szCs w:val="22"/>
          <w:u w:val="none"/>
        </w:rPr>
      </w:pPr>
      <w:bookmarkStart w:id="1" w:name="_Ref451524751"/>
      <w:r w:rsidRPr="0030185E">
        <w:rPr>
          <w:sz w:val="22"/>
          <w:szCs w:val="22"/>
        </w:rPr>
        <w:t xml:space="preserve">HDRTools Master branch: </w:t>
      </w:r>
      <w:r w:rsidR="002969DC" w:rsidRPr="0030185E">
        <w:rPr>
          <w:sz w:val="22"/>
          <w:szCs w:val="22"/>
        </w:rPr>
        <w:fldChar w:fldCharType="begin"/>
      </w:r>
      <w:r w:rsidR="002969DC" w:rsidRPr="0030185E">
        <w:rPr>
          <w:sz w:val="22"/>
          <w:szCs w:val="22"/>
        </w:rPr>
        <w:instrText xml:space="preserve"> HYPERLINK "https://gitlab.com/standards/HDRTools/" \t "_blank" </w:instrText>
      </w:r>
      <w:r w:rsidR="0065611D" w:rsidRPr="0030185E">
        <w:rPr>
          <w:sz w:val="22"/>
          <w:szCs w:val="22"/>
        </w:rPr>
      </w:r>
      <w:r w:rsidR="002969DC" w:rsidRPr="0030185E">
        <w:rPr>
          <w:sz w:val="22"/>
          <w:szCs w:val="22"/>
        </w:rPr>
        <w:fldChar w:fldCharType="separate"/>
      </w:r>
      <w:r w:rsidRPr="0030185E">
        <w:rPr>
          <w:rStyle w:val="Hyperlink"/>
          <w:sz w:val="22"/>
          <w:szCs w:val="22"/>
        </w:rPr>
        <w:t>https://gitlab.com/standards/HDRTools/</w:t>
      </w:r>
      <w:r w:rsidR="002969DC" w:rsidRPr="0030185E">
        <w:rPr>
          <w:rStyle w:val="Hyperlink"/>
          <w:sz w:val="22"/>
          <w:szCs w:val="22"/>
        </w:rPr>
        <w:fldChar w:fldCharType="end"/>
      </w:r>
      <w:bookmarkEnd w:id="1"/>
    </w:p>
    <w:p w14:paraId="383E2A58" w14:textId="31CBED69" w:rsidR="002969DC" w:rsidRPr="0030185E" w:rsidRDefault="002969DC" w:rsidP="00936A5B">
      <w:pPr>
        <w:pStyle w:val="Reftext"/>
        <w:numPr>
          <w:ilvl w:val="0"/>
          <w:numId w:val="13"/>
        </w:numPr>
        <w:tabs>
          <w:tab w:val="left" w:pos="720"/>
        </w:tabs>
        <w:rPr>
          <w:sz w:val="22"/>
          <w:szCs w:val="22"/>
          <w:lang w:val="en-US"/>
        </w:rPr>
      </w:pPr>
      <w:bookmarkStart w:id="2" w:name="_Ref451526446"/>
      <w:bookmarkStart w:id="3" w:name="_Ref305687364"/>
      <w:bookmarkStart w:id="4" w:name="_Ref345580413"/>
      <w:r w:rsidRPr="0030185E">
        <w:rPr>
          <w:sz w:val="22"/>
          <w:szCs w:val="22"/>
          <w:lang w:val="en-US"/>
        </w:rPr>
        <w:t>A. Norkin and A. Aaron, “Netflix HDR and SDR test sequences (AHG4 and AHG7 related),” MPEG contribution, m39087, October 2016, Chengdu, China</w:t>
      </w:r>
      <w:bookmarkEnd w:id="4"/>
    </w:p>
    <w:p w14:paraId="4CF8FD82" w14:textId="2EB1BFA8" w:rsidR="004F2834" w:rsidRPr="0030185E" w:rsidRDefault="004F2834" w:rsidP="004F2834">
      <w:pPr>
        <w:pStyle w:val="Reftext"/>
        <w:numPr>
          <w:ilvl w:val="0"/>
          <w:numId w:val="13"/>
        </w:numPr>
        <w:rPr>
          <w:sz w:val="22"/>
          <w:szCs w:val="22"/>
        </w:rPr>
      </w:pPr>
      <w:bookmarkStart w:id="5" w:name="_Ref448325941"/>
      <w:bookmarkStart w:id="6" w:name="_Ref334977253"/>
      <w:bookmarkStart w:id="7" w:name="_Ref345600620"/>
      <w:bookmarkEnd w:id="2"/>
      <w:bookmarkEnd w:id="3"/>
      <w:r w:rsidRPr="0030185E">
        <w:rPr>
          <w:sz w:val="22"/>
          <w:szCs w:val="22"/>
        </w:rPr>
        <w:t>Xue, Yang, "Uniform color spaces based on CIECAM02 and IPT color difference equations" (2008). Thesis. Rochester Institute of Technology</w:t>
      </w:r>
      <w:bookmarkEnd w:id="7"/>
    </w:p>
    <w:p w14:paraId="0A104EF5" w14:textId="76CB105F" w:rsidR="004F2834" w:rsidRPr="0030185E" w:rsidRDefault="0011003D" w:rsidP="0011003D">
      <w:pPr>
        <w:pStyle w:val="Reftext"/>
        <w:numPr>
          <w:ilvl w:val="0"/>
          <w:numId w:val="13"/>
        </w:numPr>
        <w:rPr>
          <w:sz w:val="22"/>
          <w:szCs w:val="22"/>
          <w:lang w:val="en-US"/>
        </w:rPr>
      </w:pPr>
      <w:bookmarkStart w:id="8" w:name="_Ref345600621"/>
      <w:r w:rsidRPr="0030185E">
        <w:rPr>
          <w:sz w:val="22"/>
          <w:szCs w:val="22"/>
          <w:lang w:val="en-US"/>
        </w:rPr>
        <w:t>Ebner; Fairchild (1998), </w:t>
      </w:r>
      <w:r w:rsidRPr="0030185E">
        <w:rPr>
          <w:i/>
          <w:iCs/>
          <w:sz w:val="22"/>
          <w:szCs w:val="22"/>
          <w:lang w:val="en-US"/>
        </w:rPr>
        <w:t>Development and Testing of a Color Space with Improved Hue Uniformity</w:t>
      </w:r>
      <w:r w:rsidRPr="0030185E">
        <w:rPr>
          <w:sz w:val="22"/>
          <w:szCs w:val="22"/>
          <w:lang w:val="en-US"/>
        </w:rPr>
        <w:t>, Proc. IS&amp;T 6th Color Imaging Conference, Scottsdale, AZ, pp. 8–13.</w:t>
      </w:r>
      <w:bookmarkEnd w:id="8"/>
    </w:p>
    <w:p w14:paraId="603845DB" w14:textId="05F4593E" w:rsidR="00627DC4" w:rsidRPr="0030185E" w:rsidRDefault="00627DC4" w:rsidP="004F2834">
      <w:pPr>
        <w:pStyle w:val="Reftext"/>
        <w:numPr>
          <w:ilvl w:val="0"/>
          <w:numId w:val="13"/>
        </w:numPr>
        <w:tabs>
          <w:tab w:val="left" w:pos="720"/>
        </w:tabs>
        <w:rPr>
          <w:sz w:val="22"/>
          <w:szCs w:val="22"/>
          <w:lang w:val="en-CA"/>
        </w:rPr>
      </w:pPr>
      <w:r w:rsidRPr="0030185E">
        <w:rPr>
          <w:sz w:val="22"/>
          <w:szCs w:val="22"/>
          <w:lang w:val="en-CA"/>
        </w:rPr>
        <w:t xml:space="preserve">Recommendation ITU-R BT.2100 (2016), </w:t>
      </w:r>
      <w:r w:rsidRPr="0030185E">
        <w:rPr>
          <w:i/>
          <w:sz w:val="22"/>
          <w:szCs w:val="22"/>
          <w:lang w:val="en-CA"/>
        </w:rPr>
        <w:t>Image parameter values for high dynamic range television for use in production and international programme exchange.</w:t>
      </w:r>
      <w:bookmarkEnd w:id="5"/>
      <w:bookmarkEnd w:id="6"/>
    </w:p>
    <w:p w14:paraId="2225A374" w14:textId="69F9AB59" w:rsidR="001065E0" w:rsidRPr="0030185E" w:rsidRDefault="007C733F" w:rsidP="00627DC4">
      <w:pPr>
        <w:pStyle w:val="Reftext"/>
        <w:numPr>
          <w:ilvl w:val="0"/>
          <w:numId w:val="13"/>
        </w:numPr>
        <w:tabs>
          <w:tab w:val="left" w:pos="720"/>
        </w:tabs>
        <w:rPr>
          <w:sz w:val="22"/>
          <w:szCs w:val="22"/>
          <w:lang w:val="en-CA"/>
        </w:rPr>
      </w:pPr>
      <w:bookmarkStart w:id="9" w:name="_Ref345598790"/>
      <w:r w:rsidRPr="0030185E">
        <w:rPr>
          <w:sz w:val="22"/>
          <w:szCs w:val="22"/>
          <w:lang w:val="en-CA"/>
        </w:rPr>
        <w:t xml:space="preserve">Report ITU-R BT.2390-0, </w:t>
      </w:r>
      <w:r w:rsidRPr="0030185E">
        <w:rPr>
          <w:bCs/>
          <w:i/>
          <w:iCs/>
          <w:sz w:val="22"/>
          <w:szCs w:val="22"/>
          <w:lang w:val="en-US"/>
        </w:rPr>
        <w:t>High dynamic range television for production and international programme exchange.</w:t>
      </w:r>
      <w:bookmarkEnd w:id="9"/>
    </w:p>
    <w:p w14:paraId="4C70AACF" w14:textId="701D7B50" w:rsidR="00D52077" w:rsidRPr="0030185E" w:rsidRDefault="00D52077" w:rsidP="0030185E">
      <w:pPr>
        <w:pStyle w:val="Reftext"/>
        <w:numPr>
          <w:ilvl w:val="0"/>
          <w:numId w:val="13"/>
        </w:numPr>
        <w:tabs>
          <w:tab w:val="left" w:pos="720"/>
        </w:tabs>
        <w:rPr>
          <w:sz w:val="22"/>
          <w:szCs w:val="22"/>
          <w:lang w:val="en-US"/>
        </w:rPr>
      </w:pPr>
      <w:bookmarkStart w:id="10" w:name="_Ref345606855"/>
      <w:r w:rsidRPr="0030185E">
        <w:rPr>
          <w:sz w:val="22"/>
          <w:szCs w:val="22"/>
          <w:lang w:val="en-US"/>
        </w:rPr>
        <w:t>A.M. Tourapis, M. Meyer, and D. Singer, “A new tool for Color Gamut Analysis of MPEG video content,” JCTVC contribution, JCTVC-Z0040, January 2017, Geneva, Switzerland</w:t>
      </w:r>
      <w:bookmarkEnd w:id="10"/>
    </w:p>
    <w:p w14:paraId="310C2093" w14:textId="77777777" w:rsidR="001F2594" w:rsidRPr="005B217D" w:rsidRDefault="008C3E85" w:rsidP="00E11923">
      <w:pPr>
        <w:pStyle w:val="Heading1"/>
        <w:rPr>
          <w:lang w:val="en-CA"/>
        </w:rPr>
      </w:pPr>
      <w:r>
        <w:rPr>
          <w:lang w:val="en-CA"/>
        </w:rPr>
        <w:t>P</w:t>
      </w:r>
      <w:r w:rsidR="001F2594" w:rsidRPr="005B217D">
        <w:rPr>
          <w:lang w:val="en-CA"/>
        </w:rPr>
        <w:t>atent rights declaration</w:t>
      </w:r>
      <w:r w:rsidR="00B94B06" w:rsidRPr="005B217D">
        <w:rPr>
          <w:lang w:val="en-CA"/>
        </w:rPr>
        <w:t>(s)</w:t>
      </w:r>
    </w:p>
    <w:p w14:paraId="394A7D45" w14:textId="39BF7AE7" w:rsidR="00342FF4" w:rsidRPr="0065028F" w:rsidRDefault="00CE32D9" w:rsidP="009234A5">
      <w:pPr>
        <w:jc w:val="both"/>
        <w:rPr>
          <w:sz w:val="20"/>
          <w:szCs w:val="22"/>
          <w:lang w:val="en-CA"/>
        </w:rPr>
      </w:pPr>
      <w:r>
        <w:rPr>
          <w:b/>
          <w:sz w:val="20"/>
          <w:szCs w:val="22"/>
          <w:lang w:val="en-CA"/>
        </w:rPr>
        <w:t>Apple Inc</w:t>
      </w:r>
      <w:r w:rsidR="001F2594" w:rsidRPr="0065028F">
        <w:rPr>
          <w:b/>
          <w:sz w:val="20"/>
          <w:szCs w:val="22"/>
          <w:lang w:val="en-CA"/>
        </w:rPr>
        <w:t xml:space="preserve"> may have </w:t>
      </w:r>
      <w:r w:rsidR="0098551D" w:rsidRPr="0065028F">
        <w:rPr>
          <w:b/>
          <w:sz w:val="20"/>
          <w:szCs w:val="22"/>
          <w:lang w:val="en-CA"/>
        </w:rPr>
        <w:t>current or pending</w:t>
      </w:r>
      <w:r w:rsidR="001F2594" w:rsidRPr="0065028F">
        <w:rPr>
          <w:b/>
          <w:sz w:val="20"/>
          <w:szCs w:val="22"/>
          <w:lang w:val="en-CA"/>
        </w:rPr>
        <w:t xml:space="preserve"> </w:t>
      </w:r>
      <w:r w:rsidR="0098551D" w:rsidRPr="0065028F">
        <w:rPr>
          <w:b/>
          <w:sz w:val="20"/>
          <w:szCs w:val="22"/>
          <w:lang w:val="en-CA"/>
        </w:rPr>
        <w:t xml:space="preserve">patent rights </w:t>
      </w:r>
      <w:r w:rsidR="001F2594" w:rsidRPr="0065028F">
        <w:rPr>
          <w:b/>
          <w:sz w:val="20"/>
          <w:szCs w:val="22"/>
          <w:lang w:val="en-CA"/>
        </w:rPr>
        <w:t xml:space="preserve">relating to the technology described </w:t>
      </w:r>
      <w:r w:rsidR="002F164D" w:rsidRPr="0065028F">
        <w:rPr>
          <w:b/>
          <w:sz w:val="20"/>
          <w:szCs w:val="22"/>
          <w:lang w:val="en-CA"/>
        </w:rPr>
        <w:t xml:space="preserve">in </w:t>
      </w:r>
      <w:r w:rsidR="001F2594" w:rsidRPr="0065028F">
        <w:rPr>
          <w:b/>
          <w:sz w:val="20"/>
          <w:szCs w:val="22"/>
          <w:lang w:val="en-CA"/>
        </w:rPr>
        <w:t>this contribution and, conditioned on reciprocity, is prepared to grant licenses under reasonable and non-discriminatory terms as necessary for implementation of the resulting ITU-T Recommendation</w:t>
      </w:r>
      <w:r w:rsidR="002F164D" w:rsidRPr="0065028F">
        <w:rPr>
          <w:b/>
          <w:sz w:val="20"/>
          <w:szCs w:val="22"/>
          <w:lang w:val="en-CA"/>
        </w:rPr>
        <w:t xml:space="preserve"> | ISO/IEC </w:t>
      </w:r>
      <w:r w:rsidR="00A83253" w:rsidRPr="0065028F">
        <w:rPr>
          <w:b/>
          <w:sz w:val="20"/>
          <w:szCs w:val="22"/>
          <w:lang w:val="en-CA"/>
        </w:rPr>
        <w:t xml:space="preserve">International </w:t>
      </w:r>
      <w:r w:rsidR="002F164D" w:rsidRPr="0065028F">
        <w:rPr>
          <w:b/>
          <w:sz w:val="20"/>
          <w:szCs w:val="22"/>
          <w:lang w:val="en-CA"/>
        </w:rPr>
        <w:t>Standard</w:t>
      </w:r>
      <w:r w:rsidR="001F2594" w:rsidRPr="0065028F">
        <w:rPr>
          <w:b/>
          <w:sz w:val="20"/>
          <w:szCs w:val="22"/>
          <w:lang w:val="en-CA"/>
        </w:rPr>
        <w:t xml:space="preserve"> (per box 2 of the ITU-T/ITU-R/ISO/IEC patent statement and licensing declaration form).</w:t>
      </w:r>
    </w:p>
    <w:p w14:paraId="79B4A00C" w14:textId="77777777" w:rsidR="007F1F8B" w:rsidRPr="005B217D" w:rsidRDefault="007F1F8B" w:rsidP="009234A5">
      <w:pPr>
        <w:jc w:val="both"/>
        <w:rPr>
          <w:szCs w:val="22"/>
          <w:lang w:val="en-CA"/>
        </w:rPr>
      </w:pPr>
    </w:p>
    <w:sectPr w:rsidR="007F1F8B" w:rsidRPr="005B217D" w:rsidSect="00F7502B">
      <w:headerReference w:type="even" r:id="rId12"/>
      <w:headerReference w:type="default" r:id="rId13"/>
      <w:footerReference w:type="even" r:id="rId14"/>
      <w:footerReference w:type="default" r:id="rId15"/>
      <w:headerReference w:type="first" r:id="rId16"/>
      <w:footerReference w:type="first" r:id="rId17"/>
      <w:pgSz w:w="12240" w:h="15840" w:code="1"/>
      <w:pgMar w:top="864" w:right="1440" w:bottom="864" w:left="1440"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8F004" w14:textId="77777777" w:rsidR="00B2274C" w:rsidRDefault="00B2274C">
      <w:r>
        <w:separator/>
      </w:r>
    </w:p>
  </w:endnote>
  <w:endnote w:type="continuationSeparator" w:id="0">
    <w:p w14:paraId="4E7B45DC" w14:textId="77777777" w:rsidR="00B2274C" w:rsidRDefault="00B22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AAE42" w14:textId="77777777" w:rsidR="00B2274C" w:rsidRDefault="00B2274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C4875" w14:textId="77777777" w:rsidR="00B2274C" w:rsidRDefault="00B2274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0185E">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2017-01-06</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5C933" w14:textId="77777777" w:rsidR="00B2274C" w:rsidRDefault="00B2274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11AAD" w14:textId="77777777" w:rsidR="00B2274C" w:rsidRDefault="00B2274C">
      <w:r>
        <w:separator/>
      </w:r>
    </w:p>
  </w:footnote>
  <w:footnote w:type="continuationSeparator" w:id="0">
    <w:p w14:paraId="4B093586" w14:textId="77777777" w:rsidR="00B2274C" w:rsidRDefault="00B227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773AC" w14:textId="77777777" w:rsidR="00B2274C" w:rsidRDefault="00B2274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0A7D7" w14:textId="77777777" w:rsidR="00B2274C" w:rsidRDefault="00B2274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FBBF5" w14:textId="77777777" w:rsidR="00B2274C" w:rsidRDefault="00B227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625B89"/>
    <w:multiLevelType w:val="hybridMultilevel"/>
    <w:tmpl w:val="AABA4BA8"/>
    <w:lvl w:ilvl="0" w:tplc="1E6C9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777CE3"/>
    <w:multiLevelType w:val="hybridMultilevel"/>
    <w:tmpl w:val="BCFA6452"/>
    <w:lvl w:ilvl="0" w:tplc="445AAB1A">
      <w:start w:val="1"/>
      <w:numFmt w:val="decimal"/>
      <w:lvlText w:val="[%1]"/>
      <w:lvlJc w:val="left"/>
      <w:pPr>
        <w:ind w:left="720"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275C0D"/>
    <w:multiLevelType w:val="singleLevel"/>
    <w:tmpl w:val="DEF049D8"/>
    <w:lvl w:ilvl="0">
      <w:start w:val="1"/>
      <w:numFmt w:val="decimal"/>
      <w:pStyle w:val="Reference"/>
      <w:lvlText w:val="[%1]"/>
      <w:lvlJc w:val="right"/>
      <w:pPr>
        <w:tabs>
          <w:tab w:val="num" w:pos="72"/>
        </w:tabs>
        <w:ind w:left="72" w:hanging="72"/>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2"/>
  </w:num>
  <w:num w:numId="10">
    <w:abstractNumId w:val="5"/>
  </w:num>
  <w:num w:numId="11">
    <w:abstractNumId w:val="4"/>
  </w:num>
  <w:num w:numId="12">
    <w:abstractNumId w:val="12"/>
    <w:lvlOverride w:ilvl="0">
      <w:startOverride w:val="1"/>
    </w:lvlOverride>
  </w:num>
  <w:num w:numId="13">
    <w:abstractNumId w:val="3"/>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3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0F77"/>
    <w:rsid w:val="00026DEC"/>
    <w:rsid w:val="000308A3"/>
    <w:rsid w:val="0003196C"/>
    <w:rsid w:val="00036098"/>
    <w:rsid w:val="00036316"/>
    <w:rsid w:val="0004202C"/>
    <w:rsid w:val="000458BC"/>
    <w:rsid w:val="00045C41"/>
    <w:rsid w:val="00046C03"/>
    <w:rsid w:val="00065039"/>
    <w:rsid w:val="00072C04"/>
    <w:rsid w:val="000731AE"/>
    <w:rsid w:val="0007614F"/>
    <w:rsid w:val="000841D3"/>
    <w:rsid w:val="00096085"/>
    <w:rsid w:val="000A0420"/>
    <w:rsid w:val="000B0C0F"/>
    <w:rsid w:val="000B1C6B"/>
    <w:rsid w:val="000B4FF9"/>
    <w:rsid w:val="000C09AC"/>
    <w:rsid w:val="000C2CAF"/>
    <w:rsid w:val="000C6D8B"/>
    <w:rsid w:val="000D12B2"/>
    <w:rsid w:val="000E00F3"/>
    <w:rsid w:val="000E5411"/>
    <w:rsid w:val="000F158C"/>
    <w:rsid w:val="000F3849"/>
    <w:rsid w:val="0010242C"/>
    <w:rsid w:val="00102F3D"/>
    <w:rsid w:val="001065E0"/>
    <w:rsid w:val="0011003D"/>
    <w:rsid w:val="00122946"/>
    <w:rsid w:val="00124E38"/>
    <w:rsid w:val="0012580B"/>
    <w:rsid w:val="00131F90"/>
    <w:rsid w:val="0013526E"/>
    <w:rsid w:val="00146152"/>
    <w:rsid w:val="00152745"/>
    <w:rsid w:val="001654E6"/>
    <w:rsid w:val="00170668"/>
    <w:rsid w:val="00171371"/>
    <w:rsid w:val="00175A24"/>
    <w:rsid w:val="0018104A"/>
    <w:rsid w:val="0018272D"/>
    <w:rsid w:val="00187E58"/>
    <w:rsid w:val="0019749B"/>
    <w:rsid w:val="00197B0A"/>
    <w:rsid w:val="001A297E"/>
    <w:rsid w:val="001A32FF"/>
    <w:rsid w:val="001A368E"/>
    <w:rsid w:val="001A7329"/>
    <w:rsid w:val="001A792F"/>
    <w:rsid w:val="001B4E28"/>
    <w:rsid w:val="001C3525"/>
    <w:rsid w:val="001C3AFB"/>
    <w:rsid w:val="001C45BB"/>
    <w:rsid w:val="001C51BD"/>
    <w:rsid w:val="001C5F76"/>
    <w:rsid w:val="001C716E"/>
    <w:rsid w:val="001D1BD2"/>
    <w:rsid w:val="001D1CF8"/>
    <w:rsid w:val="001E02BE"/>
    <w:rsid w:val="001E3B37"/>
    <w:rsid w:val="001E78C4"/>
    <w:rsid w:val="001F2594"/>
    <w:rsid w:val="00204AB8"/>
    <w:rsid w:val="002055A6"/>
    <w:rsid w:val="00206460"/>
    <w:rsid w:val="002069B4"/>
    <w:rsid w:val="00215DFC"/>
    <w:rsid w:val="002212DF"/>
    <w:rsid w:val="00222CD4"/>
    <w:rsid w:val="00225016"/>
    <w:rsid w:val="0022645B"/>
    <w:rsid w:val="002264A6"/>
    <w:rsid w:val="00227BA7"/>
    <w:rsid w:val="0023011C"/>
    <w:rsid w:val="002375C1"/>
    <w:rsid w:val="002438A9"/>
    <w:rsid w:val="00256A97"/>
    <w:rsid w:val="00263398"/>
    <w:rsid w:val="00266F06"/>
    <w:rsid w:val="0027192F"/>
    <w:rsid w:val="00275B53"/>
    <w:rsid w:val="00275BCF"/>
    <w:rsid w:val="0028655B"/>
    <w:rsid w:val="00291870"/>
    <w:rsid w:val="00291E36"/>
    <w:rsid w:val="002920CD"/>
    <w:rsid w:val="00292257"/>
    <w:rsid w:val="002969DC"/>
    <w:rsid w:val="002A54E0"/>
    <w:rsid w:val="002B1595"/>
    <w:rsid w:val="002B191D"/>
    <w:rsid w:val="002B3945"/>
    <w:rsid w:val="002C2FE6"/>
    <w:rsid w:val="002C45A2"/>
    <w:rsid w:val="002D0AF6"/>
    <w:rsid w:val="002D23BD"/>
    <w:rsid w:val="002E0AE8"/>
    <w:rsid w:val="002E1488"/>
    <w:rsid w:val="002E3BF2"/>
    <w:rsid w:val="002E6ED2"/>
    <w:rsid w:val="002F164D"/>
    <w:rsid w:val="002F7236"/>
    <w:rsid w:val="0030185E"/>
    <w:rsid w:val="00305537"/>
    <w:rsid w:val="00306206"/>
    <w:rsid w:val="00314890"/>
    <w:rsid w:val="00317D85"/>
    <w:rsid w:val="003255DE"/>
    <w:rsid w:val="00327C56"/>
    <w:rsid w:val="003315A1"/>
    <w:rsid w:val="003373EC"/>
    <w:rsid w:val="00340715"/>
    <w:rsid w:val="00342FF4"/>
    <w:rsid w:val="00346148"/>
    <w:rsid w:val="00354481"/>
    <w:rsid w:val="003623F4"/>
    <w:rsid w:val="003669EA"/>
    <w:rsid w:val="003706CC"/>
    <w:rsid w:val="00373C8D"/>
    <w:rsid w:val="00375C34"/>
    <w:rsid w:val="00377710"/>
    <w:rsid w:val="00382CF7"/>
    <w:rsid w:val="0038389B"/>
    <w:rsid w:val="00396A79"/>
    <w:rsid w:val="003A2D8E"/>
    <w:rsid w:val="003A7CE6"/>
    <w:rsid w:val="003C20E4"/>
    <w:rsid w:val="003C29EE"/>
    <w:rsid w:val="003C4DB0"/>
    <w:rsid w:val="003D1F49"/>
    <w:rsid w:val="003D5788"/>
    <w:rsid w:val="003D6342"/>
    <w:rsid w:val="003E6F90"/>
    <w:rsid w:val="003F5D0F"/>
    <w:rsid w:val="003F6DAE"/>
    <w:rsid w:val="00410986"/>
    <w:rsid w:val="00412A59"/>
    <w:rsid w:val="00414101"/>
    <w:rsid w:val="004234F0"/>
    <w:rsid w:val="00424A7D"/>
    <w:rsid w:val="004278A1"/>
    <w:rsid w:val="004330AE"/>
    <w:rsid w:val="00433DDB"/>
    <w:rsid w:val="00435C4F"/>
    <w:rsid w:val="00437619"/>
    <w:rsid w:val="0044211D"/>
    <w:rsid w:val="00444BDF"/>
    <w:rsid w:val="00460306"/>
    <w:rsid w:val="00465A1E"/>
    <w:rsid w:val="0047213A"/>
    <w:rsid w:val="00490C6C"/>
    <w:rsid w:val="0049255F"/>
    <w:rsid w:val="004A2A63"/>
    <w:rsid w:val="004A3183"/>
    <w:rsid w:val="004B210C"/>
    <w:rsid w:val="004B2C28"/>
    <w:rsid w:val="004C1173"/>
    <w:rsid w:val="004C29B5"/>
    <w:rsid w:val="004D1D53"/>
    <w:rsid w:val="004D405F"/>
    <w:rsid w:val="004D58DF"/>
    <w:rsid w:val="004E2947"/>
    <w:rsid w:val="004E4F4F"/>
    <w:rsid w:val="004E6789"/>
    <w:rsid w:val="004F2834"/>
    <w:rsid w:val="004F61E3"/>
    <w:rsid w:val="005014BF"/>
    <w:rsid w:val="00502E10"/>
    <w:rsid w:val="00507A20"/>
    <w:rsid w:val="00507C12"/>
    <w:rsid w:val="0051015C"/>
    <w:rsid w:val="00513A13"/>
    <w:rsid w:val="00516CF1"/>
    <w:rsid w:val="00522251"/>
    <w:rsid w:val="00527526"/>
    <w:rsid w:val="00531AE9"/>
    <w:rsid w:val="00544985"/>
    <w:rsid w:val="00550A66"/>
    <w:rsid w:val="00567EC7"/>
    <w:rsid w:val="00570013"/>
    <w:rsid w:val="00570434"/>
    <w:rsid w:val="005708C6"/>
    <w:rsid w:val="005801A2"/>
    <w:rsid w:val="00585961"/>
    <w:rsid w:val="005861D9"/>
    <w:rsid w:val="005952A5"/>
    <w:rsid w:val="005970C7"/>
    <w:rsid w:val="005A2120"/>
    <w:rsid w:val="005A33A1"/>
    <w:rsid w:val="005A7FDA"/>
    <w:rsid w:val="005B034A"/>
    <w:rsid w:val="005B217D"/>
    <w:rsid w:val="005B5D92"/>
    <w:rsid w:val="005C385F"/>
    <w:rsid w:val="005C76C1"/>
    <w:rsid w:val="005E18D9"/>
    <w:rsid w:val="005E1AC6"/>
    <w:rsid w:val="005E4E38"/>
    <w:rsid w:val="005E6729"/>
    <w:rsid w:val="005F6F1B"/>
    <w:rsid w:val="006030D6"/>
    <w:rsid w:val="0062009E"/>
    <w:rsid w:val="0062293D"/>
    <w:rsid w:val="00623152"/>
    <w:rsid w:val="00624B33"/>
    <w:rsid w:val="00627DC4"/>
    <w:rsid w:val="0063041A"/>
    <w:rsid w:val="00630AA2"/>
    <w:rsid w:val="00631AEB"/>
    <w:rsid w:val="00633D4D"/>
    <w:rsid w:val="0064119C"/>
    <w:rsid w:val="00644AC2"/>
    <w:rsid w:val="00646707"/>
    <w:rsid w:val="006476E3"/>
    <w:rsid w:val="0065028F"/>
    <w:rsid w:val="006511D9"/>
    <w:rsid w:val="0065611D"/>
    <w:rsid w:val="00657F7E"/>
    <w:rsid w:val="00662E58"/>
    <w:rsid w:val="00664DCF"/>
    <w:rsid w:val="00665AA1"/>
    <w:rsid w:val="00672F34"/>
    <w:rsid w:val="00683D8D"/>
    <w:rsid w:val="0068410E"/>
    <w:rsid w:val="006B3D46"/>
    <w:rsid w:val="006B443A"/>
    <w:rsid w:val="006B62BF"/>
    <w:rsid w:val="006C0CF3"/>
    <w:rsid w:val="006C5D39"/>
    <w:rsid w:val="006C7199"/>
    <w:rsid w:val="006D6D9B"/>
    <w:rsid w:val="006E2810"/>
    <w:rsid w:val="006E5417"/>
    <w:rsid w:val="006F70F8"/>
    <w:rsid w:val="007023DE"/>
    <w:rsid w:val="00704079"/>
    <w:rsid w:val="00712F60"/>
    <w:rsid w:val="00715B4B"/>
    <w:rsid w:val="00720E3B"/>
    <w:rsid w:val="007270C9"/>
    <w:rsid w:val="007271D3"/>
    <w:rsid w:val="00741831"/>
    <w:rsid w:val="00743777"/>
    <w:rsid w:val="0074393F"/>
    <w:rsid w:val="00745497"/>
    <w:rsid w:val="00745F6B"/>
    <w:rsid w:val="007461A7"/>
    <w:rsid w:val="00755276"/>
    <w:rsid w:val="0075585E"/>
    <w:rsid w:val="00763F3B"/>
    <w:rsid w:val="00770571"/>
    <w:rsid w:val="00771C59"/>
    <w:rsid w:val="007768FF"/>
    <w:rsid w:val="00776E91"/>
    <w:rsid w:val="007824D3"/>
    <w:rsid w:val="00784A50"/>
    <w:rsid w:val="00785880"/>
    <w:rsid w:val="00795C04"/>
    <w:rsid w:val="00796EE3"/>
    <w:rsid w:val="007A316F"/>
    <w:rsid w:val="007A5916"/>
    <w:rsid w:val="007A7D29"/>
    <w:rsid w:val="007B04ED"/>
    <w:rsid w:val="007B2612"/>
    <w:rsid w:val="007B3397"/>
    <w:rsid w:val="007B4AB8"/>
    <w:rsid w:val="007C67B6"/>
    <w:rsid w:val="007C733F"/>
    <w:rsid w:val="007D1181"/>
    <w:rsid w:val="007D27E8"/>
    <w:rsid w:val="007D4B5D"/>
    <w:rsid w:val="007E01A3"/>
    <w:rsid w:val="007E0A53"/>
    <w:rsid w:val="007F1F8B"/>
    <w:rsid w:val="007F67A1"/>
    <w:rsid w:val="007F7340"/>
    <w:rsid w:val="00811C05"/>
    <w:rsid w:val="008206C8"/>
    <w:rsid w:val="00822AF6"/>
    <w:rsid w:val="008309FA"/>
    <w:rsid w:val="0083720C"/>
    <w:rsid w:val="00845A4B"/>
    <w:rsid w:val="00847D18"/>
    <w:rsid w:val="00851523"/>
    <w:rsid w:val="0086387C"/>
    <w:rsid w:val="00870F25"/>
    <w:rsid w:val="008740E7"/>
    <w:rsid w:val="00874A6C"/>
    <w:rsid w:val="00876C65"/>
    <w:rsid w:val="00883B26"/>
    <w:rsid w:val="00884B9B"/>
    <w:rsid w:val="00891CDF"/>
    <w:rsid w:val="008A249A"/>
    <w:rsid w:val="008A4B4C"/>
    <w:rsid w:val="008A70F0"/>
    <w:rsid w:val="008B0FB0"/>
    <w:rsid w:val="008C239F"/>
    <w:rsid w:val="008C2EC3"/>
    <w:rsid w:val="008C3E85"/>
    <w:rsid w:val="008C68FA"/>
    <w:rsid w:val="008E480C"/>
    <w:rsid w:val="008E5651"/>
    <w:rsid w:val="008E57DE"/>
    <w:rsid w:val="008E71A9"/>
    <w:rsid w:val="008F3423"/>
    <w:rsid w:val="008F3C08"/>
    <w:rsid w:val="009014EF"/>
    <w:rsid w:val="00907757"/>
    <w:rsid w:val="009117BB"/>
    <w:rsid w:val="009212B0"/>
    <w:rsid w:val="00921FA1"/>
    <w:rsid w:val="009234A5"/>
    <w:rsid w:val="009277BB"/>
    <w:rsid w:val="00933453"/>
    <w:rsid w:val="009336F7"/>
    <w:rsid w:val="0093636C"/>
    <w:rsid w:val="00936A5B"/>
    <w:rsid w:val="009374A7"/>
    <w:rsid w:val="0094634C"/>
    <w:rsid w:val="00950159"/>
    <w:rsid w:val="00952DE6"/>
    <w:rsid w:val="00955F6D"/>
    <w:rsid w:val="009632DF"/>
    <w:rsid w:val="009652C3"/>
    <w:rsid w:val="009719B7"/>
    <w:rsid w:val="00973097"/>
    <w:rsid w:val="00977036"/>
    <w:rsid w:val="00980D31"/>
    <w:rsid w:val="00980DA4"/>
    <w:rsid w:val="00985459"/>
    <w:rsid w:val="0098551D"/>
    <w:rsid w:val="0099518F"/>
    <w:rsid w:val="009A523D"/>
    <w:rsid w:val="009A59D6"/>
    <w:rsid w:val="009B02A1"/>
    <w:rsid w:val="009B56BD"/>
    <w:rsid w:val="009C651F"/>
    <w:rsid w:val="009D7AD2"/>
    <w:rsid w:val="009E01BC"/>
    <w:rsid w:val="009E5AB1"/>
    <w:rsid w:val="009E5FEB"/>
    <w:rsid w:val="009F496B"/>
    <w:rsid w:val="009F507B"/>
    <w:rsid w:val="009F6FAC"/>
    <w:rsid w:val="00A01439"/>
    <w:rsid w:val="00A017F0"/>
    <w:rsid w:val="00A02E61"/>
    <w:rsid w:val="00A05CFF"/>
    <w:rsid w:val="00A10886"/>
    <w:rsid w:val="00A13048"/>
    <w:rsid w:val="00A13BD8"/>
    <w:rsid w:val="00A145D7"/>
    <w:rsid w:val="00A177B6"/>
    <w:rsid w:val="00A46843"/>
    <w:rsid w:val="00A518AD"/>
    <w:rsid w:val="00A52983"/>
    <w:rsid w:val="00A56B97"/>
    <w:rsid w:val="00A6093D"/>
    <w:rsid w:val="00A61092"/>
    <w:rsid w:val="00A66373"/>
    <w:rsid w:val="00A66C28"/>
    <w:rsid w:val="00A767DC"/>
    <w:rsid w:val="00A76A6D"/>
    <w:rsid w:val="00A809EB"/>
    <w:rsid w:val="00A83253"/>
    <w:rsid w:val="00AA11BD"/>
    <w:rsid w:val="00AA6E84"/>
    <w:rsid w:val="00AC132F"/>
    <w:rsid w:val="00AD05A8"/>
    <w:rsid w:val="00AD6548"/>
    <w:rsid w:val="00AD6CBB"/>
    <w:rsid w:val="00AE341B"/>
    <w:rsid w:val="00AE356B"/>
    <w:rsid w:val="00AE7CD4"/>
    <w:rsid w:val="00B014B0"/>
    <w:rsid w:val="00B05A84"/>
    <w:rsid w:val="00B06A83"/>
    <w:rsid w:val="00B07CA7"/>
    <w:rsid w:val="00B1279A"/>
    <w:rsid w:val="00B1303C"/>
    <w:rsid w:val="00B16F47"/>
    <w:rsid w:val="00B2274C"/>
    <w:rsid w:val="00B4194A"/>
    <w:rsid w:val="00B444FA"/>
    <w:rsid w:val="00B5222E"/>
    <w:rsid w:val="00B53179"/>
    <w:rsid w:val="00B600CD"/>
    <w:rsid w:val="00B61C96"/>
    <w:rsid w:val="00B73093"/>
    <w:rsid w:val="00B73A2A"/>
    <w:rsid w:val="00B74A3C"/>
    <w:rsid w:val="00B90C7E"/>
    <w:rsid w:val="00B917DA"/>
    <w:rsid w:val="00B94B06"/>
    <w:rsid w:val="00B94C28"/>
    <w:rsid w:val="00BA67AF"/>
    <w:rsid w:val="00BB5C65"/>
    <w:rsid w:val="00BC10BA"/>
    <w:rsid w:val="00BC5AFD"/>
    <w:rsid w:val="00BC77DD"/>
    <w:rsid w:val="00BD261A"/>
    <w:rsid w:val="00BD5566"/>
    <w:rsid w:val="00BF3473"/>
    <w:rsid w:val="00BF71E7"/>
    <w:rsid w:val="00C04F43"/>
    <w:rsid w:val="00C0609D"/>
    <w:rsid w:val="00C115AB"/>
    <w:rsid w:val="00C1268C"/>
    <w:rsid w:val="00C26CCB"/>
    <w:rsid w:val="00C30249"/>
    <w:rsid w:val="00C35B99"/>
    <w:rsid w:val="00C36C1A"/>
    <w:rsid w:val="00C3723B"/>
    <w:rsid w:val="00C42466"/>
    <w:rsid w:val="00C606C9"/>
    <w:rsid w:val="00C63CE7"/>
    <w:rsid w:val="00C648F9"/>
    <w:rsid w:val="00C749A8"/>
    <w:rsid w:val="00C80288"/>
    <w:rsid w:val="00C84003"/>
    <w:rsid w:val="00C8739A"/>
    <w:rsid w:val="00C90650"/>
    <w:rsid w:val="00C968BE"/>
    <w:rsid w:val="00C97D78"/>
    <w:rsid w:val="00CA46C1"/>
    <w:rsid w:val="00CA61B5"/>
    <w:rsid w:val="00CB5D5E"/>
    <w:rsid w:val="00CC2AAE"/>
    <w:rsid w:val="00CC5A42"/>
    <w:rsid w:val="00CD0EAB"/>
    <w:rsid w:val="00CD3496"/>
    <w:rsid w:val="00CD78D8"/>
    <w:rsid w:val="00CE318B"/>
    <w:rsid w:val="00CE32D9"/>
    <w:rsid w:val="00CE5E02"/>
    <w:rsid w:val="00CF34DB"/>
    <w:rsid w:val="00CF558F"/>
    <w:rsid w:val="00CF5B03"/>
    <w:rsid w:val="00D010C0"/>
    <w:rsid w:val="00D073E2"/>
    <w:rsid w:val="00D07735"/>
    <w:rsid w:val="00D14180"/>
    <w:rsid w:val="00D313BA"/>
    <w:rsid w:val="00D35CFB"/>
    <w:rsid w:val="00D37B8F"/>
    <w:rsid w:val="00D446EC"/>
    <w:rsid w:val="00D44A90"/>
    <w:rsid w:val="00D51BF0"/>
    <w:rsid w:val="00D52077"/>
    <w:rsid w:val="00D55942"/>
    <w:rsid w:val="00D60A32"/>
    <w:rsid w:val="00D71E87"/>
    <w:rsid w:val="00D807BF"/>
    <w:rsid w:val="00D82FCC"/>
    <w:rsid w:val="00DA17FC"/>
    <w:rsid w:val="00DA23EB"/>
    <w:rsid w:val="00DA5B09"/>
    <w:rsid w:val="00DA7887"/>
    <w:rsid w:val="00DB2C26"/>
    <w:rsid w:val="00DB522A"/>
    <w:rsid w:val="00DD0051"/>
    <w:rsid w:val="00DD02F4"/>
    <w:rsid w:val="00DE567D"/>
    <w:rsid w:val="00DE6B43"/>
    <w:rsid w:val="00DF280A"/>
    <w:rsid w:val="00E01F71"/>
    <w:rsid w:val="00E11923"/>
    <w:rsid w:val="00E1258E"/>
    <w:rsid w:val="00E12BA2"/>
    <w:rsid w:val="00E262D4"/>
    <w:rsid w:val="00E330C6"/>
    <w:rsid w:val="00E3360C"/>
    <w:rsid w:val="00E36250"/>
    <w:rsid w:val="00E538FE"/>
    <w:rsid w:val="00E54511"/>
    <w:rsid w:val="00E54B90"/>
    <w:rsid w:val="00E54BEC"/>
    <w:rsid w:val="00E55CF4"/>
    <w:rsid w:val="00E61DAC"/>
    <w:rsid w:val="00E6670E"/>
    <w:rsid w:val="00E72B80"/>
    <w:rsid w:val="00E75ADB"/>
    <w:rsid w:val="00E75FE3"/>
    <w:rsid w:val="00E81E6E"/>
    <w:rsid w:val="00E85079"/>
    <w:rsid w:val="00E86C4C"/>
    <w:rsid w:val="00E907A3"/>
    <w:rsid w:val="00E90A7C"/>
    <w:rsid w:val="00E956B6"/>
    <w:rsid w:val="00EA32AC"/>
    <w:rsid w:val="00EA5AE0"/>
    <w:rsid w:val="00EA6E83"/>
    <w:rsid w:val="00EB657A"/>
    <w:rsid w:val="00EB7AB1"/>
    <w:rsid w:val="00EE7795"/>
    <w:rsid w:val="00EE7CD8"/>
    <w:rsid w:val="00EF48CC"/>
    <w:rsid w:val="00F00801"/>
    <w:rsid w:val="00F14806"/>
    <w:rsid w:val="00F558F9"/>
    <w:rsid w:val="00F57FF8"/>
    <w:rsid w:val="00F73032"/>
    <w:rsid w:val="00F7502B"/>
    <w:rsid w:val="00F7596C"/>
    <w:rsid w:val="00F82AE4"/>
    <w:rsid w:val="00F82D9C"/>
    <w:rsid w:val="00F848FC"/>
    <w:rsid w:val="00F9282A"/>
    <w:rsid w:val="00F96BAD"/>
    <w:rsid w:val="00FA139D"/>
    <w:rsid w:val="00FA3660"/>
    <w:rsid w:val="00FB0E84"/>
    <w:rsid w:val="00FC34C7"/>
    <w:rsid w:val="00FD01C2"/>
    <w:rsid w:val="00FD12CB"/>
    <w:rsid w:val="00FD2385"/>
    <w:rsid w:val="00FE29B2"/>
    <w:rsid w:val="00FE595C"/>
    <w:rsid w:val="00FF07B4"/>
    <w:rsid w:val="00FF0CE3"/>
    <w:rsid w:val="00FF0F8E"/>
    <w:rsid w:val="00FF4E0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3D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CA61B5"/>
    <w:rPr>
      <w:color w:val="808080"/>
    </w:rPr>
  </w:style>
  <w:style w:type="paragraph" w:customStyle="1" w:styleId="Reference">
    <w:name w:val="Reference"/>
    <w:basedOn w:val="Normal"/>
    <w:rsid w:val="00980DA4"/>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customStyle="1" w:styleId="IvDbodytext">
    <w:name w:val="IvD bodytext"/>
    <w:basedOn w:val="BodyText"/>
    <w:link w:val="IvDbodytextChar"/>
    <w:qFormat/>
    <w:rsid w:val="008E57DE"/>
    <w:pPr>
      <w:keepLines/>
      <w:tabs>
        <w:tab w:val="clear" w:pos="360"/>
        <w:tab w:val="clear" w:pos="720"/>
        <w:tab w:val="clear" w:pos="1080"/>
        <w:tab w:val="clear" w:pos="1440"/>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hAnsi="Arial"/>
      <w:spacing w:val="2"/>
    </w:rPr>
  </w:style>
  <w:style w:type="character" w:customStyle="1" w:styleId="IvDbodytextChar">
    <w:name w:val="IvD bodytext Char"/>
    <w:basedOn w:val="BodyTextChar"/>
    <w:link w:val="IvDbodytext"/>
    <w:rsid w:val="008E57DE"/>
    <w:rPr>
      <w:rFonts w:ascii="Arial" w:hAnsi="Arial"/>
      <w:spacing w:val="2"/>
      <w:sz w:val="22"/>
      <w:lang w:val="en-US" w:eastAsia="en-US"/>
    </w:rPr>
  </w:style>
  <w:style w:type="paragraph" w:styleId="BodyText">
    <w:name w:val="Body Text"/>
    <w:basedOn w:val="Normal"/>
    <w:link w:val="BodyTextChar"/>
    <w:rsid w:val="008E57DE"/>
    <w:pPr>
      <w:spacing w:after="120"/>
    </w:pPr>
  </w:style>
  <w:style w:type="character" w:customStyle="1" w:styleId="BodyTextChar">
    <w:name w:val="Body Text Char"/>
    <w:basedOn w:val="DefaultParagraphFont"/>
    <w:link w:val="BodyText"/>
    <w:rsid w:val="008E57DE"/>
    <w:rPr>
      <w:sz w:val="22"/>
      <w:lang w:val="en-US" w:eastAsia="en-US"/>
    </w:rPr>
  </w:style>
  <w:style w:type="table" w:styleId="TableGrid">
    <w:name w:val="Table Grid"/>
    <w:basedOn w:val="TableNormal"/>
    <w:rsid w:val="00FD1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5E18D9"/>
    <w:pPr>
      <w:spacing w:before="0" w:after="200"/>
    </w:pPr>
    <w:rPr>
      <w:i/>
      <w:iCs/>
      <w:color w:val="1F497D" w:themeColor="text2"/>
      <w:sz w:val="18"/>
      <w:szCs w:val="18"/>
    </w:rPr>
  </w:style>
  <w:style w:type="paragraph" w:customStyle="1" w:styleId="Reftext">
    <w:name w:val="Ref_text"/>
    <w:basedOn w:val="Normal"/>
    <w:rsid w:val="00E330C6"/>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ind w:left="2268" w:hanging="2268"/>
      <w:jc w:val="both"/>
      <w:textAlignment w:val="auto"/>
    </w:pPr>
    <w:rPr>
      <w:rFonts w:eastAsia="MS Mincho"/>
      <w:sz w:val="24"/>
      <w:szCs w:val="24"/>
      <w:lang w:val="en-GB"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CA61B5"/>
    <w:rPr>
      <w:color w:val="808080"/>
    </w:rPr>
  </w:style>
  <w:style w:type="paragraph" w:customStyle="1" w:styleId="Reference">
    <w:name w:val="Reference"/>
    <w:basedOn w:val="Normal"/>
    <w:rsid w:val="00980DA4"/>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customStyle="1" w:styleId="IvDbodytext">
    <w:name w:val="IvD bodytext"/>
    <w:basedOn w:val="BodyText"/>
    <w:link w:val="IvDbodytextChar"/>
    <w:qFormat/>
    <w:rsid w:val="008E57DE"/>
    <w:pPr>
      <w:keepLines/>
      <w:tabs>
        <w:tab w:val="clear" w:pos="360"/>
        <w:tab w:val="clear" w:pos="720"/>
        <w:tab w:val="clear" w:pos="1080"/>
        <w:tab w:val="clear" w:pos="1440"/>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hAnsi="Arial"/>
      <w:spacing w:val="2"/>
    </w:rPr>
  </w:style>
  <w:style w:type="character" w:customStyle="1" w:styleId="IvDbodytextChar">
    <w:name w:val="IvD bodytext Char"/>
    <w:basedOn w:val="BodyTextChar"/>
    <w:link w:val="IvDbodytext"/>
    <w:rsid w:val="008E57DE"/>
    <w:rPr>
      <w:rFonts w:ascii="Arial" w:hAnsi="Arial"/>
      <w:spacing w:val="2"/>
      <w:sz w:val="22"/>
      <w:lang w:val="en-US" w:eastAsia="en-US"/>
    </w:rPr>
  </w:style>
  <w:style w:type="paragraph" w:styleId="BodyText">
    <w:name w:val="Body Text"/>
    <w:basedOn w:val="Normal"/>
    <w:link w:val="BodyTextChar"/>
    <w:rsid w:val="008E57DE"/>
    <w:pPr>
      <w:spacing w:after="120"/>
    </w:pPr>
  </w:style>
  <w:style w:type="character" w:customStyle="1" w:styleId="BodyTextChar">
    <w:name w:val="Body Text Char"/>
    <w:basedOn w:val="DefaultParagraphFont"/>
    <w:link w:val="BodyText"/>
    <w:rsid w:val="008E57DE"/>
    <w:rPr>
      <w:sz w:val="22"/>
      <w:lang w:val="en-US" w:eastAsia="en-US"/>
    </w:rPr>
  </w:style>
  <w:style w:type="table" w:styleId="TableGrid">
    <w:name w:val="Table Grid"/>
    <w:basedOn w:val="TableNormal"/>
    <w:rsid w:val="00FD1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5E18D9"/>
    <w:pPr>
      <w:spacing w:before="0" w:after="200"/>
    </w:pPr>
    <w:rPr>
      <w:i/>
      <w:iCs/>
      <w:color w:val="1F497D" w:themeColor="text2"/>
      <w:sz w:val="18"/>
      <w:szCs w:val="18"/>
    </w:rPr>
  </w:style>
  <w:style w:type="paragraph" w:customStyle="1" w:styleId="Reftext">
    <w:name w:val="Ref_text"/>
    <w:basedOn w:val="Normal"/>
    <w:rsid w:val="00E330C6"/>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ind w:left="2268" w:hanging="2268"/>
      <w:jc w:val="both"/>
      <w:textAlignment w:val="auto"/>
    </w:pPr>
    <w:rPr>
      <w:rFonts w:eastAsia="MS Mincho"/>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6636">
      <w:bodyDiv w:val="1"/>
      <w:marLeft w:val="0"/>
      <w:marRight w:val="0"/>
      <w:marTop w:val="0"/>
      <w:marBottom w:val="0"/>
      <w:divBdr>
        <w:top w:val="none" w:sz="0" w:space="0" w:color="auto"/>
        <w:left w:val="none" w:sz="0" w:space="0" w:color="auto"/>
        <w:bottom w:val="none" w:sz="0" w:space="0" w:color="auto"/>
        <w:right w:val="none" w:sz="0" w:space="0" w:color="auto"/>
      </w:divBdr>
    </w:div>
    <w:div w:id="370881146">
      <w:bodyDiv w:val="1"/>
      <w:marLeft w:val="0"/>
      <w:marRight w:val="0"/>
      <w:marTop w:val="0"/>
      <w:marBottom w:val="0"/>
      <w:divBdr>
        <w:top w:val="none" w:sz="0" w:space="0" w:color="auto"/>
        <w:left w:val="none" w:sz="0" w:space="0" w:color="auto"/>
        <w:bottom w:val="none" w:sz="0" w:space="0" w:color="auto"/>
        <w:right w:val="none" w:sz="0" w:space="0" w:color="auto"/>
      </w:divBdr>
    </w:div>
    <w:div w:id="431634809">
      <w:bodyDiv w:val="1"/>
      <w:marLeft w:val="0"/>
      <w:marRight w:val="0"/>
      <w:marTop w:val="0"/>
      <w:marBottom w:val="0"/>
      <w:divBdr>
        <w:top w:val="none" w:sz="0" w:space="0" w:color="auto"/>
        <w:left w:val="none" w:sz="0" w:space="0" w:color="auto"/>
        <w:bottom w:val="none" w:sz="0" w:space="0" w:color="auto"/>
        <w:right w:val="none" w:sz="0" w:space="0" w:color="auto"/>
      </w:divBdr>
    </w:div>
    <w:div w:id="721177914">
      <w:bodyDiv w:val="1"/>
      <w:marLeft w:val="0"/>
      <w:marRight w:val="0"/>
      <w:marTop w:val="0"/>
      <w:marBottom w:val="0"/>
      <w:divBdr>
        <w:top w:val="none" w:sz="0" w:space="0" w:color="auto"/>
        <w:left w:val="none" w:sz="0" w:space="0" w:color="auto"/>
        <w:bottom w:val="none" w:sz="0" w:space="0" w:color="auto"/>
        <w:right w:val="none" w:sz="0" w:space="0" w:color="auto"/>
      </w:divBdr>
    </w:div>
    <w:div w:id="1247690927">
      <w:bodyDiv w:val="1"/>
      <w:marLeft w:val="0"/>
      <w:marRight w:val="0"/>
      <w:marTop w:val="0"/>
      <w:marBottom w:val="0"/>
      <w:divBdr>
        <w:top w:val="none" w:sz="0" w:space="0" w:color="auto"/>
        <w:left w:val="none" w:sz="0" w:space="0" w:color="auto"/>
        <w:bottom w:val="none" w:sz="0" w:space="0" w:color="auto"/>
        <w:right w:val="none" w:sz="0" w:space="0" w:color="auto"/>
      </w:divBdr>
    </w:div>
    <w:div w:id="1299915122">
      <w:bodyDiv w:val="1"/>
      <w:marLeft w:val="0"/>
      <w:marRight w:val="0"/>
      <w:marTop w:val="0"/>
      <w:marBottom w:val="0"/>
      <w:divBdr>
        <w:top w:val="none" w:sz="0" w:space="0" w:color="auto"/>
        <w:left w:val="none" w:sz="0" w:space="0" w:color="auto"/>
        <w:bottom w:val="none" w:sz="0" w:space="0" w:color="auto"/>
        <w:right w:val="none" w:sz="0" w:space="0" w:color="auto"/>
      </w:divBdr>
    </w:div>
    <w:div w:id="1504852400">
      <w:bodyDiv w:val="1"/>
      <w:marLeft w:val="0"/>
      <w:marRight w:val="0"/>
      <w:marTop w:val="0"/>
      <w:marBottom w:val="0"/>
      <w:divBdr>
        <w:top w:val="none" w:sz="0" w:space="0" w:color="auto"/>
        <w:left w:val="none" w:sz="0" w:space="0" w:color="auto"/>
        <w:bottom w:val="none" w:sz="0" w:space="0" w:color="auto"/>
        <w:right w:val="none" w:sz="0" w:space="0" w:color="auto"/>
      </w:divBdr>
    </w:div>
    <w:div w:id="16118120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09785510">
      <w:bodyDiv w:val="1"/>
      <w:marLeft w:val="0"/>
      <w:marRight w:val="0"/>
      <w:marTop w:val="0"/>
      <w:marBottom w:val="0"/>
      <w:divBdr>
        <w:top w:val="none" w:sz="0" w:space="0" w:color="auto"/>
        <w:left w:val="none" w:sz="0" w:space="0" w:color="auto"/>
        <w:bottom w:val="none" w:sz="0" w:space="0" w:color="auto"/>
        <w:right w:val="none" w:sz="0" w:space="0" w:color="auto"/>
      </w:divBdr>
    </w:div>
    <w:div w:id="1853183052">
      <w:bodyDiv w:val="1"/>
      <w:marLeft w:val="0"/>
      <w:marRight w:val="0"/>
      <w:marTop w:val="0"/>
      <w:marBottom w:val="0"/>
      <w:divBdr>
        <w:top w:val="none" w:sz="0" w:space="0" w:color="auto"/>
        <w:left w:val="none" w:sz="0" w:space="0" w:color="auto"/>
        <w:bottom w:val="none" w:sz="0" w:space="0" w:color="auto"/>
        <w:right w:val="none" w:sz="0" w:space="0" w:color="auto"/>
      </w:divBdr>
    </w:div>
    <w:div w:id="1879468630">
      <w:bodyDiv w:val="1"/>
      <w:marLeft w:val="0"/>
      <w:marRight w:val="0"/>
      <w:marTop w:val="0"/>
      <w:marBottom w:val="0"/>
      <w:divBdr>
        <w:top w:val="none" w:sz="0" w:space="0" w:color="auto"/>
        <w:left w:val="none" w:sz="0" w:space="0" w:color="auto"/>
        <w:bottom w:val="none" w:sz="0" w:space="0" w:color="auto"/>
        <w:right w:val="none" w:sz="0" w:space="0" w:color="auto"/>
      </w:divBdr>
    </w:div>
    <w:div w:id="1902474244">
      <w:bodyDiv w:val="1"/>
      <w:marLeft w:val="0"/>
      <w:marRight w:val="0"/>
      <w:marTop w:val="0"/>
      <w:marBottom w:val="0"/>
      <w:divBdr>
        <w:top w:val="none" w:sz="0" w:space="0" w:color="auto"/>
        <w:left w:val="none" w:sz="0" w:space="0" w:color="auto"/>
        <w:bottom w:val="none" w:sz="0" w:space="0" w:color="auto"/>
        <w:right w:val="none" w:sz="0" w:space="0" w:color="auto"/>
      </w:divBdr>
    </w:div>
    <w:div w:id="1915242369">
      <w:bodyDiv w:val="1"/>
      <w:marLeft w:val="0"/>
      <w:marRight w:val="0"/>
      <w:marTop w:val="0"/>
      <w:marBottom w:val="0"/>
      <w:divBdr>
        <w:top w:val="none" w:sz="0" w:space="0" w:color="auto"/>
        <w:left w:val="none" w:sz="0" w:space="0" w:color="auto"/>
        <w:bottom w:val="none" w:sz="0" w:space="0" w:color="auto"/>
        <w:right w:val="none" w:sz="0" w:space="0" w:color="auto"/>
      </w:divBdr>
    </w:div>
    <w:div w:id="2097632120">
      <w:bodyDiv w:val="1"/>
      <w:marLeft w:val="0"/>
      <w:marRight w:val="0"/>
      <w:marTop w:val="0"/>
      <w:marBottom w:val="0"/>
      <w:divBdr>
        <w:top w:val="none" w:sz="0" w:space="0" w:color="auto"/>
        <w:left w:val="none" w:sz="0" w:space="0" w:color="auto"/>
        <w:bottom w:val="none" w:sz="0" w:space="0" w:color="auto"/>
        <w:right w:val="none" w:sz="0" w:space="0" w:color="auto"/>
      </w:divBdr>
    </w:div>
    <w:div w:id="212267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15DB15-F388-8943-A73D-723AFAA3D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Pages>
  <Words>1580</Words>
  <Characters>9011</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10570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Alexis Michael Tourapis</cp:lastModifiedBy>
  <cp:revision>5</cp:revision>
  <cp:lastPrinted>2017-01-01T00:10:00Z</cp:lastPrinted>
  <dcterms:created xsi:type="dcterms:W3CDTF">2017-01-07T01:16:00Z</dcterms:created>
  <dcterms:modified xsi:type="dcterms:W3CDTF">2017-01-10T03:00:00Z</dcterms:modified>
</cp:coreProperties>
</file>