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7B6848" w:rsidRPr="00100A8E" w14:paraId="67D579CB" w14:textId="77777777" w:rsidTr="005504A7">
        <w:tc>
          <w:tcPr>
            <w:tcW w:w="6408" w:type="dxa"/>
          </w:tcPr>
          <w:p w14:paraId="5D8C6689" w14:textId="49EB7C4A" w:rsidR="007B6848" w:rsidRPr="00100A8E" w:rsidRDefault="007B6848" w:rsidP="005504A7">
            <w:pPr>
              <w:tabs>
                <w:tab w:val="left" w:pos="7200"/>
              </w:tabs>
              <w:spacing w:before="0"/>
              <w:rPr>
                <w:b/>
                <w:szCs w:val="22"/>
                <w:lang w:val="en-US"/>
              </w:rPr>
            </w:pPr>
            <w:r w:rsidRPr="00100A8E">
              <w:rPr>
                <w:b/>
                <w:szCs w:val="22"/>
                <w:lang w:val="en-US"/>
              </w:rPr>
              <w:t>Joint Collaborative Team on Video Coding (JCT-VC)</w:t>
            </w:r>
          </w:p>
          <w:p w14:paraId="6E46875C" w14:textId="77777777" w:rsidR="007B6848" w:rsidRPr="00100A8E" w:rsidRDefault="007B6848" w:rsidP="005504A7">
            <w:pPr>
              <w:tabs>
                <w:tab w:val="left" w:pos="7200"/>
              </w:tabs>
              <w:spacing w:before="0"/>
              <w:rPr>
                <w:b/>
                <w:szCs w:val="22"/>
                <w:lang w:val="en-US"/>
              </w:rPr>
            </w:pPr>
            <w:r w:rsidRPr="00100A8E">
              <w:rPr>
                <w:b/>
                <w:szCs w:val="22"/>
                <w:lang w:val="en-US"/>
              </w:rPr>
              <w:t>of ITU-T SG 16 WP 3 and ISO/IEC JTC 1/SC 29/WG 11</w:t>
            </w:r>
          </w:p>
          <w:p w14:paraId="22C3BC59" w14:textId="6FBB576F" w:rsidR="007B6848" w:rsidRPr="00100A8E" w:rsidRDefault="00311CD6" w:rsidP="005504A7">
            <w:pPr>
              <w:tabs>
                <w:tab w:val="left" w:pos="7200"/>
              </w:tabs>
              <w:spacing w:before="0"/>
              <w:rPr>
                <w:b/>
                <w:szCs w:val="22"/>
                <w:lang w:val="en-US"/>
              </w:rPr>
            </w:pPr>
            <w:r w:rsidRPr="00100A8E">
              <w:rPr>
                <w:lang w:val="en-US"/>
              </w:rPr>
              <w:t xml:space="preserve">26th Meeting: Geneva, CH, 12–20 January </w:t>
            </w:r>
            <w:r w:rsidR="007B6848" w:rsidRPr="00100A8E">
              <w:rPr>
                <w:lang w:val="en-US"/>
              </w:rPr>
              <w:t>201</w:t>
            </w:r>
            <w:r w:rsidRPr="00100A8E">
              <w:rPr>
                <w:lang w:val="en-US"/>
              </w:rPr>
              <w:t>7</w:t>
            </w:r>
          </w:p>
        </w:tc>
        <w:tc>
          <w:tcPr>
            <w:tcW w:w="3168" w:type="dxa"/>
          </w:tcPr>
          <w:p w14:paraId="4A1D79C6" w14:textId="11B2B820" w:rsidR="007B6848" w:rsidRPr="00100A8E" w:rsidRDefault="007B6848" w:rsidP="005504A7">
            <w:pPr>
              <w:tabs>
                <w:tab w:val="left" w:pos="7200"/>
              </w:tabs>
              <w:rPr>
                <w:u w:val="single"/>
                <w:lang w:val="en-US"/>
              </w:rPr>
            </w:pPr>
            <w:r w:rsidRPr="00100A8E">
              <w:rPr>
                <w:lang w:val="en-US"/>
              </w:rPr>
              <w:t xml:space="preserve">Document: </w:t>
            </w:r>
            <w:r w:rsidR="00311CD6" w:rsidRPr="00100A8E">
              <w:rPr>
                <w:lang w:val="en-US"/>
              </w:rPr>
              <w:t>JCTVC-Z</w:t>
            </w:r>
            <w:r w:rsidR="0032473E">
              <w:rPr>
                <w:lang w:val="en-US"/>
              </w:rPr>
              <w:t>0024</w:t>
            </w:r>
            <w:bookmarkStart w:id="0" w:name="_GoBack"/>
            <w:bookmarkEnd w:id="0"/>
          </w:p>
        </w:tc>
      </w:tr>
    </w:tbl>
    <w:p w14:paraId="03AE4AEC" w14:textId="77777777" w:rsidR="007B6848" w:rsidRPr="00100A8E" w:rsidRDefault="007B6848" w:rsidP="007B6848">
      <w:pPr>
        <w:spacing w:before="0"/>
        <w:rPr>
          <w:lang w:val="en-US"/>
        </w:rPr>
      </w:pPr>
    </w:p>
    <w:tbl>
      <w:tblPr>
        <w:tblW w:w="0" w:type="auto"/>
        <w:tblLayout w:type="fixed"/>
        <w:tblLook w:val="0000" w:firstRow="0" w:lastRow="0" w:firstColumn="0" w:lastColumn="0" w:noHBand="0" w:noVBand="0"/>
      </w:tblPr>
      <w:tblGrid>
        <w:gridCol w:w="1458"/>
        <w:gridCol w:w="3895"/>
        <w:gridCol w:w="851"/>
        <w:gridCol w:w="3372"/>
      </w:tblGrid>
      <w:tr w:rsidR="007B6848" w:rsidRPr="00100A8E" w14:paraId="26F7DCBC" w14:textId="77777777" w:rsidTr="005504A7">
        <w:tc>
          <w:tcPr>
            <w:tcW w:w="1458" w:type="dxa"/>
          </w:tcPr>
          <w:p w14:paraId="507D01F8" w14:textId="77777777" w:rsidR="007B6848" w:rsidRPr="00100A8E" w:rsidRDefault="007B6848" w:rsidP="005504A7">
            <w:pPr>
              <w:spacing w:before="60" w:after="60"/>
              <w:rPr>
                <w:i/>
                <w:szCs w:val="22"/>
                <w:lang w:val="en-US"/>
              </w:rPr>
            </w:pPr>
            <w:r w:rsidRPr="00100A8E">
              <w:rPr>
                <w:i/>
                <w:szCs w:val="22"/>
                <w:lang w:val="en-US"/>
              </w:rPr>
              <w:t>Title:</w:t>
            </w:r>
          </w:p>
        </w:tc>
        <w:tc>
          <w:tcPr>
            <w:tcW w:w="8118" w:type="dxa"/>
            <w:gridSpan w:val="3"/>
          </w:tcPr>
          <w:p w14:paraId="66C176CF" w14:textId="5492F881" w:rsidR="007B6848" w:rsidRPr="00100A8E" w:rsidRDefault="00A83E8A" w:rsidP="005504A7">
            <w:pPr>
              <w:spacing w:before="60" w:after="60"/>
              <w:rPr>
                <w:b/>
                <w:szCs w:val="22"/>
                <w:lang w:val="en-US"/>
              </w:rPr>
            </w:pPr>
            <w:r w:rsidRPr="00100A8E">
              <w:rPr>
                <w:b/>
                <w:szCs w:val="22"/>
                <w:lang w:val="en-US"/>
              </w:rPr>
              <w:t xml:space="preserve">AHG14: </w:t>
            </w:r>
            <w:r w:rsidR="00B874B2" w:rsidRPr="00100A8E">
              <w:rPr>
                <w:b/>
                <w:szCs w:val="22"/>
                <w:lang w:val="en-US"/>
              </w:rPr>
              <w:t>Evaluation</w:t>
            </w:r>
            <w:r w:rsidR="00C25E9E" w:rsidRPr="00100A8E">
              <w:rPr>
                <w:b/>
                <w:szCs w:val="22"/>
                <w:lang w:val="en-US"/>
              </w:rPr>
              <w:t xml:space="preserve"> of SDR quality from </w:t>
            </w:r>
            <w:r w:rsidR="00B874B2" w:rsidRPr="00100A8E">
              <w:rPr>
                <w:b/>
                <w:szCs w:val="22"/>
                <w:lang w:val="en-US"/>
              </w:rPr>
              <w:t xml:space="preserve">backward compatible </w:t>
            </w:r>
            <w:r w:rsidR="00C25E9E" w:rsidRPr="00100A8E">
              <w:rPr>
                <w:b/>
                <w:szCs w:val="22"/>
                <w:lang w:val="en-US"/>
              </w:rPr>
              <w:t xml:space="preserve">HDR video technologies </w:t>
            </w:r>
          </w:p>
        </w:tc>
      </w:tr>
      <w:tr w:rsidR="007B6848" w:rsidRPr="00100A8E" w14:paraId="5F0A4290" w14:textId="77777777" w:rsidTr="005504A7">
        <w:tc>
          <w:tcPr>
            <w:tcW w:w="1458" w:type="dxa"/>
          </w:tcPr>
          <w:p w14:paraId="0DDBE39A" w14:textId="77777777" w:rsidR="007B6848" w:rsidRPr="00100A8E" w:rsidRDefault="007B6848" w:rsidP="005504A7">
            <w:pPr>
              <w:spacing w:before="60" w:after="60"/>
              <w:rPr>
                <w:i/>
                <w:szCs w:val="22"/>
                <w:lang w:val="en-US"/>
              </w:rPr>
            </w:pPr>
            <w:r w:rsidRPr="00100A8E">
              <w:rPr>
                <w:i/>
                <w:szCs w:val="22"/>
                <w:lang w:val="en-US"/>
              </w:rPr>
              <w:t>Status:</w:t>
            </w:r>
          </w:p>
        </w:tc>
        <w:tc>
          <w:tcPr>
            <w:tcW w:w="8118" w:type="dxa"/>
            <w:gridSpan w:val="3"/>
          </w:tcPr>
          <w:p w14:paraId="47B7537A" w14:textId="5020469D" w:rsidR="007B6848" w:rsidRPr="00100A8E" w:rsidRDefault="00C25E9E" w:rsidP="005504A7">
            <w:pPr>
              <w:spacing w:before="60" w:after="60"/>
              <w:rPr>
                <w:szCs w:val="22"/>
                <w:lang w:val="en-US"/>
              </w:rPr>
            </w:pPr>
            <w:r w:rsidRPr="00100A8E">
              <w:rPr>
                <w:szCs w:val="22"/>
                <w:lang w:val="en-US"/>
              </w:rPr>
              <w:t>Input Document to JCT-VC</w:t>
            </w:r>
          </w:p>
        </w:tc>
      </w:tr>
      <w:tr w:rsidR="007B6848" w:rsidRPr="00100A8E" w14:paraId="51181F8F" w14:textId="77777777" w:rsidTr="005504A7">
        <w:tc>
          <w:tcPr>
            <w:tcW w:w="1458" w:type="dxa"/>
          </w:tcPr>
          <w:p w14:paraId="27A886F3" w14:textId="77777777" w:rsidR="007B6848" w:rsidRPr="00100A8E" w:rsidRDefault="007B6848" w:rsidP="005504A7">
            <w:pPr>
              <w:spacing w:before="60" w:after="60"/>
              <w:rPr>
                <w:i/>
                <w:szCs w:val="22"/>
                <w:lang w:val="en-US"/>
              </w:rPr>
            </w:pPr>
            <w:r w:rsidRPr="00100A8E">
              <w:rPr>
                <w:i/>
                <w:szCs w:val="22"/>
                <w:lang w:val="en-US"/>
              </w:rPr>
              <w:t>Purpose:</w:t>
            </w:r>
          </w:p>
        </w:tc>
        <w:tc>
          <w:tcPr>
            <w:tcW w:w="8118" w:type="dxa"/>
            <w:gridSpan w:val="3"/>
          </w:tcPr>
          <w:p w14:paraId="074DDCB1" w14:textId="58676DFB" w:rsidR="007B6848" w:rsidRPr="00100A8E" w:rsidRDefault="00C25E9E" w:rsidP="005504A7">
            <w:pPr>
              <w:spacing w:before="60" w:after="60"/>
              <w:rPr>
                <w:szCs w:val="22"/>
                <w:lang w:val="en-US"/>
              </w:rPr>
            </w:pPr>
            <w:r w:rsidRPr="00100A8E">
              <w:rPr>
                <w:lang w:val="en-US"/>
              </w:rPr>
              <w:t>Information</w:t>
            </w:r>
          </w:p>
        </w:tc>
      </w:tr>
      <w:tr w:rsidR="007B6848" w:rsidRPr="00100A8E" w14:paraId="678F6100" w14:textId="77777777" w:rsidTr="005504A7">
        <w:tc>
          <w:tcPr>
            <w:tcW w:w="1458" w:type="dxa"/>
          </w:tcPr>
          <w:p w14:paraId="257F7FB3" w14:textId="77777777" w:rsidR="007B6848" w:rsidRPr="00100A8E" w:rsidRDefault="007B6848" w:rsidP="005504A7">
            <w:pPr>
              <w:spacing w:before="60" w:after="60"/>
              <w:rPr>
                <w:i/>
                <w:szCs w:val="22"/>
                <w:lang w:val="en-US"/>
              </w:rPr>
            </w:pPr>
            <w:r w:rsidRPr="00100A8E">
              <w:rPr>
                <w:i/>
                <w:szCs w:val="22"/>
                <w:lang w:val="en-US"/>
              </w:rPr>
              <w:t>Author(s) or</w:t>
            </w:r>
            <w:r w:rsidRPr="00100A8E">
              <w:rPr>
                <w:i/>
                <w:szCs w:val="22"/>
                <w:lang w:val="en-US"/>
              </w:rPr>
              <w:br/>
              <w:t>Contact(s):</w:t>
            </w:r>
          </w:p>
        </w:tc>
        <w:tc>
          <w:tcPr>
            <w:tcW w:w="3895" w:type="dxa"/>
          </w:tcPr>
          <w:p w14:paraId="2752CC32" w14:textId="6C8F4B7E" w:rsidR="007B6848" w:rsidRPr="00100A8E" w:rsidRDefault="007B6848" w:rsidP="005504A7">
            <w:pPr>
              <w:spacing w:before="60" w:after="60"/>
              <w:rPr>
                <w:szCs w:val="22"/>
                <w:lang w:val="en-US"/>
              </w:rPr>
            </w:pPr>
            <w:r w:rsidRPr="00100A8E">
              <w:rPr>
                <w:szCs w:val="22"/>
                <w:lang w:val="en-US"/>
              </w:rPr>
              <w:t>Edouard François</w:t>
            </w:r>
            <w:r w:rsidRPr="00100A8E">
              <w:rPr>
                <w:szCs w:val="22"/>
                <w:lang w:val="en-US"/>
              </w:rPr>
              <w:br/>
            </w:r>
            <w:r w:rsidR="00C25E9E" w:rsidRPr="00100A8E">
              <w:rPr>
                <w:szCs w:val="22"/>
                <w:lang w:val="en-US"/>
              </w:rPr>
              <w:t>Franck Hiron</w:t>
            </w:r>
            <w:r w:rsidRPr="00100A8E">
              <w:rPr>
                <w:szCs w:val="22"/>
                <w:lang w:val="en-US"/>
              </w:rPr>
              <w:br/>
            </w:r>
            <w:r w:rsidR="00C25E9E" w:rsidRPr="00100A8E">
              <w:rPr>
                <w:szCs w:val="22"/>
                <w:lang w:val="en-US"/>
              </w:rPr>
              <w:t>Christophe Chevance (Technicolor)</w:t>
            </w:r>
          </w:p>
        </w:tc>
        <w:tc>
          <w:tcPr>
            <w:tcW w:w="851" w:type="dxa"/>
          </w:tcPr>
          <w:p w14:paraId="2E706FA9" w14:textId="77777777" w:rsidR="007B6848" w:rsidRPr="00100A8E" w:rsidRDefault="007B6848" w:rsidP="005504A7">
            <w:pPr>
              <w:spacing w:before="60" w:after="60"/>
              <w:rPr>
                <w:szCs w:val="22"/>
                <w:lang w:val="en-US"/>
              </w:rPr>
            </w:pPr>
            <w:r w:rsidRPr="00100A8E">
              <w:rPr>
                <w:szCs w:val="22"/>
                <w:lang w:val="en-US"/>
              </w:rPr>
              <w:t>Email:</w:t>
            </w:r>
          </w:p>
        </w:tc>
        <w:tc>
          <w:tcPr>
            <w:tcW w:w="3372" w:type="dxa"/>
          </w:tcPr>
          <w:p w14:paraId="2A78638A" w14:textId="204D0BCF" w:rsidR="007B6848" w:rsidRPr="00100A8E" w:rsidRDefault="00D04BE9" w:rsidP="005504A7">
            <w:pPr>
              <w:spacing w:before="60" w:after="60"/>
              <w:rPr>
                <w:szCs w:val="22"/>
                <w:lang w:val="en-US"/>
              </w:rPr>
            </w:pPr>
            <w:hyperlink r:id="rId8" w:history="1">
              <w:r w:rsidR="007B6848" w:rsidRPr="00100A8E">
                <w:rPr>
                  <w:rStyle w:val="Hyperlink"/>
                  <w:szCs w:val="22"/>
                  <w:lang w:val="en-US"/>
                </w:rPr>
                <w:t>edouard.francois@technicolor.com</w:t>
              </w:r>
            </w:hyperlink>
            <w:r w:rsidR="007B6848" w:rsidRPr="00100A8E">
              <w:rPr>
                <w:rStyle w:val="Hyperlink"/>
                <w:szCs w:val="22"/>
                <w:lang w:val="en-US"/>
              </w:rPr>
              <w:br/>
            </w:r>
            <w:hyperlink r:id="rId9" w:history="1">
              <w:r w:rsidR="00C25E9E" w:rsidRPr="00100A8E">
                <w:rPr>
                  <w:rStyle w:val="Hyperlink"/>
                  <w:szCs w:val="22"/>
                  <w:lang w:val="en-US"/>
                </w:rPr>
                <w:t>franck.hiron@technicolor.com</w:t>
              </w:r>
            </w:hyperlink>
            <w:r w:rsidR="007B6848" w:rsidRPr="00100A8E">
              <w:rPr>
                <w:rStyle w:val="Hyperlink"/>
                <w:szCs w:val="22"/>
                <w:lang w:val="en-US"/>
              </w:rPr>
              <w:br/>
            </w:r>
            <w:hyperlink r:id="rId10" w:history="1">
              <w:r w:rsidR="00C25E9E" w:rsidRPr="00100A8E">
                <w:rPr>
                  <w:rStyle w:val="Hyperlink"/>
                  <w:szCs w:val="22"/>
                  <w:lang w:val="en-US"/>
                </w:rPr>
                <w:t>christophe.chevance@technicolor.com</w:t>
              </w:r>
            </w:hyperlink>
          </w:p>
        </w:tc>
      </w:tr>
      <w:tr w:rsidR="007B6848" w:rsidRPr="00100A8E" w14:paraId="232AED5C" w14:textId="77777777" w:rsidTr="005504A7">
        <w:tc>
          <w:tcPr>
            <w:tcW w:w="1458" w:type="dxa"/>
          </w:tcPr>
          <w:p w14:paraId="02891BDD" w14:textId="77777777" w:rsidR="007B6848" w:rsidRPr="00100A8E" w:rsidRDefault="007B6848" w:rsidP="005504A7">
            <w:pPr>
              <w:spacing w:before="60" w:after="60"/>
              <w:rPr>
                <w:i/>
                <w:szCs w:val="22"/>
                <w:lang w:val="en-US"/>
              </w:rPr>
            </w:pPr>
            <w:r w:rsidRPr="00100A8E">
              <w:rPr>
                <w:i/>
                <w:szCs w:val="22"/>
                <w:lang w:val="en-US"/>
              </w:rPr>
              <w:t>Source:</w:t>
            </w:r>
          </w:p>
        </w:tc>
        <w:tc>
          <w:tcPr>
            <w:tcW w:w="8118" w:type="dxa"/>
            <w:gridSpan w:val="3"/>
          </w:tcPr>
          <w:p w14:paraId="60FE9F1C" w14:textId="57C25AC8" w:rsidR="007B6848" w:rsidRPr="00100A8E" w:rsidRDefault="00A464EA" w:rsidP="005504A7">
            <w:pPr>
              <w:spacing w:before="60" w:after="60"/>
              <w:rPr>
                <w:szCs w:val="22"/>
                <w:lang w:val="en-US"/>
              </w:rPr>
            </w:pPr>
            <w:r w:rsidRPr="00100A8E">
              <w:rPr>
                <w:szCs w:val="22"/>
                <w:lang w:val="en-US"/>
              </w:rPr>
              <w:t>JCT-VC</w:t>
            </w:r>
          </w:p>
        </w:tc>
      </w:tr>
    </w:tbl>
    <w:p w14:paraId="40E0BA63" w14:textId="77777777" w:rsidR="007B6848" w:rsidRPr="00100A8E" w:rsidRDefault="007B6848" w:rsidP="007B6848">
      <w:pPr>
        <w:tabs>
          <w:tab w:val="left" w:pos="1800"/>
          <w:tab w:val="right" w:pos="9360"/>
        </w:tabs>
        <w:spacing w:before="120" w:after="240"/>
        <w:jc w:val="center"/>
        <w:rPr>
          <w:szCs w:val="22"/>
          <w:lang w:val="en-US"/>
        </w:rPr>
      </w:pPr>
      <w:r w:rsidRPr="00100A8E">
        <w:rPr>
          <w:szCs w:val="22"/>
          <w:u w:val="single"/>
          <w:lang w:val="en-US"/>
        </w:rPr>
        <w:t>_____________________________</w:t>
      </w:r>
    </w:p>
    <w:p w14:paraId="085B4B40" w14:textId="77777777" w:rsidR="007B6848" w:rsidRPr="00100A8E" w:rsidRDefault="007B6848" w:rsidP="007B6848">
      <w:pPr>
        <w:pStyle w:val="Heading1"/>
        <w:numPr>
          <w:ilvl w:val="0"/>
          <w:numId w:val="0"/>
        </w:numPr>
        <w:ind w:left="432" w:hanging="432"/>
        <w:rPr>
          <w:rFonts w:cs="Times New Roman"/>
          <w:lang w:val="en-US"/>
        </w:rPr>
      </w:pPr>
      <w:bookmarkStart w:id="1" w:name="_Toc452455845"/>
      <w:bookmarkStart w:id="2" w:name="_Toc454454583"/>
      <w:bookmarkStart w:id="3" w:name="_Toc467226071"/>
      <w:r w:rsidRPr="00100A8E">
        <w:rPr>
          <w:rFonts w:cs="Times New Roman"/>
          <w:lang w:val="en-US"/>
        </w:rPr>
        <w:t>Abstract</w:t>
      </w:r>
      <w:bookmarkEnd w:id="1"/>
      <w:bookmarkEnd w:id="2"/>
      <w:bookmarkEnd w:id="3"/>
    </w:p>
    <w:p w14:paraId="491724DA" w14:textId="46811970" w:rsidR="00A83E8A" w:rsidRDefault="00342719" w:rsidP="00C113BF">
      <w:pPr>
        <w:rPr>
          <w:lang w:val="en-US"/>
        </w:rPr>
      </w:pPr>
      <w:r w:rsidRPr="00100A8E">
        <w:rPr>
          <w:lang w:val="en-US"/>
        </w:rPr>
        <w:t xml:space="preserve">This document is a </w:t>
      </w:r>
      <w:r w:rsidR="00C25E9E" w:rsidRPr="00100A8E">
        <w:rPr>
          <w:lang w:val="en-US"/>
        </w:rPr>
        <w:t xml:space="preserve">report of </w:t>
      </w:r>
      <w:r w:rsidR="00A83E8A" w:rsidRPr="00100A8E">
        <w:rPr>
          <w:lang w:val="en-US"/>
        </w:rPr>
        <w:t xml:space="preserve">evaluation tests </w:t>
      </w:r>
      <w:r w:rsidR="00C25E9E" w:rsidRPr="00100A8E">
        <w:rPr>
          <w:lang w:val="en-US"/>
        </w:rPr>
        <w:t xml:space="preserve">performed by Technicolor </w:t>
      </w:r>
      <w:r w:rsidR="00A83E8A" w:rsidRPr="00100A8E">
        <w:rPr>
          <w:lang w:val="en-US"/>
        </w:rPr>
        <w:t xml:space="preserve">on the SDR quality </w:t>
      </w:r>
      <w:r w:rsidR="00D224B8" w:rsidRPr="00100A8E">
        <w:rPr>
          <w:lang w:val="en-US"/>
        </w:rPr>
        <w:t>from</w:t>
      </w:r>
      <w:r w:rsidR="00A83E8A" w:rsidRPr="00100A8E">
        <w:rPr>
          <w:lang w:val="en-US"/>
        </w:rPr>
        <w:t xml:space="preserve"> various </w:t>
      </w:r>
      <w:r w:rsidR="00C57094" w:rsidRPr="00100A8E">
        <w:rPr>
          <w:lang w:val="en-US"/>
        </w:rPr>
        <w:t xml:space="preserve">bitstream SDR backward compatible </w:t>
      </w:r>
      <w:r w:rsidR="00A83E8A" w:rsidRPr="00100A8E">
        <w:rPr>
          <w:lang w:val="en-US"/>
        </w:rPr>
        <w:t xml:space="preserve">technologies described in the draft Technical Report </w:t>
      </w:r>
      <w:r w:rsidR="007F077C" w:rsidRPr="00100A8E">
        <w:rPr>
          <w:lang w:val="en-US"/>
        </w:rPr>
        <w:t>on Signalling, Backward Compatibility and Display Adapt</w:t>
      </w:r>
      <w:r w:rsidR="00A83E8A" w:rsidRPr="00100A8E">
        <w:rPr>
          <w:lang w:val="en-US"/>
        </w:rPr>
        <w:t xml:space="preserve">ation for HDR/WCG Video Coding (JCTVC document </w:t>
      </w:r>
      <w:r w:rsidRPr="00100A8E">
        <w:rPr>
          <w:lang w:val="en-US"/>
        </w:rPr>
        <w:t>JCTVC-Y1012</w:t>
      </w:r>
      <w:r w:rsidR="00A83E8A" w:rsidRPr="00100A8E">
        <w:rPr>
          <w:lang w:val="en-US"/>
        </w:rPr>
        <w:t>).</w:t>
      </w:r>
      <w:r w:rsidR="00C57094" w:rsidRPr="00100A8E">
        <w:rPr>
          <w:lang w:val="en-US"/>
        </w:rPr>
        <w:t xml:space="preserve"> </w:t>
      </w:r>
      <w:r w:rsidR="006E021B">
        <w:rPr>
          <w:lang w:val="en-US"/>
        </w:rPr>
        <w:t xml:space="preserve">The tests have consisted in assessing the conformity of the SDR rendering, in terms of color and texture, </w:t>
      </w:r>
      <w:r w:rsidR="001B07E2">
        <w:rPr>
          <w:lang w:val="en-US"/>
        </w:rPr>
        <w:t>comparatively</w:t>
      </w:r>
      <w:r w:rsidR="006E021B">
        <w:rPr>
          <w:lang w:val="en-US"/>
        </w:rPr>
        <w:t xml:space="preserve"> to the HDR rendering.</w:t>
      </w:r>
    </w:p>
    <w:p w14:paraId="0E7068D4" w14:textId="22EEE719" w:rsidR="007B6848" w:rsidRPr="00100A8E" w:rsidRDefault="00A83E8A" w:rsidP="007B6848">
      <w:pPr>
        <w:pStyle w:val="Heading1"/>
        <w:rPr>
          <w:lang w:val="en-US"/>
        </w:rPr>
      </w:pPr>
      <w:bookmarkStart w:id="4" w:name="_Toc467225393"/>
      <w:bookmarkStart w:id="5" w:name="_Toc467226072"/>
      <w:bookmarkStart w:id="6" w:name="_Toc467225394"/>
      <w:bookmarkStart w:id="7" w:name="_Toc467226073"/>
      <w:bookmarkEnd w:id="4"/>
      <w:bookmarkEnd w:id="5"/>
      <w:bookmarkEnd w:id="6"/>
      <w:bookmarkEnd w:id="7"/>
      <w:r w:rsidRPr="00100A8E">
        <w:rPr>
          <w:lang w:val="en-US"/>
        </w:rPr>
        <w:t>Introduction</w:t>
      </w:r>
    </w:p>
    <w:p w14:paraId="5DA7E316" w14:textId="441F328B" w:rsidR="00100A8E" w:rsidRDefault="00C57094" w:rsidP="007B6848">
      <w:pPr>
        <w:rPr>
          <w:rFonts w:eastAsia="SimSun"/>
          <w:lang w:val="en-US"/>
        </w:rPr>
      </w:pPr>
      <w:r w:rsidRPr="00100A8E">
        <w:rPr>
          <w:lang w:val="en-US"/>
        </w:rPr>
        <w:t>In the draft Technical Report</w:t>
      </w:r>
      <w:r w:rsidR="00676F6E" w:rsidRPr="00100A8E">
        <w:rPr>
          <w:lang w:val="en-US"/>
        </w:rPr>
        <w:t xml:space="preserve"> (TR)</w:t>
      </w:r>
      <w:r w:rsidRPr="00100A8E">
        <w:rPr>
          <w:lang w:val="en-US"/>
        </w:rPr>
        <w:t xml:space="preserve"> on Signalling, Backward Compatibility and Display Adaptation for HDR/WCG Video Coding (JCTVC document JCTVC-Y1012</w:t>
      </w:r>
      <w:r w:rsidR="000D6C4C">
        <w:rPr>
          <w:lang w:val="en-US"/>
        </w:rPr>
        <w:t xml:space="preserve"> </w:t>
      </w:r>
      <w:r w:rsidR="000D6C4C">
        <w:rPr>
          <w:lang w:val="en-US"/>
        </w:rPr>
        <w:fldChar w:fldCharType="begin"/>
      </w:r>
      <w:r w:rsidR="000D6C4C">
        <w:rPr>
          <w:lang w:val="en-US"/>
        </w:rPr>
        <w:instrText xml:space="preserve"> REF _Ref470939622 \r \h </w:instrText>
      </w:r>
      <w:r w:rsidR="000D6C4C">
        <w:rPr>
          <w:lang w:val="en-US"/>
        </w:rPr>
      </w:r>
      <w:r w:rsidR="000D6C4C">
        <w:rPr>
          <w:lang w:val="en-US"/>
        </w:rPr>
        <w:fldChar w:fldCharType="separate"/>
      </w:r>
      <w:r w:rsidR="000D6C4C">
        <w:rPr>
          <w:lang w:val="en-US"/>
        </w:rPr>
        <w:t>[1]</w:t>
      </w:r>
      <w:r w:rsidR="000D6C4C">
        <w:rPr>
          <w:lang w:val="en-US"/>
        </w:rPr>
        <w:fldChar w:fldCharType="end"/>
      </w:r>
      <w:r w:rsidRPr="00100A8E">
        <w:rPr>
          <w:lang w:val="en-US"/>
        </w:rPr>
        <w:t xml:space="preserve">), a number of technologies </w:t>
      </w:r>
      <w:r w:rsidR="00676F6E" w:rsidRPr="00100A8E">
        <w:rPr>
          <w:lang w:val="en-US"/>
        </w:rPr>
        <w:t>enabling the</w:t>
      </w:r>
      <w:r w:rsidRPr="00100A8E">
        <w:rPr>
          <w:lang w:val="en-US"/>
        </w:rPr>
        <w:t xml:space="preserve"> bitstream SDR backward compatibility are reviewed. </w:t>
      </w:r>
      <w:r w:rsidR="00676F6E" w:rsidRPr="00100A8E">
        <w:rPr>
          <w:rFonts w:eastAsia="SimSun"/>
          <w:lang w:val="en-US"/>
        </w:rPr>
        <w:t>In HDR/WCG distribution systems that support bitstream SDR backward compatibility, the decoded video signal from a standard-compliant decoder can be directly displayed on an SDR-capable display without adaptation. Different technologies are mentioned in the TR</w:t>
      </w:r>
      <w:r w:rsidR="00100A8E">
        <w:rPr>
          <w:rFonts w:eastAsia="SimSun"/>
          <w:lang w:val="en-US"/>
        </w:rPr>
        <w:t>. The first solution is the</w:t>
      </w:r>
      <w:r w:rsidR="00676F6E" w:rsidRPr="00100A8E">
        <w:rPr>
          <w:rFonts w:eastAsia="SimSun"/>
          <w:lang w:val="en-US"/>
        </w:rPr>
        <w:t xml:space="preserve"> HLG, a fixed transfer function</w:t>
      </w:r>
      <w:r w:rsidR="00100A8E" w:rsidRPr="00100A8E">
        <w:rPr>
          <w:rFonts w:eastAsia="SimSun"/>
          <w:lang w:val="en-US"/>
        </w:rPr>
        <w:t xml:space="preserve"> </w:t>
      </w:r>
      <w:r w:rsidR="00100A8E">
        <w:rPr>
          <w:rFonts w:eastAsia="SimSun"/>
          <w:lang w:val="en-US"/>
        </w:rPr>
        <w:t xml:space="preserve">applying </w:t>
      </w:r>
      <w:r w:rsidR="00100A8E" w:rsidRPr="00100A8E">
        <w:rPr>
          <w:rFonts w:eastAsia="SimSun"/>
          <w:lang w:val="en-US"/>
        </w:rPr>
        <w:t>to a</w:t>
      </w:r>
      <w:r w:rsidR="00100A8E">
        <w:rPr>
          <w:rFonts w:eastAsia="SimSun"/>
          <w:lang w:val="en-US"/>
        </w:rPr>
        <w:t xml:space="preserve">n </w:t>
      </w:r>
      <w:r w:rsidR="00100A8E" w:rsidRPr="00100A8E">
        <w:rPr>
          <w:rFonts w:eastAsia="SimSun"/>
          <w:lang w:val="en-US"/>
        </w:rPr>
        <w:t xml:space="preserve">input scene-referred signal (when the input HDR signal is display-referred, </w:t>
      </w:r>
      <w:r w:rsidR="00100A8E">
        <w:rPr>
          <w:rFonts w:eastAsia="SimSun"/>
          <w:lang w:val="en-US"/>
        </w:rPr>
        <w:t>a pre-process depending on the mastering display peak luminance is applied</w:t>
      </w:r>
      <w:r w:rsidR="00676F6E" w:rsidRPr="00100A8E">
        <w:rPr>
          <w:rFonts w:eastAsia="SimSun"/>
          <w:lang w:val="en-US"/>
        </w:rPr>
        <w:t>)</w:t>
      </w:r>
      <w:r w:rsidR="00100A8E">
        <w:rPr>
          <w:rFonts w:eastAsia="SimSun"/>
          <w:lang w:val="en-US"/>
        </w:rPr>
        <w:t>. The other set of solutions is based on the usage of content-dependent dynamic metadata, conveyed using the</w:t>
      </w:r>
      <w:r w:rsidR="00676F6E" w:rsidRPr="00100A8E">
        <w:rPr>
          <w:rFonts w:eastAsia="SimSun"/>
          <w:lang w:val="en-US"/>
        </w:rPr>
        <w:t xml:space="preserve"> CRI SEI message, </w:t>
      </w:r>
      <w:r w:rsidR="00100A8E">
        <w:rPr>
          <w:rFonts w:eastAsia="SimSun"/>
          <w:lang w:val="en-US"/>
        </w:rPr>
        <w:t xml:space="preserve">the </w:t>
      </w:r>
      <w:r w:rsidR="00676F6E" w:rsidRPr="00100A8E">
        <w:rPr>
          <w:rFonts w:eastAsia="SimSun"/>
          <w:lang w:val="en-US"/>
        </w:rPr>
        <w:t>TMI SEI message</w:t>
      </w:r>
      <w:r w:rsidR="00100A8E">
        <w:rPr>
          <w:rFonts w:eastAsia="SimSun"/>
          <w:lang w:val="en-US"/>
        </w:rPr>
        <w:t xml:space="preserve">, or a </w:t>
      </w:r>
      <w:r w:rsidR="00100A8E" w:rsidRPr="008467B6">
        <w:t xml:space="preserve">user-data registered </w:t>
      </w:r>
      <w:r w:rsidR="00100A8E">
        <w:rPr>
          <w:rFonts w:eastAsia="SimSun"/>
          <w:lang w:val="en-US"/>
        </w:rPr>
        <w:t>SEI message in</w:t>
      </w:r>
      <w:r w:rsidR="00676F6E" w:rsidRPr="00100A8E">
        <w:rPr>
          <w:rFonts w:eastAsia="SimSun"/>
          <w:lang w:val="en-US"/>
        </w:rPr>
        <w:t xml:space="preserve"> ETSI TS 103 433</w:t>
      </w:r>
      <w:r w:rsidR="000D6C4C">
        <w:rPr>
          <w:rFonts w:eastAsia="SimSun"/>
          <w:lang w:val="en-US"/>
        </w:rPr>
        <w:t xml:space="preserve"> </w:t>
      </w:r>
      <w:r w:rsidR="000D6C4C">
        <w:rPr>
          <w:rFonts w:eastAsia="SimSun"/>
          <w:lang w:val="en-US"/>
        </w:rPr>
        <w:fldChar w:fldCharType="begin"/>
      </w:r>
      <w:r w:rsidR="000D6C4C">
        <w:rPr>
          <w:rFonts w:eastAsia="SimSun"/>
          <w:lang w:val="en-US"/>
        </w:rPr>
        <w:instrText xml:space="preserve"> REF _Ref470939637 \r \h </w:instrText>
      </w:r>
      <w:r w:rsidR="000D6C4C">
        <w:rPr>
          <w:rFonts w:eastAsia="SimSun"/>
          <w:lang w:val="en-US"/>
        </w:rPr>
      </w:r>
      <w:r w:rsidR="000D6C4C">
        <w:rPr>
          <w:rFonts w:eastAsia="SimSun"/>
          <w:lang w:val="en-US"/>
        </w:rPr>
        <w:fldChar w:fldCharType="separate"/>
      </w:r>
      <w:r w:rsidR="000D6C4C">
        <w:rPr>
          <w:rFonts w:eastAsia="SimSun"/>
          <w:lang w:val="en-US"/>
        </w:rPr>
        <w:t>[2]</w:t>
      </w:r>
      <w:r w:rsidR="000D6C4C">
        <w:rPr>
          <w:rFonts w:eastAsia="SimSun"/>
          <w:lang w:val="en-US"/>
        </w:rPr>
        <w:fldChar w:fldCharType="end"/>
      </w:r>
      <w:r w:rsidR="00527D1E">
        <w:rPr>
          <w:rFonts w:eastAsia="SimSun"/>
          <w:lang w:val="en-US"/>
        </w:rPr>
        <w:t xml:space="preserve"> (a.k.a. SL-HDR1)</w:t>
      </w:r>
      <w:r w:rsidR="00100A8E">
        <w:rPr>
          <w:rFonts w:eastAsia="SimSun"/>
          <w:lang w:val="en-US"/>
        </w:rPr>
        <w:t>.</w:t>
      </w:r>
    </w:p>
    <w:p w14:paraId="5585EBA6" w14:textId="0ABF45BD" w:rsidR="00527D1E" w:rsidRDefault="00527D1E" w:rsidP="00527D1E">
      <w:pPr>
        <w:rPr>
          <w:noProof/>
        </w:rPr>
      </w:pPr>
      <w:bookmarkStart w:id="8" w:name="_Toc454454596"/>
      <w:bookmarkStart w:id="9" w:name="_Toc467226105"/>
      <w:bookmarkStart w:id="10" w:name="_Ref452426747"/>
      <w:bookmarkStart w:id="11" w:name="_Toc452455852"/>
      <w:r>
        <w:rPr>
          <w:noProof/>
        </w:rPr>
        <w:t>This document reports results of visual evaluation tests made by Technicolor to evaluate the quality of the SDR video generated from the HDR content generated from these different SDR backward compatible solutions.</w:t>
      </w:r>
      <w:r w:rsidR="00481C51">
        <w:rPr>
          <w:noProof/>
        </w:rPr>
        <w:t xml:space="preserve"> The tests have been done in uncompressed domain and only aimed at checking the SDR quality resulting from the conversion of input HDR content represented in 4:4:4 RGB linear-light to a 4:2:0 Y’CbCr 10-bits signal.</w:t>
      </w:r>
      <w:r w:rsidR="006E021B">
        <w:rPr>
          <w:noProof/>
        </w:rPr>
        <w:t xml:space="preserve"> </w:t>
      </w:r>
      <w:r w:rsidR="001B07E2">
        <w:rPr>
          <w:noProof/>
        </w:rPr>
        <w:t xml:space="preserve"> The goal is to assess how much conform are the SDR versions generated by the different tested SDR backward compatible solutions, to the HDR version. The assessment is primarily focused on the color and texture rendering, not on the brightness that, obviously, may significantly differ between the HDR and the SDR versions.</w:t>
      </w:r>
    </w:p>
    <w:p w14:paraId="4778FEAB" w14:textId="7ABBBBE3" w:rsidR="00481C51" w:rsidRDefault="00481C51" w:rsidP="00481C51">
      <w:pPr>
        <w:pStyle w:val="Heading1"/>
        <w:rPr>
          <w:lang w:val="en-US"/>
        </w:rPr>
      </w:pPr>
      <w:bookmarkStart w:id="12" w:name="_Ref457303399"/>
      <w:bookmarkStart w:id="13" w:name="_Toc457308304"/>
      <w:bookmarkEnd w:id="8"/>
      <w:bookmarkEnd w:id="9"/>
      <w:r>
        <w:rPr>
          <w:noProof/>
        </w:rPr>
        <w:t>Test content</w:t>
      </w:r>
      <w:bookmarkEnd w:id="12"/>
      <w:bookmarkEnd w:id="13"/>
      <w:r w:rsidRPr="00100A8E">
        <w:rPr>
          <w:lang w:val="en-US"/>
        </w:rPr>
        <w:t xml:space="preserve"> </w:t>
      </w:r>
    </w:p>
    <w:p w14:paraId="16F01EBB" w14:textId="77777777" w:rsidR="000418E9" w:rsidRDefault="00481C51" w:rsidP="00481C51">
      <w:r>
        <w:t>Different sequences with various peak luminance, from 1000 to 5000 cd/m</w:t>
      </w:r>
      <w:r w:rsidRPr="00481C51">
        <w:rPr>
          <w:vertAlign w:val="superscript"/>
        </w:rPr>
        <w:t>2</w:t>
      </w:r>
      <w:r>
        <w:t>, have been used</w:t>
      </w:r>
      <w:r w:rsidRPr="00FD4460">
        <w:t>.</w:t>
      </w:r>
      <w:r>
        <w:t xml:space="preserve"> </w:t>
      </w:r>
      <w:r w:rsidR="00BA33F2">
        <w:t>T</w:t>
      </w:r>
      <w:r>
        <w:t xml:space="preserve">he content color gamut is </w:t>
      </w:r>
      <w:r w:rsidR="00BA33F2">
        <w:t xml:space="preserve">either </w:t>
      </w:r>
      <w:r>
        <w:t>BT.709</w:t>
      </w:r>
      <w:r w:rsidR="00BA33F2">
        <w:t xml:space="preserve"> or </w:t>
      </w:r>
      <w:r>
        <w:t xml:space="preserve">P3D65. All sequences are represented in BT.2020 color primaries container, and are represented in EXR RGB 4:4:4 linear-light half-float format. </w:t>
      </w:r>
    </w:p>
    <w:p w14:paraId="68513867" w14:textId="7070A139" w:rsidR="000418E9" w:rsidRDefault="000418E9" w:rsidP="00481C51">
      <w:r>
        <w:t xml:space="preserve">The sequences are considered as display-referred, as they do not result directly from the scene capture, but from a grading process on a grading monitor. </w:t>
      </w:r>
    </w:p>
    <w:p w14:paraId="5AB7A754" w14:textId="1A27C509" w:rsidR="00481C51" w:rsidRDefault="00481C51" w:rsidP="00481C51">
      <w:r>
        <w:t xml:space="preserve">The conversion and </w:t>
      </w:r>
      <w:r w:rsidR="001B6D0B">
        <w:t xml:space="preserve">inverse </w:t>
      </w:r>
      <w:r>
        <w:t xml:space="preserve">conversion </w:t>
      </w:r>
      <w:r w:rsidR="000418E9">
        <w:t>processes</w:t>
      </w:r>
      <w:r>
        <w:t xml:space="preserve">, for all tested solutions, </w:t>
      </w:r>
      <w:r w:rsidR="000418E9">
        <w:t>are</w:t>
      </w:r>
      <w:r>
        <w:t xml:space="preserve"> performed in BT.2020 color primaries container.</w:t>
      </w:r>
    </w:p>
    <w:p w14:paraId="529B2E76" w14:textId="142E0092" w:rsidR="00481C51" w:rsidRDefault="00481C51" w:rsidP="00481C51">
      <w:r>
        <w:t xml:space="preserve">The test sequences are listed in </w:t>
      </w:r>
      <w:r>
        <w:fldChar w:fldCharType="begin"/>
      </w:r>
      <w:r>
        <w:instrText xml:space="preserve"> REF _Ref457297772 \h </w:instrText>
      </w:r>
      <w:r>
        <w:fldChar w:fldCharType="separate"/>
      </w:r>
      <w:r w:rsidR="00952710">
        <w:t xml:space="preserve">Table </w:t>
      </w:r>
      <w:r w:rsidR="00952710">
        <w:rPr>
          <w:noProof/>
        </w:rPr>
        <w:t>1</w:t>
      </w:r>
      <w:r>
        <w:fldChar w:fldCharType="end"/>
      </w:r>
      <w:r>
        <w:t>, and illustrative snapshots are depicted in</w:t>
      </w:r>
      <w:r w:rsidR="00412AC2">
        <w:t xml:space="preserve"> </w:t>
      </w:r>
      <w:r w:rsidR="00412AC2">
        <w:fldChar w:fldCharType="begin"/>
      </w:r>
      <w:r w:rsidR="00412AC2">
        <w:instrText xml:space="preserve"> REF _Ref470859554 \h </w:instrText>
      </w:r>
      <w:r w:rsidR="00412AC2">
        <w:fldChar w:fldCharType="separate"/>
      </w:r>
      <w:r w:rsidR="00952710">
        <w:t xml:space="preserve">Figure </w:t>
      </w:r>
      <w:r w:rsidR="00952710">
        <w:rPr>
          <w:noProof/>
        </w:rPr>
        <w:t>1</w:t>
      </w:r>
      <w:r w:rsidR="00412AC2">
        <w:fldChar w:fldCharType="end"/>
      </w:r>
      <w:r w:rsidR="00412AC2">
        <w:t xml:space="preserve"> - </w:t>
      </w:r>
      <w:r w:rsidR="00412AC2">
        <w:fldChar w:fldCharType="begin"/>
      </w:r>
      <w:r w:rsidR="00412AC2">
        <w:instrText xml:space="preserve"> REF _Ref457312941 \h </w:instrText>
      </w:r>
      <w:r w:rsidR="00412AC2">
        <w:fldChar w:fldCharType="separate"/>
      </w:r>
      <w:r w:rsidR="00952710">
        <w:t xml:space="preserve">Figure </w:t>
      </w:r>
      <w:r w:rsidR="00952710">
        <w:rPr>
          <w:noProof/>
        </w:rPr>
        <w:t>5</w:t>
      </w:r>
      <w:r w:rsidR="00412AC2">
        <w:fldChar w:fldCharType="end"/>
      </w:r>
      <w:r>
        <w:t>.</w:t>
      </w:r>
    </w:p>
    <w:p w14:paraId="3CD7B071" w14:textId="00F1A412" w:rsidR="00481C51" w:rsidRDefault="00481C51" w:rsidP="00481C51">
      <w:pPr>
        <w:pStyle w:val="Caption"/>
      </w:pPr>
      <w:bookmarkStart w:id="14" w:name="_Ref457297772"/>
      <w:r>
        <w:t xml:space="preserve">Table </w:t>
      </w:r>
      <w:r>
        <w:fldChar w:fldCharType="begin"/>
      </w:r>
      <w:r>
        <w:instrText xml:space="preserve"> SEQ Table \* ARABIC </w:instrText>
      </w:r>
      <w:r>
        <w:fldChar w:fldCharType="separate"/>
      </w:r>
      <w:r w:rsidR="00952710">
        <w:rPr>
          <w:noProof/>
        </w:rPr>
        <w:t>1</w:t>
      </w:r>
      <w:r>
        <w:rPr>
          <w:noProof/>
        </w:rPr>
        <w:fldChar w:fldCharType="end"/>
      </w:r>
      <w:bookmarkEnd w:id="14"/>
      <w:r>
        <w:t>. Test sequences.</w:t>
      </w:r>
    </w:p>
    <w:tbl>
      <w:tblPr>
        <w:tblW w:w="39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13"/>
        <w:gridCol w:w="1954"/>
        <w:gridCol w:w="1174"/>
        <w:gridCol w:w="1375"/>
        <w:gridCol w:w="1375"/>
      </w:tblGrid>
      <w:tr w:rsidR="00BA4E8F" w:rsidRPr="000718B5" w14:paraId="7728440B" w14:textId="6FCFACF1" w:rsidTr="00BA4E8F">
        <w:trPr>
          <w:jc w:val="center"/>
        </w:trPr>
        <w:tc>
          <w:tcPr>
            <w:tcW w:w="2214" w:type="dxa"/>
          </w:tcPr>
          <w:p w14:paraId="340DC816" w14:textId="77777777" w:rsidR="00BA4E8F" w:rsidRPr="000718B5" w:rsidRDefault="00BA4E8F" w:rsidP="00BA4E8F">
            <w:pPr>
              <w:spacing w:before="0"/>
              <w:rPr>
                <w:b/>
                <w:bCs/>
                <w:lang w:val="en-GB"/>
              </w:rPr>
            </w:pPr>
            <w:r w:rsidRPr="000718B5">
              <w:rPr>
                <w:b/>
                <w:bCs/>
                <w:lang w:val="en-GB"/>
              </w:rPr>
              <w:t xml:space="preserve">Sequence </w:t>
            </w:r>
          </w:p>
        </w:tc>
        <w:tc>
          <w:tcPr>
            <w:tcW w:w="1954" w:type="dxa"/>
          </w:tcPr>
          <w:p w14:paraId="0FC1C165" w14:textId="77777777" w:rsidR="00BA4E8F" w:rsidRDefault="00BA4E8F" w:rsidP="00BA4E8F">
            <w:pPr>
              <w:spacing w:before="0"/>
              <w:jc w:val="center"/>
              <w:rPr>
                <w:b/>
                <w:lang w:val="en-GB"/>
              </w:rPr>
            </w:pPr>
            <w:r w:rsidRPr="000718B5">
              <w:rPr>
                <w:b/>
                <w:lang w:val="en-GB"/>
              </w:rPr>
              <w:t xml:space="preserve">Peak </w:t>
            </w:r>
          </w:p>
          <w:p w14:paraId="17250B86" w14:textId="50ADA9A9" w:rsidR="00BA4E8F" w:rsidRPr="000718B5" w:rsidRDefault="00BA4E8F" w:rsidP="00BA4E8F">
            <w:pPr>
              <w:spacing w:before="0"/>
              <w:jc w:val="center"/>
              <w:rPr>
                <w:b/>
                <w:lang w:val="en-GB"/>
              </w:rPr>
            </w:pPr>
            <w:r w:rsidRPr="000718B5">
              <w:rPr>
                <w:b/>
                <w:lang w:val="en-GB"/>
              </w:rPr>
              <w:t>Luminance</w:t>
            </w:r>
            <w:r>
              <w:rPr>
                <w:b/>
                <w:lang w:val="en-GB"/>
              </w:rPr>
              <w:t xml:space="preserve"> (cd/m</w:t>
            </w:r>
            <w:r w:rsidRPr="00BA33F2">
              <w:rPr>
                <w:b/>
                <w:vertAlign w:val="superscript"/>
                <w:lang w:val="en-GB"/>
              </w:rPr>
              <w:t>2</w:t>
            </w:r>
            <w:r>
              <w:rPr>
                <w:b/>
                <w:lang w:val="en-GB"/>
              </w:rPr>
              <w:t>)</w:t>
            </w:r>
          </w:p>
        </w:tc>
        <w:tc>
          <w:tcPr>
            <w:tcW w:w="1174" w:type="dxa"/>
          </w:tcPr>
          <w:p w14:paraId="0337C044" w14:textId="77777777" w:rsidR="00BA4E8F" w:rsidRDefault="00BA4E8F" w:rsidP="00BA4E8F">
            <w:pPr>
              <w:spacing w:before="0"/>
              <w:jc w:val="center"/>
              <w:rPr>
                <w:b/>
                <w:lang w:val="en-GB"/>
              </w:rPr>
            </w:pPr>
            <w:r w:rsidRPr="000718B5">
              <w:rPr>
                <w:b/>
                <w:lang w:val="en-GB"/>
              </w:rPr>
              <w:t xml:space="preserve">Content </w:t>
            </w:r>
          </w:p>
          <w:p w14:paraId="0CD7A71B" w14:textId="77777777" w:rsidR="00BA4E8F" w:rsidRPr="000718B5" w:rsidRDefault="00BA4E8F" w:rsidP="00BA4E8F">
            <w:pPr>
              <w:spacing w:before="0"/>
              <w:jc w:val="center"/>
              <w:rPr>
                <w:b/>
                <w:lang w:val="en-GB"/>
              </w:rPr>
            </w:pPr>
            <w:r w:rsidRPr="000718B5">
              <w:rPr>
                <w:b/>
                <w:lang w:val="en-GB"/>
              </w:rPr>
              <w:t>gamut</w:t>
            </w:r>
          </w:p>
        </w:tc>
        <w:tc>
          <w:tcPr>
            <w:tcW w:w="1375" w:type="dxa"/>
          </w:tcPr>
          <w:p w14:paraId="48326557" w14:textId="77777777" w:rsidR="00BA4E8F" w:rsidRDefault="00BA4E8F" w:rsidP="00BA4E8F">
            <w:pPr>
              <w:spacing w:before="0"/>
              <w:jc w:val="center"/>
              <w:rPr>
                <w:b/>
                <w:lang w:val="en-GB"/>
              </w:rPr>
            </w:pPr>
            <w:r w:rsidRPr="000718B5">
              <w:rPr>
                <w:b/>
                <w:lang w:val="en-GB"/>
              </w:rPr>
              <w:t xml:space="preserve">Container </w:t>
            </w:r>
          </w:p>
          <w:p w14:paraId="5066A3B8" w14:textId="77777777" w:rsidR="00BA4E8F" w:rsidRPr="000718B5" w:rsidRDefault="00BA4E8F" w:rsidP="00BA4E8F">
            <w:pPr>
              <w:spacing w:before="0"/>
              <w:jc w:val="center"/>
              <w:rPr>
                <w:b/>
                <w:lang w:val="en-GB"/>
              </w:rPr>
            </w:pPr>
            <w:r w:rsidRPr="000718B5">
              <w:rPr>
                <w:b/>
                <w:lang w:val="en-GB"/>
              </w:rPr>
              <w:t>gamut</w:t>
            </w:r>
          </w:p>
        </w:tc>
        <w:tc>
          <w:tcPr>
            <w:tcW w:w="1375" w:type="dxa"/>
          </w:tcPr>
          <w:p w14:paraId="0D2A9470" w14:textId="4BAE3087" w:rsidR="00BA4E8F" w:rsidRPr="000718B5" w:rsidRDefault="00BA4E8F" w:rsidP="00BA4E8F">
            <w:pPr>
              <w:spacing w:before="0"/>
              <w:jc w:val="center"/>
              <w:rPr>
                <w:b/>
                <w:lang w:val="en-GB"/>
              </w:rPr>
            </w:pPr>
            <w:r>
              <w:rPr>
                <w:b/>
                <w:lang w:val="en-GB"/>
              </w:rPr>
              <w:t>Native resolution</w:t>
            </w:r>
          </w:p>
        </w:tc>
      </w:tr>
      <w:tr w:rsidR="00BA4E8F" w:rsidRPr="000718B5" w14:paraId="68551932" w14:textId="358D3BF8" w:rsidTr="00BA4E8F">
        <w:trPr>
          <w:trHeight w:val="64"/>
          <w:jc w:val="center"/>
        </w:trPr>
        <w:tc>
          <w:tcPr>
            <w:tcW w:w="2214" w:type="dxa"/>
          </w:tcPr>
          <w:p w14:paraId="5555FD6B" w14:textId="77777777" w:rsidR="00BA4E8F" w:rsidRPr="000718B5" w:rsidRDefault="00BA4E8F" w:rsidP="00BA4E8F">
            <w:pPr>
              <w:spacing w:before="0"/>
              <w:rPr>
                <w:lang w:val="en-GB"/>
              </w:rPr>
            </w:pPr>
            <w:r>
              <w:rPr>
                <w:lang w:val="en-GB"/>
              </w:rPr>
              <w:t>Tch_Balloon</w:t>
            </w:r>
          </w:p>
        </w:tc>
        <w:tc>
          <w:tcPr>
            <w:tcW w:w="1954" w:type="dxa"/>
          </w:tcPr>
          <w:p w14:paraId="5EE7CCD5" w14:textId="77777777" w:rsidR="00BA4E8F" w:rsidRPr="000718B5" w:rsidRDefault="00BA4E8F" w:rsidP="00BA4E8F">
            <w:pPr>
              <w:spacing w:before="0"/>
              <w:jc w:val="center"/>
              <w:rPr>
                <w:lang w:val="en-GB"/>
              </w:rPr>
            </w:pPr>
            <w:r>
              <w:rPr>
                <w:lang w:val="en-GB"/>
              </w:rPr>
              <w:t>1000</w:t>
            </w:r>
          </w:p>
        </w:tc>
        <w:tc>
          <w:tcPr>
            <w:tcW w:w="1174" w:type="dxa"/>
          </w:tcPr>
          <w:p w14:paraId="7DA9F4D8" w14:textId="77777777" w:rsidR="00BA4E8F" w:rsidRPr="000718B5" w:rsidRDefault="00BA4E8F" w:rsidP="00BA4E8F">
            <w:pPr>
              <w:spacing w:before="0"/>
              <w:jc w:val="center"/>
              <w:rPr>
                <w:lang w:val="en-GB"/>
              </w:rPr>
            </w:pPr>
            <w:r>
              <w:rPr>
                <w:lang w:val="en-GB"/>
              </w:rPr>
              <w:t>709</w:t>
            </w:r>
          </w:p>
        </w:tc>
        <w:tc>
          <w:tcPr>
            <w:tcW w:w="1375" w:type="dxa"/>
          </w:tcPr>
          <w:p w14:paraId="7C231121" w14:textId="77777777" w:rsidR="00BA4E8F" w:rsidRPr="000718B5" w:rsidRDefault="00BA4E8F" w:rsidP="00BA4E8F">
            <w:pPr>
              <w:spacing w:before="0"/>
              <w:jc w:val="center"/>
              <w:rPr>
                <w:lang w:val="en-GB"/>
              </w:rPr>
            </w:pPr>
            <w:r w:rsidRPr="000718B5">
              <w:rPr>
                <w:lang w:val="en-GB"/>
              </w:rPr>
              <w:t>2020</w:t>
            </w:r>
          </w:p>
        </w:tc>
        <w:tc>
          <w:tcPr>
            <w:tcW w:w="1375" w:type="dxa"/>
          </w:tcPr>
          <w:p w14:paraId="0642642D" w14:textId="4BB09B87" w:rsidR="00BA4E8F" w:rsidRPr="000718B5" w:rsidRDefault="00BA4E8F" w:rsidP="00BA4E8F">
            <w:pPr>
              <w:spacing w:before="0"/>
              <w:jc w:val="center"/>
              <w:rPr>
                <w:lang w:val="en-GB"/>
              </w:rPr>
            </w:pPr>
            <w:r>
              <w:rPr>
                <w:lang w:val="en-GB"/>
              </w:rPr>
              <w:t>UHD</w:t>
            </w:r>
          </w:p>
        </w:tc>
      </w:tr>
      <w:tr w:rsidR="00BA4E8F" w:rsidRPr="000718B5" w14:paraId="020BC03A" w14:textId="3C09C5F9" w:rsidTr="00BA4E8F">
        <w:trPr>
          <w:trHeight w:val="64"/>
          <w:jc w:val="center"/>
        </w:trPr>
        <w:tc>
          <w:tcPr>
            <w:tcW w:w="2214" w:type="dxa"/>
          </w:tcPr>
          <w:p w14:paraId="23B476E5" w14:textId="77777777" w:rsidR="00BA4E8F" w:rsidRPr="000718B5" w:rsidRDefault="00BA4E8F" w:rsidP="00BA4E8F">
            <w:pPr>
              <w:spacing w:before="0"/>
              <w:rPr>
                <w:lang w:val="en-GB"/>
              </w:rPr>
            </w:pPr>
            <w:r>
              <w:rPr>
                <w:lang w:val="en-GB"/>
              </w:rPr>
              <w:lastRenderedPageBreak/>
              <w:t>Tch_Zombie1</w:t>
            </w:r>
          </w:p>
        </w:tc>
        <w:tc>
          <w:tcPr>
            <w:tcW w:w="1954" w:type="dxa"/>
          </w:tcPr>
          <w:p w14:paraId="5D41FFF6" w14:textId="77777777" w:rsidR="00BA4E8F" w:rsidRPr="000718B5" w:rsidRDefault="00BA4E8F" w:rsidP="00BA4E8F">
            <w:pPr>
              <w:spacing w:before="0"/>
              <w:jc w:val="center"/>
              <w:rPr>
                <w:lang w:val="en-GB"/>
              </w:rPr>
            </w:pPr>
            <w:r w:rsidRPr="000718B5">
              <w:rPr>
                <w:lang w:val="en-GB"/>
              </w:rPr>
              <w:t>1000</w:t>
            </w:r>
          </w:p>
        </w:tc>
        <w:tc>
          <w:tcPr>
            <w:tcW w:w="1174" w:type="dxa"/>
          </w:tcPr>
          <w:p w14:paraId="4805793A" w14:textId="77777777" w:rsidR="00BA4E8F" w:rsidRPr="000718B5" w:rsidRDefault="00BA4E8F" w:rsidP="00BA4E8F">
            <w:pPr>
              <w:spacing w:before="0"/>
              <w:jc w:val="center"/>
              <w:rPr>
                <w:lang w:val="en-GB"/>
              </w:rPr>
            </w:pPr>
            <w:r>
              <w:rPr>
                <w:lang w:val="en-GB"/>
              </w:rPr>
              <w:t>P3D65</w:t>
            </w:r>
          </w:p>
        </w:tc>
        <w:tc>
          <w:tcPr>
            <w:tcW w:w="1375" w:type="dxa"/>
          </w:tcPr>
          <w:p w14:paraId="15087F63" w14:textId="77777777" w:rsidR="00BA4E8F" w:rsidRPr="000718B5" w:rsidRDefault="00BA4E8F" w:rsidP="00BA4E8F">
            <w:pPr>
              <w:spacing w:before="0"/>
              <w:jc w:val="center"/>
              <w:rPr>
                <w:lang w:val="en-GB"/>
              </w:rPr>
            </w:pPr>
            <w:r w:rsidRPr="000718B5">
              <w:rPr>
                <w:lang w:val="en-GB"/>
              </w:rPr>
              <w:t>2020</w:t>
            </w:r>
          </w:p>
        </w:tc>
        <w:tc>
          <w:tcPr>
            <w:tcW w:w="1375" w:type="dxa"/>
          </w:tcPr>
          <w:p w14:paraId="5DFCC110" w14:textId="261A68A8" w:rsidR="00BA4E8F" w:rsidRPr="000718B5" w:rsidRDefault="00BA4E8F" w:rsidP="00BA4E8F">
            <w:pPr>
              <w:spacing w:before="0"/>
              <w:jc w:val="center"/>
              <w:rPr>
                <w:lang w:val="en-GB"/>
              </w:rPr>
            </w:pPr>
            <w:r>
              <w:rPr>
                <w:lang w:val="en-GB"/>
              </w:rPr>
              <w:t>UHD</w:t>
            </w:r>
          </w:p>
        </w:tc>
      </w:tr>
      <w:tr w:rsidR="00BA4E8F" w:rsidRPr="000718B5" w14:paraId="2281915B" w14:textId="44877A53" w:rsidTr="00BA4E8F">
        <w:trPr>
          <w:trHeight w:val="64"/>
          <w:jc w:val="center"/>
        </w:trPr>
        <w:tc>
          <w:tcPr>
            <w:tcW w:w="2214" w:type="dxa"/>
          </w:tcPr>
          <w:p w14:paraId="17DA1A95" w14:textId="77777777" w:rsidR="00BA4E8F" w:rsidRPr="000718B5" w:rsidRDefault="00BA4E8F" w:rsidP="00BA4E8F">
            <w:pPr>
              <w:spacing w:before="0"/>
              <w:rPr>
                <w:lang w:val="en-GB"/>
              </w:rPr>
            </w:pPr>
            <w:r>
              <w:rPr>
                <w:lang w:val="en-GB"/>
              </w:rPr>
              <w:t>Tch_Kayak</w:t>
            </w:r>
          </w:p>
        </w:tc>
        <w:tc>
          <w:tcPr>
            <w:tcW w:w="1954" w:type="dxa"/>
          </w:tcPr>
          <w:p w14:paraId="253A91BC" w14:textId="77777777" w:rsidR="00BA4E8F" w:rsidRPr="000718B5" w:rsidRDefault="00BA4E8F" w:rsidP="00BA4E8F">
            <w:pPr>
              <w:spacing w:before="0"/>
              <w:jc w:val="center"/>
              <w:rPr>
                <w:lang w:val="en-GB"/>
              </w:rPr>
            </w:pPr>
            <w:r>
              <w:rPr>
                <w:lang w:val="en-GB"/>
              </w:rPr>
              <w:t>1250</w:t>
            </w:r>
          </w:p>
        </w:tc>
        <w:tc>
          <w:tcPr>
            <w:tcW w:w="1174" w:type="dxa"/>
          </w:tcPr>
          <w:p w14:paraId="52F5AE57" w14:textId="77777777" w:rsidR="00BA4E8F" w:rsidRPr="000718B5" w:rsidRDefault="00BA4E8F" w:rsidP="00BA4E8F">
            <w:pPr>
              <w:spacing w:before="0"/>
              <w:jc w:val="center"/>
              <w:rPr>
                <w:lang w:val="en-GB"/>
              </w:rPr>
            </w:pPr>
            <w:r>
              <w:rPr>
                <w:lang w:val="en-GB"/>
              </w:rPr>
              <w:t>P3D65</w:t>
            </w:r>
          </w:p>
        </w:tc>
        <w:tc>
          <w:tcPr>
            <w:tcW w:w="1375" w:type="dxa"/>
          </w:tcPr>
          <w:p w14:paraId="362E1FAA" w14:textId="77777777" w:rsidR="00BA4E8F" w:rsidRPr="000718B5" w:rsidRDefault="00BA4E8F" w:rsidP="00BA4E8F">
            <w:pPr>
              <w:spacing w:before="0"/>
              <w:jc w:val="center"/>
              <w:rPr>
                <w:lang w:val="en-GB"/>
              </w:rPr>
            </w:pPr>
            <w:r w:rsidRPr="000718B5">
              <w:rPr>
                <w:lang w:val="en-GB"/>
              </w:rPr>
              <w:t>2020</w:t>
            </w:r>
          </w:p>
        </w:tc>
        <w:tc>
          <w:tcPr>
            <w:tcW w:w="1375" w:type="dxa"/>
          </w:tcPr>
          <w:p w14:paraId="1C6C9121" w14:textId="10F4A6E0" w:rsidR="00BA4E8F" w:rsidRPr="000718B5" w:rsidRDefault="00BA4E8F" w:rsidP="00BA4E8F">
            <w:pPr>
              <w:spacing w:before="0"/>
              <w:jc w:val="center"/>
              <w:rPr>
                <w:lang w:val="en-GB"/>
              </w:rPr>
            </w:pPr>
            <w:r>
              <w:rPr>
                <w:lang w:val="en-GB"/>
              </w:rPr>
              <w:t>UHD</w:t>
            </w:r>
          </w:p>
        </w:tc>
      </w:tr>
      <w:tr w:rsidR="00BA4E8F" w:rsidRPr="000718B5" w14:paraId="0DB960E1" w14:textId="0C0863B3" w:rsidTr="00BA4E8F">
        <w:trPr>
          <w:trHeight w:val="64"/>
          <w:jc w:val="center"/>
        </w:trPr>
        <w:tc>
          <w:tcPr>
            <w:tcW w:w="2214" w:type="dxa"/>
          </w:tcPr>
          <w:p w14:paraId="10B1F353" w14:textId="77777777" w:rsidR="00BA4E8F" w:rsidRPr="000718B5" w:rsidRDefault="00BA4E8F" w:rsidP="00BA4E8F">
            <w:pPr>
              <w:spacing w:before="0"/>
              <w:rPr>
                <w:lang w:val="en-GB"/>
              </w:rPr>
            </w:pPr>
            <w:r>
              <w:rPr>
                <w:lang w:val="en-GB"/>
              </w:rPr>
              <w:t>Hurdles</w:t>
            </w:r>
          </w:p>
        </w:tc>
        <w:tc>
          <w:tcPr>
            <w:tcW w:w="1954" w:type="dxa"/>
          </w:tcPr>
          <w:p w14:paraId="15D0738C" w14:textId="77777777" w:rsidR="00BA4E8F" w:rsidRPr="000718B5" w:rsidRDefault="00BA4E8F" w:rsidP="00BA4E8F">
            <w:pPr>
              <w:spacing w:before="0"/>
              <w:jc w:val="center"/>
              <w:rPr>
                <w:lang w:val="en-GB"/>
              </w:rPr>
            </w:pPr>
            <w:r w:rsidRPr="000718B5">
              <w:rPr>
                <w:lang w:val="en-GB"/>
              </w:rPr>
              <w:t>3000</w:t>
            </w:r>
          </w:p>
        </w:tc>
        <w:tc>
          <w:tcPr>
            <w:tcW w:w="1174" w:type="dxa"/>
          </w:tcPr>
          <w:p w14:paraId="78ED84C4" w14:textId="77777777" w:rsidR="00BA4E8F" w:rsidRPr="000718B5" w:rsidRDefault="00BA4E8F" w:rsidP="00BA4E8F">
            <w:pPr>
              <w:spacing w:before="0"/>
              <w:jc w:val="center"/>
              <w:rPr>
                <w:lang w:val="en-GB"/>
              </w:rPr>
            </w:pPr>
            <w:r w:rsidRPr="000718B5">
              <w:rPr>
                <w:lang w:val="en-GB"/>
              </w:rPr>
              <w:t>709</w:t>
            </w:r>
          </w:p>
        </w:tc>
        <w:tc>
          <w:tcPr>
            <w:tcW w:w="1375" w:type="dxa"/>
          </w:tcPr>
          <w:p w14:paraId="4B0B5B46" w14:textId="77777777" w:rsidR="00BA4E8F" w:rsidRPr="000718B5" w:rsidRDefault="00BA4E8F" w:rsidP="00BA4E8F">
            <w:pPr>
              <w:spacing w:before="0"/>
              <w:jc w:val="center"/>
              <w:rPr>
                <w:lang w:val="en-GB"/>
              </w:rPr>
            </w:pPr>
            <w:r w:rsidRPr="000718B5">
              <w:rPr>
                <w:lang w:val="en-GB"/>
              </w:rPr>
              <w:t>2020</w:t>
            </w:r>
          </w:p>
        </w:tc>
        <w:tc>
          <w:tcPr>
            <w:tcW w:w="1375" w:type="dxa"/>
          </w:tcPr>
          <w:p w14:paraId="38E59328" w14:textId="237C723D" w:rsidR="00BA4E8F" w:rsidRPr="000718B5" w:rsidRDefault="00BA4E8F" w:rsidP="00BA4E8F">
            <w:pPr>
              <w:spacing w:before="0"/>
              <w:jc w:val="center"/>
              <w:rPr>
                <w:lang w:val="en-GB"/>
              </w:rPr>
            </w:pPr>
            <w:r>
              <w:rPr>
                <w:lang w:val="en-GB"/>
              </w:rPr>
              <w:t>HD</w:t>
            </w:r>
          </w:p>
        </w:tc>
      </w:tr>
      <w:tr w:rsidR="00BA4E8F" w:rsidRPr="000718B5" w14:paraId="50A529F8" w14:textId="5A4B4A29" w:rsidTr="00BA4E8F">
        <w:trPr>
          <w:trHeight w:val="64"/>
          <w:jc w:val="center"/>
        </w:trPr>
        <w:tc>
          <w:tcPr>
            <w:tcW w:w="2214" w:type="dxa"/>
          </w:tcPr>
          <w:p w14:paraId="64A503DC" w14:textId="77777777" w:rsidR="00BA4E8F" w:rsidRPr="000718B5" w:rsidRDefault="00BA4E8F" w:rsidP="00BA4E8F">
            <w:pPr>
              <w:spacing w:before="0"/>
              <w:rPr>
                <w:lang w:val="en-GB"/>
              </w:rPr>
            </w:pPr>
            <w:r>
              <w:rPr>
                <w:lang w:val="en-GB"/>
              </w:rPr>
              <w:t>Starting</w:t>
            </w:r>
          </w:p>
        </w:tc>
        <w:tc>
          <w:tcPr>
            <w:tcW w:w="1954" w:type="dxa"/>
          </w:tcPr>
          <w:p w14:paraId="2991F294" w14:textId="77777777" w:rsidR="00BA4E8F" w:rsidRPr="000718B5" w:rsidRDefault="00BA4E8F" w:rsidP="00BA4E8F">
            <w:pPr>
              <w:spacing w:before="0"/>
              <w:jc w:val="center"/>
              <w:rPr>
                <w:lang w:val="en-GB"/>
              </w:rPr>
            </w:pPr>
            <w:r w:rsidRPr="000718B5">
              <w:rPr>
                <w:lang w:val="en-GB"/>
              </w:rPr>
              <w:t>3000</w:t>
            </w:r>
          </w:p>
        </w:tc>
        <w:tc>
          <w:tcPr>
            <w:tcW w:w="1174" w:type="dxa"/>
          </w:tcPr>
          <w:p w14:paraId="5F13E192" w14:textId="77777777" w:rsidR="00BA4E8F" w:rsidRPr="000718B5" w:rsidRDefault="00BA4E8F" w:rsidP="00BA4E8F">
            <w:pPr>
              <w:spacing w:before="0"/>
              <w:jc w:val="center"/>
              <w:rPr>
                <w:lang w:val="en-GB"/>
              </w:rPr>
            </w:pPr>
            <w:r w:rsidRPr="000718B5">
              <w:rPr>
                <w:lang w:val="en-GB"/>
              </w:rPr>
              <w:t>709</w:t>
            </w:r>
          </w:p>
        </w:tc>
        <w:tc>
          <w:tcPr>
            <w:tcW w:w="1375" w:type="dxa"/>
          </w:tcPr>
          <w:p w14:paraId="18C174A9" w14:textId="77777777" w:rsidR="00BA4E8F" w:rsidRPr="000718B5" w:rsidRDefault="00BA4E8F" w:rsidP="00BA4E8F">
            <w:pPr>
              <w:spacing w:before="0"/>
              <w:jc w:val="center"/>
              <w:rPr>
                <w:lang w:val="en-GB"/>
              </w:rPr>
            </w:pPr>
            <w:r w:rsidRPr="000718B5">
              <w:rPr>
                <w:lang w:val="en-GB"/>
              </w:rPr>
              <w:t>2020</w:t>
            </w:r>
          </w:p>
        </w:tc>
        <w:tc>
          <w:tcPr>
            <w:tcW w:w="1375" w:type="dxa"/>
          </w:tcPr>
          <w:p w14:paraId="1568DE90" w14:textId="28DFFB59" w:rsidR="00BA4E8F" w:rsidRPr="000718B5" w:rsidRDefault="00BA4E8F" w:rsidP="00BA4E8F">
            <w:pPr>
              <w:spacing w:before="0"/>
              <w:jc w:val="center"/>
              <w:rPr>
                <w:lang w:val="en-GB"/>
              </w:rPr>
            </w:pPr>
            <w:r>
              <w:rPr>
                <w:lang w:val="en-GB"/>
              </w:rPr>
              <w:t>HD</w:t>
            </w:r>
          </w:p>
        </w:tc>
      </w:tr>
      <w:tr w:rsidR="00BA4E8F" w:rsidRPr="000718B5" w14:paraId="4BD4D9F6" w14:textId="732F01B7" w:rsidTr="00BA4E8F">
        <w:trPr>
          <w:trHeight w:val="64"/>
          <w:jc w:val="center"/>
        </w:trPr>
        <w:tc>
          <w:tcPr>
            <w:tcW w:w="2214" w:type="dxa"/>
          </w:tcPr>
          <w:p w14:paraId="78B88FD1" w14:textId="43EA2E6D" w:rsidR="00BA4E8F" w:rsidRPr="000718B5" w:rsidRDefault="00BA4E8F" w:rsidP="00BA4E8F">
            <w:pPr>
              <w:spacing w:before="0"/>
              <w:rPr>
                <w:lang w:val="en-GB"/>
              </w:rPr>
            </w:pPr>
            <w:r>
              <w:rPr>
                <w:lang w:val="en-GB"/>
              </w:rPr>
              <w:t>Market</w:t>
            </w:r>
          </w:p>
        </w:tc>
        <w:tc>
          <w:tcPr>
            <w:tcW w:w="1954" w:type="dxa"/>
          </w:tcPr>
          <w:p w14:paraId="5B724F2B" w14:textId="2FFBFC24" w:rsidR="00BA4E8F" w:rsidRPr="000718B5" w:rsidRDefault="00BA4E8F" w:rsidP="00BA4E8F">
            <w:pPr>
              <w:spacing w:before="0"/>
              <w:jc w:val="center"/>
              <w:rPr>
                <w:lang w:val="en-GB"/>
              </w:rPr>
            </w:pPr>
            <w:r>
              <w:rPr>
                <w:lang w:val="en-GB"/>
              </w:rPr>
              <w:t>4000</w:t>
            </w:r>
          </w:p>
        </w:tc>
        <w:tc>
          <w:tcPr>
            <w:tcW w:w="1174" w:type="dxa"/>
          </w:tcPr>
          <w:p w14:paraId="4B540368" w14:textId="77777777" w:rsidR="00BA4E8F" w:rsidRPr="000718B5" w:rsidRDefault="00BA4E8F" w:rsidP="00BA4E8F">
            <w:pPr>
              <w:spacing w:before="0"/>
              <w:jc w:val="center"/>
              <w:rPr>
                <w:lang w:val="en-GB"/>
              </w:rPr>
            </w:pPr>
            <w:r w:rsidRPr="000718B5">
              <w:rPr>
                <w:lang w:val="en-GB"/>
              </w:rPr>
              <w:t>709</w:t>
            </w:r>
          </w:p>
        </w:tc>
        <w:tc>
          <w:tcPr>
            <w:tcW w:w="1375" w:type="dxa"/>
          </w:tcPr>
          <w:p w14:paraId="71137E00" w14:textId="77777777" w:rsidR="00BA4E8F" w:rsidRPr="000718B5" w:rsidRDefault="00BA4E8F" w:rsidP="00BA4E8F">
            <w:pPr>
              <w:spacing w:before="0"/>
              <w:jc w:val="center"/>
              <w:rPr>
                <w:lang w:val="en-GB"/>
              </w:rPr>
            </w:pPr>
            <w:r w:rsidRPr="000718B5">
              <w:rPr>
                <w:lang w:val="en-GB"/>
              </w:rPr>
              <w:t>2020</w:t>
            </w:r>
          </w:p>
        </w:tc>
        <w:tc>
          <w:tcPr>
            <w:tcW w:w="1375" w:type="dxa"/>
          </w:tcPr>
          <w:p w14:paraId="6D61CDA7" w14:textId="29402750" w:rsidR="00BA4E8F" w:rsidRPr="000718B5" w:rsidRDefault="00BA4E8F" w:rsidP="00BA4E8F">
            <w:pPr>
              <w:spacing w:before="0"/>
              <w:jc w:val="center"/>
              <w:rPr>
                <w:lang w:val="en-GB"/>
              </w:rPr>
            </w:pPr>
            <w:r>
              <w:rPr>
                <w:lang w:val="en-GB"/>
              </w:rPr>
              <w:t>HD</w:t>
            </w:r>
          </w:p>
        </w:tc>
      </w:tr>
      <w:tr w:rsidR="00BA4E8F" w:rsidRPr="000718B5" w14:paraId="22F165F2" w14:textId="5C1B6964" w:rsidTr="00BA4E8F">
        <w:trPr>
          <w:trHeight w:val="64"/>
          <w:jc w:val="center"/>
        </w:trPr>
        <w:tc>
          <w:tcPr>
            <w:tcW w:w="2214" w:type="dxa"/>
          </w:tcPr>
          <w:p w14:paraId="6843FA35" w14:textId="67C92DED" w:rsidR="00BA4E8F" w:rsidRPr="000718B5" w:rsidRDefault="00BA4E8F" w:rsidP="00BA4E8F">
            <w:pPr>
              <w:spacing w:before="0"/>
              <w:rPr>
                <w:lang w:val="en-GB"/>
              </w:rPr>
            </w:pPr>
            <w:r>
              <w:rPr>
                <w:lang w:val="en-GB"/>
              </w:rPr>
              <w:t>Netflix Chimera2</w:t>
            </w:r>
          </w:p>
        </w:tc>
        <w:tc>
          <w:tcPr>
            <w:tcW w:w="1954" w:type="dxa"/>
          </w:tcPr>
          <w:p w14:paraId="12E2BF30" w14:textId="7FFBC055" w:rsidR="00BA4E8F" w:rsidRPr="000718B5" w:rsidRDefault="00BA4E8F" w:rsidP="00BA4E8F">
            <w:pPr>
              <w:spacing w:before="0"/>
              <w:jc w:val="center"/>
              <w:rPr>
                <w:lang w:val="en-GB"/>
              </w:rPr>
            </w:pPr>
            <w:r>
              <w:rPr>
                <w:lang w:val="en-GB"/>
              </w:rPr>
              <w:t>4000</w:t>
            </w:r>
          </w:p>
        </w:tc>
        <w:tc>
          <w:tcPr>
            <w:tcW w:w="1174" w:type="dxa"/>
          </w:tcPr>
          <w:p w14:paraId="1FCD588D" w14:textId="77777777" w:rsidR="00BA4E8F" w:rsidRPr="000718B5" w:rsidRDefault="00BA4E8F" w:rsidP="00BA4E8F">
            <w:pPr>
              <w:spacing w:before="0"/>
              <w:jc w:val="center"/>
              <w:rPr>
                <w:lang w:val="en-GB"/>
              </w:rPr>
            </w:pPr>
            <w:r>
              <w:rPr>
                <w:lang w:val="en-GB"/>
              </w:rPr>
              <w:t>P3D65</w:t>
            </w:r>
          </w:p>
        </w:tc>
        <w:tc>
          <w:tcPr>
            <w:tcW w:w="1375" w:type="dxa"/>
          </w:tcPr>
          <w:p w14:paraId="23CAD0F9" w14:textId="77777777" w:rsidR="00BA4E8F" w:rsidRPr="000718B5" w:rsidRDefault="00BA4E8F" w:rsidP="00BA4E8F">
            <w:pPr>
              <w:spacing w:before="0"/>
              <w:jc w:val="center"/>
              <w:rPr>
                <w:lang w:val="en-GB"/>
              </w:rPr>
            </w:pPr>
            <w:r w:rsidRPr="000718B5">
              <w:rPr>
                <w:lang w:val="en-GB"/>
              </w:rPr>
              <w:t>2020</w:t>
            </w:r>
          </w:p>
        </w:tc>
        <w:tc>
          <w:tcPr>
            <w:tcW w:w="1375" w:type="dxa"/>
          </w:tcPr>
          <w:p w14:paraId="22A7068F" w14:textId="2D715E43" w:rsidR="00BA4E8F" w:rsidRPr="000718B5" w:rsidRDefault="00BA4E8F" w:rsidP="00BA4E8F">
            <w:pPr>
              <w:spacing w:before="0"/>
              <w:jc w:val="center"/>
              <w:rPr>
                <w:lang w:val="en-GB"/>
              </w:rPr>
            </w:pPr>
            <w:r>
              <w:rPr>
                <w:lang w:val="en-GB"/>
              </w:rPr>
              <w:t>UHD</w:t>
            </w:r>
          </w:p>
        </w:tc>
      </w:tr>
      <w:tr w:rsidR="00BA4E8F" w:rsidRPr="000718B5" w14:paraId="20AFA9EB" w14:textId="7CB35EA2" w:rsidTr="00BA4E8F">
        <w:trPr>
          <w:trHeight w:val="64"/>
          <w:jc w:val="center"/>
        </w:trPr>
        <w:tc>
          <w:tcPr>
            <w:tcW w:w="2214" w:type="dxa"/>
            <w:tcBorders>
              <w:top w:val="single" w:sz="4" w:space="0" w:color="auto"/>
              <w:left w:val="single" w:sz="4" w:space="0" w:color="auto"/>
              <w:bottom w:val="single" w:sz="4" w:space="0" w:color="auto"/>
              <w:right w:val="single" w:sz="4" w:space="0" w:color="auto"/>
            </w:tcBorders>
          </w:tcPr>
          <w:p w14:paraId="0BBE7669" w14:textId="77777777" w:rsidR="00BA4E8F" w:rsidRPr="000718B5" w:rsidRDefault="00BA4E8F" w:rsidP="00BA4E8F">
            <w:pPr>
              <w:spacing w:before="0"/>
              <w:rPr>
                <w:lang w:val="en-GB"/>
              </w:rPr>
            </w:pPr>
            <w:r>
              <w:rPr>
                <w:lang w:val="en-GB"/>
              </w:rPr>
              <w:t>BalloonFestival</w:t>
            </w:r>
          </w:p>
        </w:tc>
        <w:tc>
          <w:tcPr>
            <w:tcW w:w="1954" w:type="dxa"/>
            <w:tcBorders>
              <w:top w:val="single" w:sz="4" w:space="0" w:color="auto"/>
              <w:left w:val="single" w:sz="4" w:space="0" w:color="auto"/>
              <w:bottom w:val="single" w:sz="4" w:space="0" w:color="auto"/>
              <w:right w:val="single" w:sz="4" w:space="0" w:color="auto"/>
            </w:tcBorders>
          </w:tcPr>
          <w:p w14:paraId="24D14887" w14:textId="77777777" w:rsidR="00BA4E8F" w:rsidRPr="000718B5" w:rsidRDefault="00BA4E8F" w:rsidP="00BA4E8F">
            <w:pPr>
              <w:spacing w:before="0"/>
              <w:jc w:val="center"/>
              <w:rPr>
                <w:lang w:val="en-GB"/>
              </w:rPr>
            </w:pPr>
            <w:r>
              <w:rPr>
                <w:lang w:val="en-GB"/>
              </w:rPr>
              <w:t>5000</w:t>
            </w:r>
          </w:p>
        </w:tc>
        <w:tc>
          <w:tcPr>
            <w:tcW w:w="1174" w:type="dxa"/>
            <w:tcBorders>
              <w:top w:val="single" w:sz="4" w:space="0" w:color="auto"/>
              <w:left w:val="single" w:sz="4" w:space="0" w:color="auto"/>
              <w:bottom w:val="single" w:sz="4" w:space="0" w:color="auto"/>
              <w:right w:val="single" w:sz="4" w:space="0" w:color="auto"/>
            </w:tcBorders>
          </w:tcPr>
          <w:p w14:paraId="0BD8273B" w14:textId="77777777" w:rsidR="00BA4E8F" w:rsidRPr="000718B5" w:rsidRDefault="00BA4E8F" w:rsidP="00BA4E8F">
            <w:pPr>
              <w:spacing w:before="0"/>
              <w:jc w:val="center"/>
              <w:rPr>
                <w:lang w:val="en-GB"/>
              </w:rPr>
            </w:pPr>
            <w:r w:rsidRPr="000718B5">
              <w:rPr>
                <w:lang w:val="en-GB"/>
              </w:rPr>
              <w:t>709</w:t>
            </w:r>
          </w:p>
        </w:tc>
        <w:tc>
          <w:tcPr>
            <w:tcW w:w="1375" w:type="dxa"/>
            <w:tcBorders>
              <w:top w:val="single" w:sz="4" w:space="0" w:color="auto"/>
              <w:left w:val="single" w:sz="4" w:space="0" w:color="auto"/>
              <w:bottom w:val="single" w:sz="4" w:space="0" w:color="auto"/>
              <w:right w:val="single" w:sz="4" w:space="0" w:color="auto"/>
            </w:tcBorders>
          </w:tcPr>
          <w:p w14:paraId="7E65C125" w14:textId="77777777" w:rsidR="00BA4E8F" w:rsidRPr="000718B5" w:rsidRDefault="00BA4E8F" w:rsidP="00BA4E8F">
            <w:pPr>
              <w:spacing w:before="0"/>
              <w:jc w:val="center"/>
              <w:rPr>
                <w:lang w:val="en-GB"/>
              </w:rPr>
            </w:pPr>
            <w:r w:rsidRPr="000718B5">
              <w:rPr>
                <w:lang w:val="en-GB"/>
              </w:rPr>
              <w:t>2020</w:t>
            </w:r>
          </w:p>
        </w:tc>
        <w:tc>
          <w:tcPr>
            <w:tcW w:w="1375" w:type="dxa"/>
            <w:tcBorders>
              <w:top w:val="single" w:sz="4" w:space="0" w:color="auto"/>
              <w:left w:val="single" w:sz="4" w:space="0" w:color="auto"/>
              <w:bottom w:val="single" w:sz="4" w:space="0" w:color="auto"/>
              <w:right w:val="single" w:sz="4" w:space="0" w:color="auto"/>
            </w:tcBorders>
          </w:tcPr>
          <w:p w14:paraId="08426005" w14:textId="258BB7F0" w:rsidR="00BA4E8F" w:rsidRPr="000718B5" w:rsidRDefault="00BA4E8F" w:rsidP="00BA4E8F">
            <w:pPr>
              <w:spacing w:before="0"/>
              <w:jc w:val="center"/>
              <w:rPr>
                <w:lang w:val="en-GB"/>
              </w:rPr>
            </w:pPr>
            <w:r>
              <w:rPr>
                <w:lang w:val="en-GB"/>
              </w:rPr>
              <w:t>HD</w:t>
            </w:r>
          </w:p>
        </w:tc>
      </w:tr>
    </w:tbl>
    <w:p w14:paraId="01535D6A" w14:textId="398C2274" w:rsidR="00412AC2" w:rsidRDefault="00481C51" w:rsidP="00481C51">
      <w:pPr>
        <w:jc w:val="center"/>
        <w:rPr>
          <w:lang w:val="en-GB"/>
        </w:rPr>
      </w:pPr>
      <w:r>
        <w:rPr>
          <w:lang w:val="en-GB"/>
        </w:rPr>
        <w:t xml:space="preserve">  </w:t>
      </w:r>
      <w:r w:rsidR="00412AC2">
        <w:rPr>
          <w:noProof/>
          <w:lang w:val="en-US" w:eastAsia="en-US"/>
        </w:rPr>
        <w:drawing>
          <wp:inline distT="0" distB="0" distL="0" distR="0" wp14:anchorId="314282D6" wp14:editId="240BCDE3">
            <wp:extent cx="2468880" cy="1389888"/>
            <wp:effectExtent l="0" t="0" r="7620" b="1270"/>
            <wp:docPr id="5" name="Picture 5" descr="F:\2017_01_SDRs_for_JCTVC\SL-HDR1-July2016_PS12Mode1broadcast\snapshot_6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2017_01_SDRs_for_JCTVC\SL-HDR1-July2016_PS12Mode1broadcast\snapshot_6_small.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8880" cy="1389888"/>
                    </a:xfrm>
                    <a:prstGeom prst="rect">
                      <a:avLst/>
                    </a:prstGeom>
                    <a:noFill/>
                    <a:ln>
                      <a:noFill/>
                    </a:ln>
                  </pic:spPr>
                </pic:pic>
              </a:graphicData>
            </a:graphic>
          </wp:inline>
        </w:drawing>
      </w:r>
      <w:r w:rsidR="00412AC2">
        <w:rPr>
          <w:lang w:val="en-GB"/>
        </w:rPr>
        <w:t xml:space="preserve"> </w:t>
      </w:r>
      <w:r w:rsidR="00412AC2">
        <w:rPr>
          <w:noProof/>
          <w:lang w:val="en-US" w:eastAsia="en-US"/>
        </w:rPr>
        <w:drawing>
          <wp:inline distT="0" distB="0" distL="0" distR="0" wp14:anchorId="6D74FD9C" wp14:editId="201DFB93">
            <wp:extent cx="2468880" cy="1389888"/>
            <wp:effectExtent l="0" t="0" r="7620" b="1270"/>
            <wp:docPr id="7" name="Picture 7" descr="F:\2017_01_SDRs_for_JCTVC\SL-HDR1-July2016_PS12Mode1broadcast\snapshot_8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2017_01_SDRs_for_JCTVC\SL-HDR1-July2016_PS12Mode1broadcast\snapshot_8_small.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8880" cy="1389888"/>
                    </a:xfrm>
                    <a:prstGeom prst="rect">
                      <a:avLst/>
                    </a:prstGeom>
                    <a:noFill/>
                    <a:ln>
                      <a:noFill/>
                    </a:ln>
                  </pic:spPr>
                </pic:pic>
              </a:graphicData>
            </a:graphic>
          </wp:inline>
        </w:drawing>
      </w:r>
    </w:p>
    <w:p w14:paraId="2BCB7013" w14:textId="67A242D2" w:rsidR="00412AC2" w:rsidRDefault="00412AC2" w:rsidP="00412AC2">
      <w:pPr>
        <w:pStyle w:val="Caption"/>
        <w:rPr>
          <w:lang w:val="en-GB"/>
        </w:rPr>
      </w:pPr>
      <w:bookmarkStart w:id="15" w:name="_Ref470859554"/>
      <w:r>
        <w:t xml:space="preserve">Figure </w:t>
      </w:r>
      <w:r>
        <w:fldChar w:fldCharType="begin"/>
      </w:r>
      <w:r>
        <w:instrText xml:space="preserve"> SEQ Figure \* ARABIC </w:instrText>
      </w:r>
      <w:r>
        <w:fldChar w:fldCharType="separate"/>
      </w:r>
      <w:r w:rsidR="00952710">
        <w:rPr>
          <w:noProof/>
        </w:rPr>
        <w:t>1</w:t>
      </w:r>
      <w:r>
        <w:rPr>
          <w:noProof/>
        </w:rPr>
        <w:fldChar w:fldCharType="end"/>
      </w:r>
      <w:bookmarkEnd w:id="15"/>
      <w:r>
        <w:t xml:space="preserve">. Snapshot of </w:t>
      </w:r>
      <w:r>
        <w:rPr>
          <w:lang w:val="en-GB"/>
        </w:rPr>
        <w:t>Tch_Balloon</w:t>
      </w:r>
      <w:r>
        <w:t xml:space="preserve"> (left) and </w:t>
      </w:r>
      <w:r>
        <w:rPr>
          <w:lang w:val="en-GB"/>
        </w:rPr>
        <w:t xml:space="preserve">Tch_Zombie1 (right) - </w:t>
      </w:r>
      <w:r>
        <w:t>1000 cd/m</w:t>
      </w:r>
      <w:r w:rsidRPr="00412AC2">
        <w:rPr>
          <w:vertAlign w:val="superscript"/>
        </w:rPr>
        <w:t>2</w:t>
      </w:r>
      <w:r>
        <w:t>.</w:t>
      </w:r>
    </w:p>
    <w:p w14:paraId="4D11A9ED" w14:textId="7CF6A392" w:rsidR="00412AC2" w:rsidRDefault="00412AC2" w:rsidP="00481C51">
      <w:pPr>
        <w:jc w:val="center"/>
        <w:rPr>
          <w:lang w:val="en-GB"/>
        </w:rPr>
      </w:pPr>
      <w:r>
        <w:rPr>
          <w:noProof/>
          <w:lang w:val="en-US" w:eastAsia="en-US"/>
        </w:rPr>
        <w:drawing>
          <wp:inline distT="0" distB="0" distL="0" distR="0" wp14:anchorId="654FE1CF" wp14:editId="605F412B">
            <wp:extent cx="2468880" cy="1389888"/>
            <wp:effectExtent l="0" t="0" r="7620" b="1270"/>
            <wp:docPr id="11" name="Picture 11" descr="F:\2017_01_SDRs_for_JCTVC\SL-HDR1-July2016_PS12Mode1broadcast\snapshot_7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2017_01_SDRs_for_JCTVC\SL-HDR1-July2016_PS12Mode1broadcast\snapshot_7_small.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68880" cy="1389888"/>
                    </a:xfrm>
                    <a:prstGeom prst="rect">
                      <a:avLst/>
                    </a:prstGeom>
                    <a:noFill/>
                    <a:ln>
                      <a:noFill/>
                    </a:ln>
                  </pic:spPr>
                </pic:pic>
              </a:graphicData>
            </a:graphic>
          </wp:inline>
        </w:drawing>
      </w:r>
    </w:p>
    <w:p w14:paraId="6D2F60A7" w14:textId="6ED73133" w:rsidR="00412AC2" w:rsidRDefault="00412AC2" w:rsidP="00412AC2">
      <w:pPr>
        <w:pStyle w:val="Caption"/>
        <w:rPr>
          <w:lang w:val="en-GB"/>
        </w:rPr>
      </w:pPr>
      <w:r>
        <w:t xml:space="preserve">Figure </w:t>
      </w:r>
      <w:r>
        <w:fldChar w:fldCharType="begin"/>
      </w:r>
      <w:r>
        <w:instrText xml:space="preserve"> SEQ Figure \* ARABIC </w:instrText>
      </w:r>
      <w:r>
        <w:fldChar w:fldCharType="separate"/>
      </w:r>
      <w:r w:rsidR="00952710">
        <w:rPr>
          <w:noProof/>
        </w:rPr>
        <w:t>2</w:t>
      </w:r>
      <w:r>
        <w:rPr>
          <w:noProof/>
        </w:rPr>
        <w:fldChar w:fldCharType="end"/>
      </w:r>
      <w:r>
        <w:t xml:space="preserve">. Snapshot of </w:t>
      </w:r>
      <w:r>
        <w:rPr>
          <w:lang w:val="en-GB"/>
        </w:rPr>
        <w:t xml:space="preserve">Tch_Kayak - </w:t>
      </w:r>
      <w:r>
        <w:t>1250 cd/m</w:t>
      </w:r>
      <w:r w:rsidRPr="00412AC2">
        <w:rPr>
          <w:vertAlign w:val="superscript"/>
        </w:rPr>
        <w:t>2</w:t>
      </w:r>
      <w:r>
        <w:t>.</w:t>
      </w:r>
    </w:p>
    <w:p w14:paraId="357D0AD7" w14:textId="77777777" w:rsidR="00412AC2" w:rsidRDefault="00412AC2" w:rsidP="00481C51">
      <w:pPr>
        <w:jc w:val="center"/>
        <w:rPr>
          <w:lang w:val="en-GB"/>
        </w:rPr>
      </w:pPr>
      <w:r>
        <w:rPr>
          <w:lang w:val="en-GB"/>
        </w:rPr>
        <w:t xml:space="preserve"> </w:t>
      </w:r>
      <w:r>
        <w:rPr>
          <w:noProof/>
          <w:lang w:val="en-US" w:eastAsia="en-US"/>
        </w:rPr>
        <w:drawing>
          <wp:inline distT="0" distB="0" distL="0" distR="0" wp14:anchorId="0EB6A592" wp14:editId="11E34BBE">
            <wp:extent cx="2468880" cy="1389888"/>
            <wp:effectExtent l="0" t="0" r="7620" b="1270"/>
            <wp:docPr id="12" name="Picture 12" descr="F:\2017_01_SDRs_for_JCTVC\SL-HDR1-July2016_PS12Mode1broadcast\snapshot_2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2017_01_SDRs_for_JCTVC\SL-HDR1-July2016_PS12Mode1broadcast\snapshot_2_smal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8880" cy="1389888"/>
                    </a:xfrm>
                    <a:prstGeom prst="rect">
                      <a:avLst/>
                    </a:prstGeom>
                    <a:noFill/>
                    <a:ln>
                      <a:noFill/>
                    </a:ln>
                  </pic:spPr>
                </pic:pic>
              </a:graphicData>
            </a:graphic>
          </wp:inline>
        </w:drawing>
      </w:r>
      <w:r>
        <w:rPr>
          <w:lang w:val="en-GB"/>
        </w:rPr>
        <w:t xml:space="preserve"> </w:t>
      </w:r>
      <w:r>
        <w:rPr>
          <w:noProof/>
          <w:lang w:val="en-US" w:eastAsia="en-US"/>
        </w:rPr>
        <w:drawing>
          <wp:inline distT="0" distB="0" distL="0" distR="0" wp14:anchorId="70191A89" wp14:editId="1D7F22BA">
            <wp:extent cx="2468880" cy="1389888"/>
            <wp:effectExtent l="0" t="0" r="7620" b="1270"/>
            <wp:docPr id="13" name="Picture 13" descr="F:\2017_01_SDRs_for_JCTVC\SL-HDR1-July2016_PS12Mode1broadcast\snapshot_4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2017_01_SDRs_for_JCTVC\SL-HDR1-July2016_PS12Mode1broadcast\snapshot_4_small.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68880" cy="1389888"/>
                    </a:xfrm>
                    <a:prstGeom prst="rect">
                      <a:avLst/>
                    </a:prstGeom>
                    <a:noFill/>
                    <a:ln>
                      <a:noFill/>
                    </a:ln>
                  </pic:spPr>
                </pic:pic>
              </a:graphicData>
            </a:graphic>
          </wp:inline>
        </w:drawing>
      </w:r>
      <w:r>
        <w:rPr>
          <w:lang w:val="en-GB"/>
        </w:rPr>
        <w:t xml:space="preserve"> </w:t>
      </w:r>
    </w:p>
    <w:p w14:paraId="7924A1D5" w14:textId="02E7719F" w:rsidR="00412AC2" w:rsidRDefault="00412AC2" w:rsidP="00412AC2">
      <w:pPr>
        <w:pStyle w:val="Caption"/>
        <w:rPr>
          <w:lang w:val="en-GB"/>
        </w:rPr>
      </w:pPr>
      <w:r>
        <w:t xml:space="preserve">Figure </w:t>
      </w:r>
      <w:r>
        <w:fldChar w:fldCharType="begin"/>
      </w:r>
      <w:r>
        <w:instrText xml:space="preserve"> SEQ Figure \* ARABIC </w:instrText>
      </w:r>
      <w:r>
        <w:fldChar w:fldCharType="separate"/>
      </w:r>
      <w:r w:rsidR="00952710">
        <w:rPr>
          <w:noProof/>
        </w:rPr>
        <w:t>3</w:t>
      </w:r>
      <w:r>
        <w:rPr>
          <w:noProof/>
        </w:rPr>
        <w:fldChar w:fldCharType="end"/>
      </w:r>
      <w:r>
        <w:t xml:space="preserve">. Snapshot of EBU </w:t>
      </w:r>
      <w:r>
        <w:rPr>
          <w:lang w:val="en-GB"/>
        </w:rPr>
        <w:t>Hurdles and EBU Starting - 300</w:t>
      </w:r>
      <w:r>
        <w:t>0 cd/m</w:t>
      </w:r>
      <w:r w:rsidRPr="00412AC2">
        <w:rPr>
          <w:vertAlign w:val="superscript"/>
        </w:rPr>
        <w:t>2</w:t>
      </w:r>
      <w:r>
        <w:t>.</w:t>
      </w:r>
    </w:p>
    <w:p w14:paraId="63D5ECC8" w14:textId="77777777" w:rsidR="00412AC2" w:rsidRDefault="00412AC2" w:rsidP="00481C51">
      <w:pPr>
        <w:jc w:val="center"/>
        <w:rPr>
          <w:lang w:val="en-GB"/>
        </w:rPr>
      </w:pPr>
      <w:r>
        <w:rPr>
          <w:noProof/>
          <w:lang w:val="en-US" w:eastAsia="en-US"/>
        </w:rPr>
        <w:drawing>
          <wp:inline distT="0" distB="0" distL="0" distR="0" wp14:anchorId="535B5B06" wp14:editId="521562ED">
            <wp:extent cx="2468880" cy="1389888"/>
            <wp:effectExtent l="0" t="0" r="7620" b="1270"/>
            <wp:docPr id="14" name="Picture 14" descr="F:\2017_01_SDRs_for_JCTVC\SL-HDR1-July2016_PS12Mode1broadcast\snapshot_3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2017_01_SDRs_for_JCTVC\SL-HDR1-July2016_PS12Mode1broadcast\snapshot_3_small.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68880" cy="1389888"/>
                    </a:xfrm>
                    <a:prstGeom prst="rect">
                      <a:avLst/>
                    </a:prstGeom>
                    <a:noFill/>
                    <a:ln>
                      <a:noFill/>
                    </a:ln>
                  </pic:spPr>
                </pic:pic>
              </a:graphicData>
            </a:graphic>
          </wp:inline>
        </w:drawing>
      </w:r>
      <w:r>
        <w:rPr>
          <w:lang w:val="en-GB"/>
        </w:rPr>
        <w:t xml:space="preserve"> </w:t>
      </w:r>
      <w:r>
        <w:rPr>
          <w:noProof/>
          <w:lang w:val="en-US" w:eastAsia="en-US"/>
        </w:rPr>
        <w:drawing>
          <wp:inline distT="0" distB="0" distL="0" distR="0" wp14:anchorId="064105BC" wp14:editId="58881CE6">
            <wp:extent cx="2468880" cy="1389888"/>
            <wp:effectExtent l="0" t="0" r="7620" b="1270"/>
            <wp:docPr id="15" name="Picture 15" descr="F:\2017_01_SDRs_for_JCTVC\SL-HDR1-July2016_PS12Mode1broadcast\snapshot_9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2017_01_SDRs_for_JCTVC\SL-HDR1-July2016_PS12Mode1broadcast\snapshot_9_small.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68880" cy="1389888"/>
                    </a:xfrm>
                    <a:prstGeom prst="rect">
                      <a:avLst/>
                    </a:prstGeom>
                    <a:noFill/>
                    <a:ln>
                      <a:noFill/>
                    </a:ln>
                  </pic:spPr>
                </pic:pic>
              </a:graphicData>
            </a:graphic>
          </wp:inline>
        </w:drawing>
      </w:r>
      <w:r>
        <w:rPr>
          <w:lang w:val="en-GB"/>
        </w:rPr>
        <w:t xml:space="preserve"> </w:t>
      </w:r>
    </w:p>
    <w:p w14:paraId="7E9873E3" w14:textId="446D7AFE" w:rsidR="00412AC2" w:rsidRDefault="00412AC2" w:rsidP="00412AC2">
      <w:pPr>
        <w:pStyle w:val="Caption"/>
        <w:rPr>
          <w:lang w:val="en-GB"/>
        </w:rPr>
      </w:pPr>
      <w:r>
        <w:t xml:space="preserve">Figure </w:t>
      </w:r>
      <w:r>
        <w:fldChar w:fldCharType="begin"/>
      </w:r>
      <w:r>
        <w:instrText xml:space="preserve"> SEQ Figure \* ARABIC </w:instrText>
      </w:r>
      <w:r>
        <w:fldChar w:fldCharType="separate"/>
      </w:r>
      <w:r w:rsidR="00952710">
        <w:rPr>
          <w:noProof/>
        </w:rPr>
        <w:t>4</w:t>
      </w:r>
      <w:r>
        <w:rPr>
          <w:noProof/>
        </w:rPr>
        <w:fldChar w:fldCharType="end"/>
      </w:r>
      <w:r>
        <w:t>. Snapshot of Market and Net</w:t>
      </w:r>
      <w:r w:rsidR="00803A9A">
        <w:t>f</w:t>
      </w:r>
      <w:r>
        <w:t>lix Chimera2</w:t>
      </w:r>
      <w:r>
        <w:rPr>
          <w:lang w:val="en-GB"/>
        </w:rPr>
        <w:t xml:space="preserve"> - 400</w:t>
      </w:r>
      <w:r>
        <w:t>0 cd/m</w:t>
      </w:r>
      <w:r w:rsidRPr="00412AC2">
        <w:rPr>
          <w:vertAlign w:val="superscript"/>
        </w:rPr>
        <w:t>2</w:t>
      </w:r>
      <w:r>
        <w:t>.</w:t>
      </w:r>
    </w:p>
    <w:p w14:paraId="737BFCA4" w14:textId="31FD7749" w:rsidR="00412AC2" w:rsidRDefault="00412AC2" w:rsidP="00481C51">
      <w:pPr>
        <w:jc w:val="center"/>
        <w:rPr>
          <w:lang w:val="en-GB"/>
        </w:rPr>
      </w:pPr>
      <w:r>
        <w:rPr>
          <w:noProof/>
          <w:lang w:val="en-US" w:eastAsia="en-US"/>
        </w:rPr>
        <w:lastRenderedPageBreak/>
        <w:drawing>
          <wp:inline distT="0" distB="0" distL="0" distR="0" wp14:anchorId="4EB47C41" wp14:editId="6E3B456A">
            <wp:extent cx="2468880" cy="1389888"/>
            <wp:effectExtent l="0" t="0" r="7620" b="1270"/>
            <wp:docPr id="16" name="Picture 16" descr="F:\2017_01_SDRs_for_JCTVC\SL-HDR1-July2016_PS12Mode1broadcast\snapshot_0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2017_01_SDRs_for_JCTVC\SL-HDR1-July2016_PS12Mode1broadcast\snapshot_0_small.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68880" cy="1389888"/>
                    </a:xfrm>
                    <a:prstGeom prst="rect">
                      <a:avLst/>
                    </a:prstGeom>
                    <a:noFill/>
                    <a:ln>
                      <a:noFill/>
                    </a:ln>
                  </pic:spPr>
                </pic:pic>
              </a:graphicData>
            </a:graphic>
          </wp:inline>
        </w:drawing>
      </w:r>
    </w:p>
    <w:p w14:paraId="0F23F685" w14:textId="16229A74" w:rsidR="00481C51" w:rsidRPr="00412AC2" w:rsidRDefault="00481C51" w:rsidP="00412AC2">
      <w:pPr>
        <w:pStyle w:val="Caption"/>
        <w:rPr>
          <w:lang w:val="en-GB"/>
        </w:rPr>
      </w:pPr>
      <w:bookmarkStart w:id="16" w:name="_Ref457312941"/>
      <w:r>
        <w:t xml:space="preserve">Figure </w:t>
      </w:r>
      <w:r>
        <w:fldChar w:fldCharType="begin"/>
      </w:r>
      <w:r>
        <w:instrText xml:space="preserve"> SEQ Figure \* ARABIC </w:instrText>
      </w:r>
      <w:r>
        <w:fldChar w:fldCharType="separate"/>
      </w:r>
      <w:r w:rsidR="00952710">
        <w:rPr>
          <w:noProof/>
        </w:rPr>
        <w:t>5</w:t>
      </w:r>
      <w:r>
        <w:rPr>
          <w:noProof/>
        </w:rPr>
        <w:fldChar w:fldCharType="end"/>
      </w:r>
      <w:bookmarkEnd w:id="16"/>
      <w:r>
        <w:t xml:space="preserve">. Snapshot of </w:t>
      </w:r>
      <w:r w:rsidR="00412AC2">
        <w:t xml:space="preserve">BalloonFestival </w:t>
      </w:r>
      <w:r w:rsidR="00412AC2">
        <w:rPr>
          <w:lang w:val="en-GB"/>
        </w:rPr>
        <w:t>- 500</w:t>
      </w:r>
      <w:r w:rsidR="00412AC2">
        <w:t>0 cd/m</w:t>
      </w:r>
      <w:r w:rsidR="00412AC2" w:rsidRPr="00412AC2">
        <w:rPr>
          <w:vertAlign w:val="superscript"/>
        </w:rPr>
        <w:t>2</w:t>
      </w:r>
      <w:r>
        <w:t>.</w:t>
      </w:r>
    </w:p>
    <w:p w14:paraId="5AE2E1E7" w14:textId="77777777" w:rsidR="00481C51" w:rsidRDefault="00481C51" w:rsidP="00481C51">
      <w:pPr>
        <w:pStyle w:val="Heading1"/>
        <w:rPr>
          <w:lang w:val="en-US"/>
        </w:rPr>
      </w:pPr>
      <w:r>
        <w:rPr>
          <w:noProof/>
        </w:rPr>
        <w:t>Evaluated technologies</w:t>
      </w:r>
      <w:r w:rsidRPr="00100A8E">
        <w:rPr>
          <w:lang w:val="en-US"/>
        </w:rPr>
        <w:t xml:space="preserve"> </w:t>
      </w:r>
    </w:p>
    <w:p w14:paraId="64BC8301" w14:textId="1E0A9475" w:rsidR="007B6848" w:rsidRPr="00100A8E" w:rsidRDefault="00527D1E" w:rsidP="00527D1E">
      <w:pPr>
        <w:pStyle w:val="Heading2"/>
        <w:rPr>
          <w:lang w:val="en-US"/>
        </w:rPr>
      </w:pPr>
      <w:r>
        <w:rPr>
          <w:lang w:val="en-US"/>
        </w:rPr>
        <w:t>HLG</w:t>
      </w:r>
    </w:p>
    <w:p w14:paraId="179A5413" w14:textId="7D4546E7" w:rsidR="00481C51" w:rsidRDefault="00386846" w:rsidP="007B6848">
      <w:pPr>
        <w:rPr>
          <w:lang w:val="en-US"/>
        </w:rPr>
      </w:pPr>
      <w:bookmarkStart w:id="17" w:name="_Toc453764831"/>
      <w:r w:rsidRPr="00100A8E">
        <w:rPr>
          <w:lang w:val="en-US"/>
        </w:rPr>
        <w:t>Th</w:t>
      </w:r>
      <w:r w:rsidR="00527D1E">
        <w:rPr>
          <w:lang w:val="en-US"/>
        </w:rPr>
        <w:t>e first considered technology is the HLG, as described in section</w:t>
      </w:r>
      <w:r w:rsidR="00481C51">
        <w:rPr>
          <w:lang w:val="en-US"/>
        </w:rPr>
        <w:t xml:space="preserve"> 7.1 of </w:t>
      </w:r>
      <w:r w:rsidR="00481C51" w:rsidRPr="00100A8E">
        <w:rPr>
          <w:lang w:val="en-US"/>
        </w:rPr>
        <w:t>JCTVC-Y1012</w:t>
      </w:r>
      <w:r w:rsidR="000D6C4C">
        <w:rPr>
          <w:lang w:val="en-US"/>
        </w:rPr>
        <w:t xml:space="preserve"> </w:t>
      </w:r>
      <w:r w:rsidR="000D6C4C">
        <w:rPr>
          <w:lang w:val="en-US"/>
        </w:rPr>
        <w:fldChar w:fldCharType="begin"/>
      </w:r>
      <w:r w:rsidR="000D6C4C">
        <w:rPr>
          <w:lang w:val="en-US"/>
        </w:rPr>
        <w:instrText xml:space="preserve"> REF _Ref470939622 \r \h </w:instrText>
      </w:r>
      <w:r w:rsidR="000D6C4C">
        <w:rPr>
          <w:lang w:val="en-US"/>
        </w:rPr>
      </w:r>
      <w:r w:rsidR="000D6C4C">
        <w:rPr>
          <w:lang w:val="en-US"/>
        </w:rPr>
        <w:fldChar w:fldCharType="separate"/>
      </w:r>
      <w:r w:rsidR="000D6C4C">
        <w:rPr>
          <w:lang w:val="en-US"/>
        </w:rPr>
        <w:t>[1]</w:t>
      </w:r>
      <w:r w:rsidR="000D6C4C">
        <w:rPr>
          <w:lang w:val="en-US"/>
        </w:rPr>
        <w:fldChar w:fldCharType="end"/>
      </w:r>
      <w:r w:rsidR="00481C51">
        <w:rPr>
          <w:lang w:val="en-US"/>
        </w:rPr>
        <w:t xml:space="preserve">. </w:t>
      </w:r>
      <w:r w:rsidR="00623978">
        <w:rPr>
          <w:lang w:val="en-US"/>
        </w:rPr>
        <w:t xml:space="preserve">The conversion and </w:t>
      </w:r>
      <w:r w:rsidR="001B6D0B">
        <w:rPr>
          <w:lang w:val="en-US"/>
        </w:rPr>
        <w:t xml:space="preserve">inverse </w:t>
      </w:r>
      <w:r w:rsidR="00623978">
        <w:rPr>
          <w:lang w:val="en-US"/>
        </w:rPr>
        <w:t xml:space="preserve">conversion processes are depicted in </w:t>
      </w:r>
      <w:r w:rsidR="00623978">
        <w:rPr>
          <w:lang w:val="en-US"/>
        </w:rPr>
        <w:fldChar w:fldCharType="begin"/>
      </w:r>
      <w:r w:rsidR="00623978">
        <w:rPr>
          <w:lang w:val="en-US"/>
        </w:rPr>
        <w:instrText xml:space="preserve"> REF _Ref470859846 \h </w:instrText>
      </w:r>
      <w:r w:rsidR="00623978">
        <w:rPr>
          <w:lang w:val="en-US"/>
        </w:rPr>
      </w:r>
      <w:r w:rsidR="00623978">
        <w:rPr>
          <w:lang w:val="en-US"/>
        </w:rPr>
        <w:fldChar w:fldCharType="separate"/>
      </w:r>
      <w:r w:rsidR="00952710">
        <w:t xml:space="preserve">Figure </w:t>
      </w:r>
      <w:r w:rsidR="00952710">
        <w:rPr>
          <w:noProof/>
        </w:rPr>
        <w:t>6</w:t>
      </w:r>
      <w:r w:rsidR="00623978">
        <w:rPr>
          <w:lang w:val="en-US"/>
        </w:rPr>
        <w:fldChar w:fldCharType="end"/>
      </w:r>
      <w:r w:rsidR="00623978">
        <w:rPr>
          <w:lang w:val="en-US"/>
        </w:rPr>
        <w:t>.</w:t>
      </w:r>
      <w:r w:rsidR="00623978" w:rsidRPr="00623978">
        <w:rPr>
          <w:lang w:val="en-US"/>
        </w:rPr>
        <w:t xml:space="preserve"> </w:t>
      </w:r>
      <w:r w:rsidR="00623978">
        <w:rPr>
          <w:lang w:val="en-US"/>
        </w:rPr>
        <w:t>As the input HDR content used for the tests is display-referred, the conversion from linear-light to 4:2:0 Y</w:t>
      </w:r>
      <w:r w:rsidR="00623978" w:rsidRPr="00623978">
        <w:rPr>
          <w:szCs w:val="18"/>
          <w:lang w:val="en-US"/>
        </w:rPr>
        <w:sym w:font="Symbol" w:char="F0A2"/>
      </w:r>
      <w:r w:rsidR="00623978">
        <w:rPr>
          <w:lang w:val="en-US"/>
        </w:rPr>
        <w:t>CbCr 10-bits includes the initial inverse system gamma step</w:t>
      </w:r>
      <w:r w:rsidR="002E6541">
        <w:rPr>
          <w:lang w:val="en-US"/>
        </w:rPr>
        <w:t xml:space="preserve">, as described in section 7.1.2.2 of </w:t>
      </w:r>
      <w:r w:rsidR="002E6541" w:rsidRPr="00100A8E">
        <w:rPr>
          <w:lang w:val="en-US"/>
        </w:rPr>
        <w:t>JCTVC-Y1012</w:t>
      </w:r>
      <w:r w:rsidR="000D6C4C">
        <w:rPr>
          <w:lang w:val="en-US"/>
        </w:rPr>
        <w:t xml:space="preserve"> </w:t>
      </w:r>
      <w:r w:rsidR="000D6C4C">
        <w:rPr>
          <w:lang w:val="en-US"/>
        </w:rPr>
        <w:fldChar w:fldCharType="begin"/>
      </w:r>
      <w:r w:rsidR="000D6C4C">
        <w:rPr>
          <w:lang w:val="en-US"/>
        </w:rPr>
        <w:instrText xml:space="preserve"> REF _Ref470939622 \r \h </w:instrText>
      </w:r>
      <w:r w:rsidR="000D6C4C">
        <w:rPr>
          <w:lang w:val="en-US"/>
        </w:rPr>
      </w:r>
      <w:r w:rsidR="000D6C4C">
        <w:rPr>
          <w:lang w:val="en-US"/>
        </w:rPr>
        <w:fldChar w:fldCharType="separate"/>
      </w:r>
      <w:r w:rsidR="000D6C4C">
        <w:rPr>
          <w:lang w:val="en-US"/>
        </w:rPr>
        <w:t>[1]</w:t>
      </w:r>
      <w:r w:rsidR="000D6C4C">
        <w:rPr>
          <w:lang w:val="en-US"/>
        </w:rPr>
        <w:fldChar w:fldCharType="end"/>
      </w:r>
      <w:r w:rsidR="00623978">
        <w:rPr>
          <w:lang w:val="en-US"/>
        </w:rPr>
        <w:t>.</w:t>
      </w:r>
      <w:r w:rsidR="002E6541">
        <w:rPr>
          <w:lang w:val="en-US"/>
        </w:rPr>
        <w:t xml:space="preserve"> The value of the gamma correction, g, is derived from the peak luminance of the content mastering display, as:</w:t>
      </w:r>
    </w:p>
    <w:p w14:paraId="109322DE" w14:textId="734A98D5" w:rsidR="002E6541" w:rsidRPr="002E6541" w:rsidRDefault="002E6541" w:rsidP="006B67A0">
      <w:pPr>
        <w:tabs>
          <w:tab w:val="num" w:pos="2160"/>
        </w:tabs>
        <w:spacing w:before="0"/>
      </w:pPr>
      <w:r w:rsidRPr="008467B6">
        <w:tab/>
      </w:r>
      <w:r w:rsidRPr="008467B6">
        <w:rPr>
          <w:color w:val="000000" w:themeColor="text1"/>
        </w:rPr>
        <w:t xml:space="preserve">g = 1.2 + 0.42 * Log10( P </w:t>
      </w:r>
      <w:r w:rsidRPr="008467B6">
        <w:rPr>
          <w:szCs w:val="18"/>
        </w:rPr>
        <w:t>÷</w:t>
      </w:r>
      <w:r w:rsidRPr="008467B6">
        <w:rPr>
          <w:color w:val="000000" w:themeColor="text1"/>
        </w:rPr>
        <w:t xml:space="preserve"> 1000 )</w:t>
      </w:r>
    </w:p>
    <w:p w14:paraId="0C7F15F5" w14:textId="37D7C3A7" w:rsidR="00623978" w:rsidRDefault="007D0F55" w:rsidP="00513ED2">
      <w:pPr>
        <w:spacing w:before="0"/>
        <w:jc w:val="center"/>
        <w:rPr>
          <w:color w:val="000000" w:themeColor="text1"/>
        </w:rPr>
      </w:pPr>
      <w:r w:rsidRPr="008467B6">
        <w:rPr>
          <w:color w:val="000000" w:themeColor="text1"/>
        </w:rPr>
        <w:object w:dxaOrig="11210" w:dyaOrig="3178" w14:anchorId="193127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75pt;height:119.25pt" o:ole="">
            <v:imagedata r:id="rId19" o:title=""/>
          </v:shape>
          <o:OLEObject Type="Embed" ProgID="Visio.Drawing.11" ShapeID="_x0000_i1025" DrawAspect="Content" ObjectID="_1544988151" r:id="rId20"/>
        </w:object>
      </w:r>
    </w:p>
    <w:p w14:paraId="68E73918" w14:textId="3E1B8B3A" w:rsidR="00623978" w:rsidRPr="00412AC2" w:rsidRDefault="00623978" w:rsidP="000C2BBA">
      <w:pPr>
        <w:pStyle w:val="Caption"/>
        <w:spacing w:before="0" w:after="0"/>
        <w:rPr>
          <w:lang w:val="en-GB"/>
        </w:rPr>
      </w:pPr>
      <w:bookmarkStart w:id="18" w:name="_Ref470859846"/>
      <w:r>
        <w:t xml:space="preserve">Figure </w:t>
      </w:r>
      <w:r>
        <w:fldChar w:fldCharType="begin"/>
      </w:r>
      <w:r>
        <w:instrText xml:space="preserve"> SEQ Figure \* ARABIC </w:instrText>
      </w:r>
      <w:r>
        <w:fldChar w:fldCharType="separate"/>
      </w:r>
      <w:r w:rsidR="00952710">
        <w:rPr>
          <w:noProof/>
        </w:rPr>
        <w:t>6</w:t>
      </w:r>
      <w:r>
        <w:rPr>
          <w:noProof/>
        </w:rPr>
        <w:fldChar w:fldCharType="end"/>
      </w:r>
      <w:bookmarkEnd w:id="18"/>
      <w:r>
        <w:t xml:space="preserve">. </w:t>
      </w:r>
      <w:r>
        <w:rPr>
          <w:lang w:val="en-US"/>
        </w:rPr>
        <w:t xml:space="preserve">Conversion (top) and </w:t>
      </w:r>
      <w:r w:rsidR="001B6D0B">
        <w:rPr>
          <w:lang w:val="en-US"/>
        </w:rPr>
        <w:t xml:space="preserve">inverse </w:t>
      </w:r>
      <w:r>
        <w:rPr>
          <w:lang w:val="en-US"/>
        </w:rPr>
        <w:t>conversion (bottom) using</w:t>
      </w:r>
      <w:r w:rsidRPr="008467B6">
        <w:rPr>
          <w:lang w:val="en-US"/>
        </w:rPr>
        <w:t xml:space="preserve"> HLG</w:t>
      </w:r>
      <w:r>
        <w:t>.</w:t>
      </w:r>
    </w:p>
    <w:p w14:paraId="6F3F2710" w14:textId="76CE804B" w:rsidR="004504A2" w:rsidRDefault="004504A2" w:rsidP="007B6848">
      <w:pPr>
        <w:pStyle w:val="Heading2"/>
        <w:ind w:left="720" w:hanging="720"/>
        <w:rPr>
          <w:lang w:val="en-US"/>
        </w:rPr>
      </w:pPr>
      <w:bookmarkStart w:id="19" w:name="_Ref465257163"/>
      <w:bookmarkStart w:id="20" w:name="_Toc467226106"/>
      <w:bookmarkEnd w:id="10"/>
      <w:bookmarkEnd w:id="11"/>
      <w:bookmarkEnd w:id="17"/>
      <w:r>
        <w:rPr>
          <w:lang w:val="en-US"/>
        </w:rPr>
        <w:t>SL-HDR1</w:t>
      </w:r>
    </w:p>
    <w:p w14:paraId="636B8BF4" w14:textId="7449A233" w:rsidR="00513ED2" w:rsidRDefault="004504A2" w:rsidP="00513ED2">
      <w:r>
        <w:rPr>
          <w:lang w:val="en-US"/>
        </w:rPr>
        <w:t>The second considered solution, mentioned in</w:t>
      </w:r>
      <w:r w:rsidR="00901200">
        <w:rPr>
          <w:lang w:val="en-US"/>
        </w:rPr>
        <w:t xml:space="preserve"> section 7.2 of</w:t>
      </w:r>
      <w:r>
        <w:rPr>
          <w:lang w:val="en-US"/>
        </w:rPr>
        <w:t xml:space="preserve"> </w:t>
      </w:r>
      <w:r w:rsidR="00901200" w:rsidRPr="00100A8E">
        <w:rPr>
          <w:lang w:val="en-US"/>
        </w:rPr>
        <w:t>JCTVC-Y1012</w:t>
      </w:r>
      <w:r w:rsidR="000D6C4C">
        <w:rPr>
          <w:lang w:val="en-US"/>
        </w:rPr>
        <w:t xml:space="preserve"> </w:t>
      </w:r>
      <w:r w:rsidR="000D6C4C">
        <w:rPr>
          <w:lang w:val="en-US"/>
        </w:rPr>
        <w:fldChar w:fldCharType="begin"/>
      </w:r>
      <w:r w:rsidR="000D6C4C">
        <w:rPr>
          <w:lang w:val="en-US"/>
        </w:rPr>
        <w:instrText xml:space="preserve"> REF _Ref470939622 \r \h </w:instrText>
      </w:r>
      <w:r w:rsidR="000D6C4C">
        <w:rPr>
          <w:lang w:val="en-US"/>
        </w:rPr>
      </w:r>
      <w:r w:rsidR="000D6C4C">
        <w:rPr>
          <w:lang w:val="en-US"/>
        </w:rPr>
        <w:fldChar w:fldCharType="separate"/>
      </w:r>
      <w:r w:rsidR="000D6C4C">
        <w:rPr>
          <w:lang w:val="en-US"/>
        </w:rPr>
        <w:t>[1]</w:t>
      </w:r>
      <w:r w:rsidR="000D6C4C">
        <w:rPr>
          <w:lang w:val="en-US"/>
        </w:rPr>
        <w:fldChar w:fldCharType="end"/>
      </w:r>
      <w:r>
        <w:rPr>
          <w:lang w:val="en-US"/>
        </w:rPr>
        <w:t xml:space="preserve">, is the technology specified in </w:t>
      </w:r>
      <w:r w:rsidRPr="008467B6">
        <w:t>recommendation ETSI TS 103 433</w:t>
      </w:r>
      <w:r w:rsidR="000D6C4C">
        <w:t xml:space="preserve"> </w:t>
      </w:r>
      <w:r w:rsidR="000D6C4C">
        <w:fldChar w:fldCharType="begin"/>
      </w:r>
      <w:r w:rsidR="000D6C4C">
        <w:instrText xml:space="preserve"> REF _Ref470939637 \r \h </w:instrText>
      </w:r>
      <w:r w:rsidR="000D6C4C">
        <w:fldChar w:fldCharType="separate"/>
      </w:r>
      <w:r w:rsidR="000D6C4C">
        <w:t>[2]</w:t>
      </w:r>
      <w:r w:rsidR="000D6C4C">
        <w:fldChar w:fldCharType="end"/>
      </w:r>
      <w:r>
        <w:t>, also known as SL-HDR1. The solution is based on the usage of dynamic metadata, conveyed in</w:t>
      </w:r>
      <w:r w:rsidRPr="004504A2">
        <w:t xml:space="preserve"> </w:t>
      </w:r>
      <w:r w:rsidRPr="008467B6">
        <w:t>a user-data registered SEI</w:t>
      </w:r>
      <w:r>
        <w:t xml:space="preserve"> message</w:t>
      </w:r>
      <w:r w:rsidR="00901200">
        <w:t xml:space="preserve">. The metadata should be used </w:t>
      </w:r>
      <w:r w:rsidR="008C5E9C">
        <w:t xml:space="preserve">in the decoder </w:t>
      </w:r>
      <w:r w:rsidR="00901200">
        <w:t xml:space="preserve">to perform the </w:t>
      </w:r>
      <w:r w:rsidR="008C5E9C">
        <w:t>reconstruction of the H</w:t>
      </w:r>
      <w:r w:rsidR="00901200">
        <w:t xml:space="preserve">DR video </w:t>
      </w:r>
      <w:r w:rsidR="008C5E9C">
        <w:t xml:space="preserve">starting from the SDR video </w:t>
      </w:r>
      <w:r w:rsidR="00901200">
        <w:t>generated at the encoder from the input HDR video</w:t>
      </w:r>
      <w:r w:rsidR="008C5E9C">
        <w:t>. The reconstructed HDR output from the decoder is</w:t>
      </w:r>
      <w:r w:rsidR="00901200">
        <w:t xml:space="preserve"> close to the input HDR</w:t>
      </w:r>
      <w:r w:rsidR="008C5E9C" w:rsidRPr="008C5E9C">
        <w:t xml:space="preserve"> </w:t>
      </w:r>
      <w:r w:rsidR="008C5E9C">
        <w:t>of the encoder</w:t>
      </w:r>
      <w:r w:rsidR="00901200">
        <w:t xml:space="preserve">. </w:t>
      </w:r>
      <w:r>
        <w:t xml:space="preserve">The metadata mostly consists </w:t>
      </w:r>
      <w:r w:rsidR="008C5E9C">
        <w:t>of</w:t>
      </w:r>
      <w:r>
        <w:t xml:space="preserve"> a </w:t>
      </w:r>
      <w:r w:rsidRPr="008467B6">
        <w:t>luma mapping</w:t>
      </w:r>
      <w:r>
        <w:t xml:space="preserve"> function </w:t>
      </w:r>
      <w:r w:rsidR="008C5E9C">
        <w:t xml:space="preserve">applicable </w:t>
      </w:r>
      <w:r>
        <w:t xml:space="preserve">to the Y component, and </w:t>
      </w:r>
      <w:r w:rsidR="008C5E9C">
        <w:t>of</w:t>
      </w:r>
      <w:r>
        <w:t xml:space="preserve"> </w:t>
      </w:r>
      <w:r w:rsidRPr="008467B6">
        <w:t>luma-dep</w:t>
      </w:r>
      <w:r>
        <w:t>endent chroma scaling functions. The scheme</w:t>
      </w:r>
      <w:r w:rsidR="00513ED2">
        <w:t xml:space="preserve">, illustrated in </w:t>
      </w:r>
      <w:r w:rsidR="00513ED2">
        <w:fldChar w:fldCharType="begin"/>
      </w:r>
      <w:r w:rsidR="00513ED2">
        <w:instrText xml:space="preserve"> REF _Ref470862985 \h </w:instrText>
      </w:r>
      <w:r w:rsidR="00513ED2">
        <w:fldChar w:fldCharType="separate"/>
      </w:r>
      <w:r w:rsidR="00952710">
        <w:t xml:space="preserve">Figure </w:t>
      </w:r>
      <w:r w:rsidR="00952710">
        <w:rPr>
          <w:noProof/>
        </w:rPr>
        <w:t>7</w:t>
      </w:r>
      <w:r w:rsidR="00513ED2">
        <w:fldChar w:fldCharType="end"/>
      </w:r>
      <w:r w:rsidR="00513ED2">
        <w:t xml:space="preserve">, </w:t>
      </w:r>
      <w:r>
        <w:t xml:space="preserve">is close to what was described in contribution </w:t>
      </w:r>
      <w:r w:rsidRPr="004504A2">
        <w:t>JCTVC-U0085</w:t>
      </w:r>
      <w:r w:rsidR="00061A51">
        <w:t xml:space="preserve"> </w:t>
      </w:r>
      <w:r w:rsidR="00061A51">
        <w:fldChar w:fldCharType="begin"/>
      </w:r>
      <w:r w:rsidR="00061A51">
        <w:instrText xml:space="preserve"> REF _Ref470940014 \r \h </w:instrText>
      </w:r>
      <w:r w:rsidR="00061A51">
        <w:fldChar w:fldCharType="separate"/>
      </w:r>
      <w:r w:rsidR="00061A51">
        <w:t>[3]</w:t>
      </w:r>
      <w:r w:rsidR="00061A51">
        <w:fldChar w:fldCharType="end"/>
      </w:r>
      <w:r>
        <w:t>.</w:t>
      </w:r>
    </w:p>
    <w:p w14:paraId="45DF1380" w14:textId="779468A7" w:rsidR="00A82ADA" w:rsidRDefault="00A82ADA" w:rsidP="00513ED2">
      <w:r>
        <w:t xml:space="preserve">Automatic </w:t>
      </w:r>
      <w:r w:rsidR="001B6D0B">
        <w:t>grading</w:t>
      </w:r>
      <w:r>
        <w:t xml:space="preserve"> is used to derive the dynamic metadata. An example of such an algorithm can be found in JCTVC-W0031</w:t>
      </w:r>
      <w:r w:rsidR="00061A51">
        <w:t xml:space="preserve"> </w:t>
      </w:r>
      <w:r w:rsidR="00061A51">
        <w:fldChar w:fldCharType="begin"/>
      </w:r>
      <w:r w:rsidR="00061A51">
        <w:instrText xml:space="preserve"> REF _Ref470940026 \r \h </w:instrText>
      </w:r>
      <w:r w:rsidR="00061A51">
        <w:fldChar w:fldCharType="separate"/>
      </w:r>
      <w:r w:rsidR="00061A51">
        <w:t>[4]</w:t>
      </w:r>
      <w:r w:rsidR="00061A51">
        <w:fldChar w:fldCharType="end"/>
      </w:r>
      <w:r>
        <w:t>, section 3.2.</w:t>
      </w:r>
    </w:p>
    <w:p w14:paraId="226EE1E2" w14:textId="503FFD08" w:rsidR="004504A2" w:rsidRDefault="00BF78AE" w:rsidP="00513ED2">
      <w:pPr>
        <w:spacing w:before="0"/>
        <w:jc w:val="center"/>
      </w:pPr>
      <w:r w:rsidRPr="00CA007C">
        <w:object w:dxaOrig="12352" w:dyaOrig="3988" w14:anchorId="4718C20A">
          <v:shape id="_x0000_i1026" type="#_x0000_t75" style="width:485.25pt;height:157.5pt" o:ole="">
            <v:imagedata r:id="rId21" o:title=""/>
          </v:shape>
          <o:OLEObject Type="Embed" ProgID="Visio.Drawing.11" ShapeID="_x0000_i1026" DrawAspect="Content" ObjectID="_1544988152" r:id="rId22"/>
        </w:object>
      </w:r>
    </w:p>
    <w:p w14:paraId="2D87B658" w14:textId="6D3E6040" w:rsidR="00513ED2" w:rsidRPr="00412AC2" w:rsidRDefault="00513ED2" w:rsidP="00513ED2">
      <w:pPr>
        <w:pStyle w:val="Caption"/>
        <w:spacing w:before="0" w:after="0"/>
        <w:rPr>
          <w:lang w:val="en-GB"/>
        </w:rPr>
      </w:pPr>
      <w:bookmarkStart w:id="21" w:name="_Ref470862985"/>
      <w:r>
        <w:t xml:space="preserve">Figure </w:t>
      </w:r>
      <w:r>
        <w:fldChar w:fldCharType="begin"/>
      </w:r>
      <w:r>
        <w:instrText xml:space="preserve"> SEQ Figure \* ARABIC </w:instrText>
      </w:r>
      <w:r>
        <w:fldChar w:fldCharType="separate"/>
      </w:r>
      <w:r w:rsidR="00952710">
        <w:rPr>
          <w:noProof/>
        </w:rPr>
        <w:t>7</w:t>
      </w:r>
      <w:r>
        <w:rPr>
          <w:noProof/>
        </w:rPr>
        <w:fldChar w:fldCharType="end"/>
      </w:r>
      <w:bookmarkEnd w:id="21"/>
      <w:r>
        <w:t xml:space="preserve">. </w:t>
      </w:r>
      <w:r>
        <w:rPr>
          <w:lang w:val="en-US"/>
        </w:rPr>
        <w:t xml:space="preserve">Conversion (top) and </w:t>
      </w:r>
      <w:r w:rsidR="001B6D0B">
        <w:rPr>
          <w:lang w:val="en-US"/>
        </w:rPr>
        <w:t xml:space="preserve">inverse </w:t>
      </w:r>
      <w:r>
        <w:rPr>
          <w:lang w:val="en-US"/>
        </w:rPr>
        <w:t>conversion (bottom) with SL-HDR1 (</w:t>
      </w:r>
      <w:r w:rsidRPr="008467B6">
        <w:t>ETSI TS 103 433</w:t>
      </w:r>
      <w:r>
        <w:rPr>
          <w:lang w:val="en-US"/>
        </w:rPr>
        <w:t>)</w:t>
      </w:r>
      <w:r>
        <w:t>.</w:t>
      </w:r>
    </w:p>
    <w:p w14:paraId="4B1B0378" w14:textId="2244C119" w:rsidR="006A4BD4" w:rsidRDefault="006A4BD4" w:rsidP="006A4BD4">
      <w:pPr>
        <w:pStyle w:val="Heading2"/>
        <w:ind w:left="720" w:hanging="720"/>
        <w:rPr>
          <w:lang w:val="en-US"/>
        </w:rPr>
      </w:pPr>
      <w:r>
        <w:rPr>
          <w:lang w:val="en-US"/>
        </w:rPr>
        <w:t xml:space="preserve">CRI applied in </w:t>
      </w:r>
      <w:r w:rsidRPr="008467B6">
        <w:rPr>
          <w:lang w:val="en-US"/>
        </w:rPr>
        <w:t>Y</w:t>
      </w:r>
      <w:r w:rsidRPr="008467B6">
        <w:rPr>
          <w:lang w:val="en-US"/>
        </w:rPr>
        <w:sym w:font="Symbol" w:char="F0A2"/>
      </w:r>
      <w:r w:rsidRPr="008467B6">
        <w:rPr>
          <w:lang w:val="en-US"/>
        </w:rPr>
        <w:t>CbCr</w:t>
      </w:r>
      <w:r>
        <w:rPr>
          <w:lang w:val="en-US"/>
        </w:rPr>
        <w:t xml:space="preserve"> 4:2:0 domain </w:t>
      </w:r>
    </w:p>
    <w:p w14:paraId="588C6EAB" w14:textId="0BF809F3" w:rsidR="00143142" w:rsidRDefault="00901200" w:rsidP="006A4BD4">
      <w:pPr>
        <w:rPr>
          <w:lang w:val="en-US"/>
        </w:rPr>
      </w:pPr>
      <w:r>
        <w:rPr>
          <w:lang w:val="en-US"/>
        </w:rPr>
        <w:t xml:space="preserve">The third considered solution is described in section 7.2.1 of </w:t>
      </w:r>
      <w:r w:rsidRPr="00100A8E">
        <w:rPr>
          <w:lang w:val="en-US"/>
        </w:rPr>
        <w:t>JCTVC-Y1012</w:t>
      </w:r>
      <w:r w:rsidR="00061A51">
        <w:rPr>
          <w:lang w:val="en-US"/>
        </w:rPr>
        <w:t xml:space="preserve"> </w:t>
      </w:r>
      <w:r w:rsidR="00061A51">
        <w:rPr>
          <w:lang w:val="en-US"/>
        </w:rPr>
        <w:fldChar w:fldCharType="begin"/>
      </w:r>
      <w:r w:rsidR="00061A51">
        <w:rPr>
          <w:lang w:val="en-US"/>
        </w:rPr>
        <w:instrText xml:space="preserve"> REF _Ref470939622 \r \h </w:instrText>
      </w:r>
      <w:r w:rsidR="00061A51">
        <w:rPr>
          <w:lang w:val="en-US"/>
        </w:rPr>
      </w:r>
      <w:r w:rsidR="00061A51">
        <w:rPr>
          <w:lang w:val="en-US"/>
        </w:rPr>
        <w:fldChar w:fldCharType="separate"/>
      </w:r>
      <w:r w:rsidR="00061A51">
        <w:rPr>
          <w:lang w:val="en-US"/>
        </w:rPr>
        <w:t>[1]</w:t>
      </w:r>
      <w:r w:rsidR="00061A51">
        <w:rPr>
          <w:lang w:val="en-US"/>
        </w:rPr>
        <w:fldChar w:fldCharType="end"/>
      </w:r>
      <w:r>
        <w:t>. It is also based on the usage of dynamic met</w:t>
      </w:r>
      <w:r w:rsidR="00E75FBA">
        <w:t xml:space="preserve">adata to perform at decoder side the </w:t>
      </w:r>
      <w:r w:rsidR="001B6D0B">
        <w:t xml:space="preserve">inverse </w:t>
      </w:r>
      <w:r w:rsidR="00E75FBA">
        <w:t>conversion from the decoded S</w:t>
      </w:r>
      <w:r w:rsidR="00923F6D">
        <w:t>DR</w:t>
      </w:r>
      <w:r w:rsidR="00E75FBA">
        <w:t xml:space="preserve"> signal to an </w:t>
      </w:r>
      <w:r w:rsidR="00104078">
        <w:t>H</w:t>
      </w:r>
      <w:r w:rsidR="00E75FBA">
        <w:t>DR version close to the input HDR.</w:t>
      </w:r>
      <w:r w:rsidR="00923F6D">
        <w:t xml:space="preserve"> The conversio</w:t>
      </w:r>
      <w:r w:rsidR="00143142">
        <w:t xml:space="preserve">n and </w:t>
      </w:r>
      <w:r w:rsidR="001B6D0B">
        <w:t xml:space="preserve">inverse </w:t>
      </w:r>
      <w:r w:rsidR="00143142">
        <w:t xml:space="preserve">conversion processes, </w:t>
      </w:r>
      <w:r w:rsidR="00923F6D">
        <w:t xml:space="preserve">shown in </w:t>
      </w:r>
      <w:r w:rsidR="00923F6D">
        <w:fldChar w:fldCharType="begin"/>
      </w:r>
      <w:r w:rsidR="00923F6D">
        <w:instrText xml:space="preserve"> REF _Ref470864502 \h </w:instrText>
      </w:r>
      <w:r w:rsidR="00923F6D">
        <w:fldChar w:fldCharType="separate"/>
      </w:r>
      <w:r w:rsidR="00952710">
        <w:t xml:space="preserve">Figure </w:t>
      </w:r>
      <w:r w:rsidR="00952710">
        <w:rPr>
          <w:noProof/>
        </w:rPr>
        <w:t>8</w:t>
      </w:r>
      <w:r w:rsidR="00923F6D">
        <w:fldChar w:fldCharType="end"/>
      </w:r>
      <w:r w:rsidR="00143142">
        <w:t xml:space="preserve">, are </w:t>
      </w:r>
      <w:r w:rsidR="00B5677A">
        <w:t xml:space="preserve">directly </w:t>
      </w:r>
      <w:r w:rsidR="00143142">
        <w:t>applied in the</w:t>
      </w:r>
      <w:r w:rsidR="00143142" w:rsidRPr="00143142">
        <w:rPr>
          <w:lang w:val="en-US"/>
        </w:rPr>
        <w:t xml:space="preserve"> </w:t>
      </w:r>
      <w:r w:rsidR="00143142" w:rsidRPr="008467B6">
        <w:rPr>
          <w:lang w:val="en-US"/>
        </w:rPr>
        <w:t>Y</w:t>
      </w:r>
      <w:r w:rsidR="00143142" w:rsidRPr="008467B6">
        <w:rPr>
          <w:lang w:val="en-US"/>
        </w:rPr>
        <w:sym w:font="Symbol" w:char="F0A2"/>
      </w:r>
      <w:r w:rsidR="00143142" w:rsidRPr="008467B6">
        <w:rPr>
          <w:lang w:val="en-US"/>
        </w:rPr>
        <w:t>CbCr</w:t>
      </w:r>
      <w:r w:rsidR="00143142">
        <w:rPr>
          <w:lang w:val="en-US"/>
        </w:rPr>
        <w:t xml:space="preserve"> 4:2:0 </w:t>
      </w:r>
      <w:r w:rsidR="00BF78AE">
        <w:rPr>
          <w:lang w:val="en-US"/>
        </w:rPr>
        <w:t xml:space="preserve">10-bits </w:t>
      </w:r>
      <w:r w:rsidR="00143142">
        <w:rPr>
          <w:lang w:val="en-US"/>
        </w:rPr>
        <w:t xml:space="preserve">domain. </w:t>
      </w:r>
      <w:r w:rsidR="001B6D0B">
        <w:rPr>
          <w:lang w:val="en-US"/>
        </w:rPr>
        <w:t xml:space="preserve">They involve a dynamic range adaptation (DRA) at encoder to convert the HDR PQ BT.2020 video into an SDR BT.2020 version. The inverse DRA at decoder uses metadata conveyed in CRI SEI messages. </w:t>
      </w:r>
      <w:r w:rsidR="00BF78AE">
        <w:rPr>
          <w:lang w:val="en-US"/>
        </w:rPr>
        <w:t xml:space="preserve">The </w:t>
      </w:r>
      <w:r w:rsidR="001B6D0B">
        <w:rPr>
          <w:lang w:val="en-US"/>
        </w:rPr>
        <w:t xml:space="preserve">three Pre-LUTs of </w:t>
      </w:r>
      <w:r w:rsidR="00BF78AE">
        <w:rPr>
          <w:lang w:val="en-US"/>
        </w:rPr>
        <w:t>CRI</w:t>
      </w:r>
      <w:r w:rsidR="00143142">
        <w:rPr>
          <w:lang w:val="en-US"/>
        </w:rPr>
        <w:t xml:space="preserve"> </w:t>
      </w:r>
      <w:r w:rsidR="001B6D0B">
        <w:rPr>
          <w:lang w:val="en-US"/>
        </w:rPr>
        <w:t>are activated</w:t>
      </w:r>
      <w:r w:rsidR="00143142">
        <w:rPr>
          <w:lang w:val="en-US"/>
        </w:rPr>
        <w:t>. The three-by-three matric and the three Psot-LUTs are not used.</w:t>
      </w:r>
    </w:p>
    <w:p w14:paraId="04384BCC" w14:textId="3616685E" w:rsidR="00923F6D" w:rsidRDefault="00923F6D" w:rsidP="006A4BD4">
      <w:r>
        <w:t xml:space="preserve">In the experiments, the </w:t>
      </w:r>
      <w:r w:rsidR="00B5677A">
        <w:rPr>
          <w:lang w:val="en-US"/>
        </w:rPr>
        <w:t xml:space="preserve">three </w:t>
      </w:r>
      <w:r>
        <w:t xml:space="preserve">CRI </w:t>
      </w:r>
      <w:r w:rsidR="00B5677A">
        <w:rPr>
          <w:lang w:val="en-US"/>
        </w:rPr>
        <w:t>Pre-LUTs</w:t>
      </w:r>
      <w:r w:rsidR="00B5677A">
        <w:t xml:space="preserve"> </w:t>
      </w:r>
      <w:r>
        <w:t xml:space="preserve">are </w:t>
      </w:r>
      <w:r w:rsidR="00A82ADA">
        <w:t xml:space="preserve">automatically </w:t>
      </w:r>
      <w:r>
        <w:t>generated using the SL-HDR1 SDRs as reference SDR</w:t>
      </w:r>
      <w:r w:rsidR="008271BD">
        <w:t>s</w:t>
      </w:r>
      <w:r>
        <w:t xml:space="preserve">. The dynamic range adaptation functions, that map the input HDR signal into an SDR version, aim at mapping the </w:t>
      </w:r>
      <w:r w:rsidR="00B5677A" w:rsidRPr="008467B6">
        <w:rPr>
          <w:lang w:val="en-US"/>
        </w:rPr>
        <w:t>Y</w:t>
      </w:r>
      <w:r w:rsidR="00B5677A" w:rsidRPr="008467B6">
        <w:rPr>
          <w:lang w:val="en-US"/>
        </w:rPr>
        <w:sym w:font="Symbol" w:char="F0A2"/>
      </w:r>
      <w:r w:rsidR="00B5677A">
        <w:rPr>
          <w:lang w:val="en-US"/>
        </w:rPr>
        <w:t xml:space="preserve">, </w:t>
      </w:r>
      <w:r w:rsidR="00B5677A" w:rsidRPr="008467B6">
        <w:rPr>
          <w:lang w:val="en-US"/>
        </w:rPr>
        <w:t>Cb</w:t>
      </w:r>
      <w:r w:rsidR="00B5677A">
        <w:rPr>
          <w:lang w:val="en-US"/>
        </w:rPr>
        <w:t xml:space="preserve"> and </w:t>
      </w:r>
      <w:r w:rsidR="00B5677A" w:rsidRPr="008467B6">
        <w:rPr>
          <w:lang w:val="en-US"/>
        </w:rPr>
        <w:t>Cr</w:t>
      </w:r>
      <w:r w:rsidR="00B5677A">
        <w:rPr>
          <w:lang w:val="en-US"/>
        </w:rPr>
        <w:t xml:space="preserve"> </w:t>
      </w:r>
      <w:r>
        <w:t xml:space="preserve">HDR </w:t>
      </w:r>
      <w:r w:rsidR="00B5677A">
        <w:t xml:space="preserve">componennts </w:t>
      </w:r>
      <w:r>
        <w:t>as close as possib</w:t>
      </w:r>
      <w:r w:rsidR="00B5677A">
        <w:t xml:space="preserve">le </w:t>
      </w:r>
      <w:r>
        <w:t xml:space="preserve">to the reference </w:t>
      </w:r>
      <w:r w:rsidR="00B5677A" w:rsidRPr="008467B6">
        <w:rPr>
          <w:lang w:val="en-US"/>
        </w:rPr>
        <w:t>Y</w:t>
      </w:r>
      <w:r w:rsidR="00B5677A" w:rsidRPr="008467B6">
        <w:rPr>
          <w:lang w:val="en-US"/>
        </w:rPr>
        <w:sym w:font="Symbol" w:char="F0A2"/>
      </w:r>
      <w:r w:rsidR="00B5677A">
        <w:rPr>
          <w:lang w:val="en-US"/>
        </w:rPr>
        <w:t xml:space="preserve">, </w:t>
      </w:r>
      <w:r w:rsidR="00B5677A" w:rsidRPr="008467B6">
        <w:rPr>
          <w:lang w:val="en-US"/>
        </w:rPr>
        <w:t>Cb</w:t>
      </w:r>
      <w:r w:rsidR="00B5677A">
        <w:rPr>
          <w:lang w:val="en-US"/>
        </w:rPr>
        <w:t xml:space="preserve"> and </w:t>
      </w:r>
      <w:r w:rsidR="00B5677A" w:rsidRPr="008467B6">
        <w:rPr>
          <w:lang w:val="en-US"/>
        </w:rPr>
        <w:t>Cr</w:t>
      </w:r>
      <w:r w:rsidR="00B5677A">
        <w:rPr>
          <w:lang w:val="en-US"/>
        </w:rPr>
        <w:t xml:space="preserve"> </w:t>
      </w:r>
      <w:r>
        <w:t>SDR</w:t>
      </w:r>
      <w:r w:rsidR="00B5677A">
        <w:t xml:space="preserve"> components</w:t>
      </w:r>
      <w:r>
        <w:t>. The</w:t>
      </w:r>
      <w:r w:rsidR="00B5677A">
        <w:t>se</w:t>
      </w:r>
      <w:r>
        <w:t xml:space="preserve"> mapping functions must be invertible. The 3 Pre-LUTs conveyed in the CRI are the inverse of these mapping functions. </w:t>
      </w:r>
      <w:r w:rsidR="0075098D">
        <w:t xml:space="preserve">One </w:t>
      </w:r>
      <w:r w:rsidR="001515AA">
        <w:t xml:space="preserve">CRI </w:t>
      </w:r>
      <w:r w:rsidR="0075098D">
        <w:t>SEI per sequence is generated, based on the first HDR PQ and SDR SL-HDR1 picture of the sequence.</w:t>
      </w:r>
    </w:p>
    <w:p w14:paraId="40FA109E" w14:textId="062AADBB" w:rsidR="00901200" w:rsidRDefault="00923F6D" w:rsidP="00923F6D">
      <w:pPr>
        <w:spacing w:before="0"/>
        <w:jc w:val="center"/>
      </w:pPr>
      <w:r w:rsidRPr="008467B6">
        <w:object w:dxaOrig="10835" w:dyaOrig="4375" w14:anchorId="0259A41F">
          <v:shape id="_x0000_i1027" type="#_x0000_t75" style="width:433.5pt;height:173.25pt" o:ole="">
            <v:imagedata r:id="rId23" o:title=""/>
          </v:shape>
          <o:OLEObject Type="Embed" ProgID="Visio.Drawing.11" ShapeID="_x0000_i1027" DrawAspect="Content" ObjectID="_1544988153" r:id="rId24"/>
        </w:object>
      </w:r>
    </w:p>
    <w:p w14:paraId="3E447CDA" w14:textId="12F737C3" w:rsidR="006A4BD4" w:rsidRPr="00412AC2" w:rsidRDefault="006A4BD4" w:rsidP="006A4BD4">
      <w:pPr>
        <w:pStyle w:val="Caption"/>
        <w:spacing w:before="0" w:after="0"/>
        <w:rPr>
          <w:lang w:val="en-GB"/>
        </w:rPr>
      </w:pPr>
      <w:bookmarkStart w:id="22" w:name="_Ref470864502"/>
      <w:r>
        <w:t xml:space="preserve">Figure </w:t>
      </w:r>
      <w:r>
        <w:fldChar w:fldCharType="begin"/>
      </w:r>
      <w:r>
        <w:instrText xml:space="preserve"> SEQ Figure \* ARABIC </w:instrText>
      </w:r>
      <w:r>
        <w:fldChar w:fldCharType="separate"/>
      </w:r>
      <w:r w:rsidR="00952710">
        <w:rPr>
          <w:noProof/>
        </w:rPr>
        <w:t>8</w:t>
      </w:r>
      <w:r>
        <w:rPr>
          <w:noProof/>
        </w:rPr>
        <w:fldChar w:fldCharType="end"/>
      </w:r>
      <w:bookmarkEnd w:id="22"/>
      <w:r>
        <w:t xml:space="preserve">. </w:t>
      </w:r>
      <w:r>
        <w:rPr>
          <w:lang w:val="en-US"/>
        </w:rPr>
        <w:t xml:space="preserve">Conversion (top) and </w:t>
      </w:r>
      <w:r w:rsidR="001B6D0B">
        <w:t xml:space="preserve">inverse </w:t>
      </w:r>
      <w:r>
        <w:rPr>
          <w:lang w:val="en-US"/>
        </w:rPr>
        <w:t xml:space="preserve">conversion (bottom) with </w:t>
      </w:r>
      <w:r w:rsidRPr="008467B6">
        <w:rPr>
          <w:lang w:val="en-US"/>
        </w:rPr>
        <w:t>CRI applied in Y</w:t>
      </w:r>
      <w:r w:rsidRPr="008467B6">
        <w:rPr>
          <w:lang w:val="en-US"/>
        </w:rPr>
        <w:sym w:font="Symbol" w:char="F0A2"/>
      </w:r>
      <w:r w:rsidRPr="008467B6">
        <w:rPr>
          <w:lang w:val="en-US"/>
        </w:rPr>
        <w:t xml:space="preserve">CbCr </w:t>
      </w:r>
      <w:r w:rsidRPr="008467B6">
        <w:rPr>
          <w:lang w:val="en-US" w:eastAsia="zh-CN"/>
        </w:rPr>
        <w:t>4:2:0 domain</w:t>
      </w:r>
      <w:r>
        <w:t>.</w:t>
      </w:r>
    </w:p>
    <w:p w14:paraId="7600F186" w14:textId="60359E64" w:rsidR="00143142" w:rsidRDefault="00143142" w:rsidP="00143142">
      <w:pPr>
        <w:pStyle w:val="Heading2"/>
        <w:ind w:left="720" w:hanging="720"/>
        <w:rPr>
          <w:lang w:val="en-US"/>
        </w:rPr>
      </w:pPr>
      <w:r>
        <w:rPr>
          <w:lang w:val="en-US"/>
        </w:rPr>
        <w:t>TMI applied in R</w:t>
      </w:r>
      <w:r w:rsidRPr="008467B6">
        <w:rPr>
          <w:lang w:val="en-US"/>
        </w:rPr>
        <w:sym w:font="Symbol" w:char="F0A2"/>
      </w:r>
      <w:r>
        <w:rPr>
          <w:lang w:val="en-US"/>
        </w:rPr>
        <w:t>G</w:t>
      </w:r>
      <w:r w:rsidRPr="008467B6">
        <w:rPr>
          <w:lang w:val="en-US"/>
        </w:rPr>
        <w:sym w:font="Symbol" w:char="F0A2"/>
      </w:r>
      <w:r>
        <w:rPr>
          <w:lang w:val="en-US"/>
        </w:rPr>
        <w:t>B</w:t>
      </w:r>
      <w:r w:rsidRPr="008467B6">
        <w:rPr>
          <w:lang w:val="en-US"/>
        </w:rPr>
        <w:sym w:font="Symbol" w:char="F0A2"/>
      </w:r>
      <w:r>
        <w:rPr>
          <w:lang w:val="en-US"/>
        </w:rPr>
        <w:t xml:space="preserve"> 4:4:4 domain </w:t>
      </w:r>
    </w:p>
    <w:p w14:paraId="2F246EEB" w14:textId="3A7EC178" w:rsidR="00BF78AE" w:rsidRDefault="00143142" w:rsidP="00BF78AE">
      <w:pPr>
        <w:rPr>
          <w:lang w:val="en-US"/>
        </w:rPr>
      </w:pPr>
      <w:r>
        <w:rPr>
          <w:lang w:val="en-US"/>
        </w:rPr>
        <w:t xml:space="preserve">The fourth considered solution is described in section 7.2.3 of </w:t>
      </w:r>
      <w:r w:rsidRPr="00100A8E">
        <w:rPr>
          <w:lang w:val="en-US"/>
        </w:rPr>
        <w:t>JCTVC-Y1012</w:t>
      </w:r>
      <w:r w:rsidR="00061A51">
        <w:rPr>
          <w:lang w:val="en-US"/>
        </w:rPr>
        <w:t xml:space="preserve"> </w:t>
      </w:r>
      <w:r w:rsidR="00061A51">
        <w:rPr>
          <w:lang w:val="en-US"/>
        </w:rPr>
        <w:fldChar w:fldCharType="begin"/>
      </w:r>
      <w:r w:rsidR="00061A51">
        <w:rPr>
          <w:lang w:val="en-US"/>
        </w:rPr>
        <w:instrText xml:space="preserve"> REF _Ref470939622 \r \h </w:instrText>
      </w:r>
      <w:r w:rsidR="00061A51">
        <w:rPr>
          <w:lang w:val="en-US"/>
        </w:rPr>
      </w:r>
      <w:r w:rsidR="00061A51">
        <w:rPr>
          <w:lang w:val="en-US"/>
        </w:rPr>
        <w:fldChar w:fldCharType="separate"/>
      </w:r>
      <w:r w:rsidR="00061A51">
        <w:rPr>
          <w:lang w:val="en-US"/>
        </w:rPr>
        <w:t>[1]</w:t>
      </w:r>
      <w:r w:rsidR="00061A51">
        <w:rPr>
          <w:lang w:val="en-US"/>
        </w:rPr>
        <w:fldChar w:fldCharType="end"/>
      </w:r>
      <w:r w:rsidR="00FE0015">
        <w:rPr>
          <w:lang w:val="en-US"/>
        </w:rPr>
        <w:t xml:space="preserve"> and in JCTVC-Y0042</w:t>
      </w:r>
      <w:r w:rsidR="00061A51">
        <w:rPr>
          <w:lang w:val="en-US"/>
        </w:rPr>
        <w:t xml:space="preserve"> </w:t>
      </w:r>
      <w:r w:rsidR="00061A51">
        <w:rPr>
          <w:lang w:val="en-US"/>
        </w:rPr>
        <w:fldChar w:fldCharType="begin"/>
      </w:r>
      <w:r w:rsidR="00061A51">
        <w:rPr>
          <w:lang w:val="en-US"/>
        </w:rPr>
        <w:instrText xml:space="preserve"> REF _Ref467237358 \r \h </w:instrText>
      </w:r>
      <w:r w:rsidR="00061A51">
        <w:rPr>
          <w:lang w:val="en-US"/>
        </w:rPr>
      </w:r>
      <w:r w:rsidR="00061A51">
        <w:rPr>
          <w:lang w:val="en-US"/>
        </w:rPr>
        <w:fldChar w:fldCharType="separate"/>
      </w:r>
      <w:r w:rsidR="00061A51">
        <w:rPr>
          <w:lang w:val="en-US"/>
        </w:rPr>
        <w:t>[5]</w:t>
      </w:r>
      <w:r w:rsidR="00061A51">
        <w:rPr>
          <w:lang w:val="en-US"/>
        </w:rPr>
        <w:fldChar w:fldCharType="end"/>
      </w:r>
      <w:r>
        <w:t xml:space="preserve">. It is also based on the usage of dynamic metadata to perform at decoder side the </w:t>
      </w:r>
      <w:r w:rsidR="001B6D0B">
        <w:t xml:space="preserve">inverse </w:t>
      </w:r>
      <w:r>
        <w:t>conversion from the decoded SDR signal to an HDR version close to the input HDR.</w:t>
      </w:r>
      <w:r w:rsidR="00BF78AE" w:rsidRPr="00BF78AE">
        <w:t xml:space="preserve"> </w:t>
      </w:r>
      <w:r w:rsidR="00BF78AE">
        <w:t xml:space="preserve">The </w:t>
      </w:r>
      <w:r w:rsidR="001B6D0B">
        <w:t>DRA and inverse DRA</w:t>
      </w:r>
      <w:r w:rsidR="00BF78AE">
        <w:t xml:space="preserve"> processes, shown in </w:t>
      </w:r>
      <w:r w:rsidR="00BF78AE">
        <w:fldChar w:fldCharType="begin"/>
      </w:r>
      <w:r w:rsidR="00BF78AE">
        <w:instrText xml:space="preserve"> REF _Ref470865678 \h </w:instrText>
      </w:r>
      <w:r w:rsidR="00BF78AE">
        <w:fldChar w:fldCharType="separate"/>
      </w:r>
      <w:r w:rsidR="00952710">
        <w:t xml:space="preserve">Figure </w:t>
      </w:r>
      <w:r w:rsidR="00952710">
        <w:rPr>
          <w:noProof/>
        </w:rPr>
        <w:t>9</w:t>
      </w:r>
      <w:r w:rsidR="00BF78AE">
        <w:fldChar w:fldCharType="end"/>
      </w:r>
      <w:r w:rsidR="00BF78AE">
        <w:t>, are applied in the</w:t>
      </w:r>
      <w:r w:rsidR="00BF78AE" w:rsidRPr="00143142">
        <w:rPr>
          <w:lang w:val="en-US"/>
        </w:rPr>
        <w:t xml:space="preserve"> </w:t>
      </w:r>
      <w:r w:rsidR="00BF78AE">
        <w:rPr>
          <w:lang w:val="en-US"/>
        </w:rPr>
        <w:t>R</w:t>
      </w:r>
      <w:r w:rsidR="00BF78AE" w:rsidRPr="008467B6">
        <w:rPr>
          <w:lang w:val="en-US"/>
        </w:rPr>
        <w:sym w:font="Symbol" w:char="F0A2"/>
      </w:r>
      <w:r w:rsidR="00BF78AE">
        <w:rPr>
          <w:lang w:val="en-US"/>
        </w:rPr>
        <w:t>G</w:t>
      </w:r>
      <w:r w:rsidR="00BF78AE" w:rsidRPr="008467B6">
        <w:rPr>
          <w:lang w:val="en-US"/>
        </w:rPr>
        <w:sym w:font="Symbol" w:char="F0A2"/>
      </w:r>
      <w:r w:rsidR="00BF78AE">
        <w:rPr>
          <w:lang w:val="en-US"/>
        </w:rPr>
        <w:t>B</w:t>
      </w:r>
      <w:r w:rsidR="00BF78AE" w:rsidRPr="008467B6">
        <w:rPr>
          <w:lang w:val="en-US"/>
        </w:rPr>
        <w:sym w:font="Symbol" w:char="F0A2"/>
      </w:r>
      <w:r w:rsidR="00BF78AE">
        <w:rPr>
          <w:lang w:val="en-US"/>
        </w:rPr>
        <w:t xml:space="preserve"> 4:4:4 domain.</w:t>
      </w:r>
      <w:r w:rsidR="00FE0015">
        <w:rPr>
          <w:lang w:val="en-US"/>
        </w:rPr>
        <w:t xml:space="preserve"> An invertible mapping function is used in the pre-processing to map the luminance signal to SDR. A scaling factor is then derived and applied to the RGB components. The TMI is used to embed the inverse mapping function.</w:t>
      </w:r>
    </w:p>
    <w:p w14:paraId="20C2F872" w14:textId="2E57589D" w:rsidR="00B5677A" w:rsidRDefault="00D00906" w:rsidP="007D0F55">
      <w:pPr>
        <w:spacing w:before="0"/>
        <w:jc w:val="center"/>
        <w:rPr>
          <w:lang w:eastAsia="zh-CN"/>
        </w:rPr>
      </w:pPr>
      <w:r w:rsidRPr="00980878">
        <w:rPr>
          <w:lang w:eastAsia="zh-CN"/>
        </w:rPr>
        <w:object w:dxaOrig="12275" w:dyaOrig="4905" w14:anchorId="57C2B8EC">
          <v:shape id="_x0000_i1028" type="#_x0000_t75" style="width:444pt;height:179.25pt" o:ole="">
            <v:imagedata r:id="rId25" o:title=""/>
          </v:shape>
          <o:OLEObject Type="Embed" ProgID="Visio.Drawing.11" ShapeID="_x0000_i1028" DrawAspect="Content" ObjectID="_1544988154" r:id="rId26"/>
        </w:object>
      </w:r>
    </w:p>
    <w:p w14:paraId="1F8BB4D5" w14:textId="31AD6253" w:rsidR="00B5677A" w:rsidRDefault="00B5677A" w:rsidP="007D0F55">
      <w:pPr>
        <w:pStyle w:val="Caption"/>
        <w:spacing w:before="0" w:after="0"/>
      </w:pPr>
      <w:bookmarkStart w:id="23" w:name="_Ref470865678"/>
      <w:r>
        <w:t xml:space="preserve">Figure </w:t>
      </w:r>
      <w:r>
        <w:fldChar w:fldCharType="begin"/>
      </w:r>
      <w:r>
        <w:instrText xml:space="preserve"> SEQ Figure \* ARABIC </w:instrText>
      </w:r>
      <w:r>
        <w:fldChar w:fldCharType="separate"/>
      </w:r>
      <w:r w:rsidR="00952710">
        <w:rPr>
          <w:noProof/>
        </w:rPr>
        <w:t>9</w:t>
      </w:r>
      <w:r>
        <w:rPr>
          <w:noProof/>
        </w:rPr>
        <w:fldChar w:fldCharType="end"/>
      </w:r>
      <w:bookmarkEnd w:id="23"/>
      <w:r>
        <w:t xml:space="preserve">. </w:t>
      </w:r>
      <w:r>
        <w:rPr>
          <w:lang w:val="en-US"/>
        </w:rPr>
        <w:t xml:space="preserve">Conversion (top) and </w:t>
      </w:r>
      <w:r w:rsidR="001B6D0B">
        <w:t xml:space="preserve">inverse </w:t>
      </w:r>
      <w:r>
        <w:rPr>
          <w:lang w:val="en-US"/>
        </w:rPr>
        <w:t xml:space="preserve">conversion (bottom) </w:t>
      </w:r>
      <w:r w:rsidRPr="008467B6">
        <w:rPr>
          <w:lang w:val="en-US"/>
        </w:rPr>
        <w:t xml:space="preserve">with TMI applied in </w:t>
      </w:r>
      <w:r w:rsidRPr="008467B6">
        <w:rPr>
          <w:lang w:val="en-US" w:eastAsia="zh-CN"/>
        </w:rPr>
        <w:t>RGB 4:4:4 domain</w:t>
      </w:r>
      <w:r>
        <w:t>.</w:t>
      </w:r>
    </w:p>
    <w:p w14:paraId="1AA2683A" w14:textId="256D9420" w:rsidR="00375A9C" w:rsidRDefault="00375A9C" w:rsidP="00375A9C">
      <w:pPr>
        <w:rPr>
          <w:lang w:val="fr-FR"/>
        </w:rPr>
      </w:pPr>
      <w:r>
        <w:rPr>
          <w:lang w:val="fr-FR"/>
        </w:rPr>
        <w:t xml:space="preserve">For this case, the results from contribution </w:t>
      </w:r>
      <w:r>
        <w:rPr>
          <w:lang w:val="en-US"/>
        </w:rPr>
        <w:t>JCTVC-Y0042</w:t>
      </w:r>
      <w:r w:rsidR="00061A51">
        <w:rPr>
          <w:lang w:val="en-US"/>
        </w:rPr>
        <w:t xml:space="preserve"> </w:t>
      </w:r>
      <w:r w:rsidR="00061A51">
        <w:rPr>
          <w:lang w:val="en-US"/>
        </w:rPr>
        <w:fldChar w:fldCharType="begin"/>
      </w:r>
      <w:r w:rsidR="00061A51">
        <w:rPr>
          <w:lang w:val="en-US"/>
        </w:rPr>
        <w:instrText xml:space="preserve"> REF _Ref467237358 \r \h </w:instrText>
      </w:r>
      <w:r w:rsidR="00061A51">
        <w:rPr>
          <w:lang w:val="en-US"/>
        </w:rPr>
      </w:r>
      <w:r w:rsidR="00061A51">
        <w:rPr>
          <w:lang w:val="en-US"/>
        </w:rPr>
        <w:fldChar w:fldCharType="separate"/>
      </w:r>
      <w:r w:rsidR="00061A51">
        <w:rPr>
          <w:lang w:val="en-US"/>
        </w:rPr>
        <w:t>[5]</w:t>
      </w:r>
      <w:r w:rsidR="00061A51">
        <w:rPr>
          <w:lang w:val="en-US"/>
        </w:rPr>
        <w:fldChar w:fldCharType="end"/>
      </w:r>
      <w:r>
        <w:rPr>
          <w:lang w:val="en-US"/>
        </w:rPr>
        <w:t xml:space="preserve"> were used. O</w:t>
      </w:r>
      <w:r>
        <w:rPr>
          <w:lang w:val="fr-FR"/>
        </w:rPr>
        <w:t xml:space="preserve">nly the SDR versions from JCTVC test content were available. Therefore only </w:t>
      </w:r>
      <w:r w:rsidRPr="00375A9C">
        <w:rPr>
          <w:lang w:val="fr-FR"/>
        </w:rPr>
        <w:t>Hurdles</w:t>
      </w:r>
      <w:r>
        <w:rPr>
          <w:lang w:val="fr-FR"/>
        </w:rPr>
        <w:t xml:space="preserve">, </w:t>
      </w:r>
      <w:r w:rsidRPr="00375A9C">
        <w:rPr>
          <w:lang w:val="fr-FR"/>
        </w:rPr>
        <w:t>Starting</w:t>
      </w:r>
      <w:r>
        <w:rPr>
          <w:lang w:val="fr-FR"/>
        </w:rPr>
        <w:t xml:space="preserve">, </w:t>
      </w:r>
      <w:r w:rsidRPr="00375A9C">
        <w:rPr>
          <w:lang w:val="fr-FR"/>
        </w:rPr>
        <w:t>Market</w:t>
      </w:r>
      <w:r>
        <w:rPr>
          <w:lang w:val="fr-FR"/>
        </w:rPr>
        <w:t xml:space="preserve"> and </w:t>
      </w:r>
      <w:r w:rsidRPr="00375A9C">
        <w:rPr>
          <w:lang w:val="fr-FR"/>
        </w:rPr>
        <w:t>BalloonFestival</w:t>
      </w:r>
      <w:r>
        <w:rPr>
          <w:lang w:val="fr-FR"/>
        </w:rPr>
        <w:t xml:space="preserve"> have been used for this case.</w:t>
      </w:r>
    </w:p>
    <w:p w14:paraId="204C4F06" w14:textId="76D6E736" w:rsidR="00364E0C" w:rsidRDefault="00386A3E" w:rsidP="0069584C">
      <w:pPr>
        <w:pStyle w:val="Heading1"/>
        <w:rPr>
          <w:noProof/>
        </w:rPr>
      </w:pPr>
      <w:bookmarkStart w:id="24" w:name="_Ref457303412"/>
      <w:bookmarkStart w:id="25" w:name="_Toc457308307"/>
      <w:r>
        <w:t>Visual tests</w:t>
      </w:r>
      <w:r w:rsidR="0069584C" w:rsidRPr="00F83B72">
        <w:t xml:space="preserve"> </w:t>
      </w:r>
      <w:r w:rsidR="00F117BE">
        <w:t>description</w:t>
      </w:r>
    </w:p>
    <w:p w14:paraId="7F5F712F" w14:textId="5EA11468" w:rsidR="0069584C" w:rsidRDefault="00364E0C" w:rsidP="00364E0C">
      <w:pPr>
        <w:pStyle w:val="Heading2"/>
        <w:rPr>
          <w:noProof/>
        </w:rPr>
      </w:pPr>
      <w:r>
        <w:rPr>
          <w:lang w:val="en-US"/>
        </w:rPr>
        <w:t xml:space="preserve">Test </w:t>
      </w:r>
      <w:r w:rsidR="0069584C" w:rsidRPr="00F83B72">
        <w:t>environment and methodology</w:t>
      </w:r>
      <w:bookmarkEnd w:id="24"/>
      <w:bookmarkEnd w:id="25"/>
      <w:r w:rsidR="0069584C">
        <w:rPr>
          <w:noProof/>
        </w:rPr>
        <w:t xml:space="preserve"> </w:t>
      </w:r>
    </w:p>
    <w:p w14:paraId="7F3B852D" w14:textId="5D89B8DB" w:rsidR="00332E46" w:rsidRDefault="001B07E2" w:rsidP="00332E46">
      <w:pPr>
        <w:rPr>
          <w:noProof/>
        </w:rPr>
      </w:pPr>
      <w:r>
        <w:t>The g</w:t>
      </w:r>
      <w:r w:rsidRPr="00F401B8">
        <w:t>oal</w:t>
      </w:r>
      <w:r w:rsidR="00332E46">
        <w:t xml:space="preserve"> of the </w:t>
      </w:r>
      <w:r>
        <w:t>tests is to</w:t>
      </w:r>
      <w:r w:rsidRPr="00F76C78">
        <w:t xml:space="preserve"> verify the conformity of colors and texture of the SDR generated by </w:t>
      </w:r>
      <w:r w:rsidR="00332E46">
        <w:t>the various tested technologies</w:t>
      </w:r>
      <w:r w:rsidRPr="00F76C78">
        <w:t xml:space="preserve"> to the HDR content</w:t>
      </w:r>
      <w:r>
        <w:t xml:space="preserve">. </w:t>
      </w:r>
      <w:r w:rsidR="00332E46">
        <w:t>For each solution, t</w:t>
      </w:r>
      <w:r w:rsidR="00332E46" w:rsidRPr="004A7304">
        <w:t xml:space="preserve">he viewers have to to check the </w:t>
      </w:r>
      <w:r w:rsidR="00332E46" w:rsidRPr="004A7304">
        <w:rPr>
          <w:b/>
        </w:rPr>
        <w:t>conformity of the colors and the preservation of the texture</w:t>
      </w:r>
      <w:r w:rsidR="00332E46" w:rsidRPr="004A7304">
        <w:t xml:space="preserve">. </w:t>
      </w:r>
      <w:r w:rsidR="00332E46">
        <w:rPr>
          <w:noProof/>
        </w:rPr>
        <w:t>It was indicated to the viewers that the brightness should, as much as possible, not be taken into account in the conformity assessment.</w:t>
      </w:r>
    </w:p>
    <w:p w14:paraId="3385D179" w14:textId="7684A435" w:rsidR="00D00906" w:rsidRDefault="0062532E" w:rsidP="00803A9A">
      <w:r>
        <w:rPr>
          <w:lang w:val="en-US"/>
        </w:rPr>
        <w:t xml:space="preserve">The methodology used for the tests is inspired from the methodology described in MPEG document </w:t>
      </w:r>
      <w:r>
        <w:rPr>
          <w:color w:val="000000" w:themeColor="text1"/>
          <w:lang w:val="en-GB"/>
        </w:rPr>
        <w:t>m</w:t>
      </w:r>
      <w:r w:rsidRPr="003E1FF7">
        <w:rPr>
          <w:color w:val="000000" w:themeColor="text1"/>
          <w:lang w:val="en-GB"/>
        </w:rPr>
        <w:t>37407</w:t>
      </w:r>
      <w:r>
        <w:rPr>
          <w:color w:val="000000" w:themeColor="text1"/>
          <w:lang w:val="en-GB"/>
        </w:rPr>
        <w:t xml:space="preserve">. </w:t>
      </w:r>
      <w:r w:rsidR="00386A3E">
        <w:rPr>
          <w:color w:val="000000" w:themeColor="text1"/>
          <w:lang w:val="en-GB"/>
        </w:rPr>
        <w:t>The main difference is that, i</w:t>
      </w:r>
      <w:r>
        <w:rPr>
          <w:color w:val="000000" w:themeColor="text1"/>
          <w:lang w:val="en-GB"/>
        </w:rPr>
        <w:t>nstead of using two different displays as in m</w:t>
      </w:r>
      <w:r w:rsidRPr="003E1FF7">
        <w:rPr>
          <w:color w:val="000000" w:themeColor="text1"/>
          <w:lang w:val="en-GB"/>
        </w:rPr>
        <w:t>37407</w:t>
      </w:r>
      <w:r w:rsidR="00061A51">
        <w:rPr>
          <w:color w:val="000000" w:themeColor="text1"/>
          <w:lang w:val="en-GB"/>
        </w:rPr>
        <w:t xml:space="preserve"> </w:t>
      </w:r>
      <w:r w:rsidR="00061A51">
        <w:rPr>
          <w:color w:val="000000" w:themeColor="text1"/>
          <w:lang w:val="en-GB"/>
        </w:rPr>
        <w:fldChar w:fldCharType="begin"/>
      </w:r>
      <w:r w:rsidR="00061A51">
        <w:rPr>
          <w:color w:val="000000" w:themeColor="text1"/>
          <w:lang w:val="en-GB"/>
        </w:rPr>
        <w:instrText xml:space="preserve"> REF _Ref457303237 \r \h </w:instrText>
      </w:r>
      <w:r w:rsidR="00061A51">
        <w:rPr>
          <w:color w:val="000000" w:themeColor="text1"/>
          <w:lang w:val="en-GB"/>
        </w:rPr>
      </w:r>
      <w:r w:rsidR="00061A51">
        <w:rPr>
          <w:color w:val="000000" w:themeColor="text1"/>
          <w:lang w:val="en-GB"/>
        </w:rPr>
        <w:fldChar w:fldCharType="separate"/>
      </w:r>
      <w:r w:rsidR="00061A51">
        <w:rPr>
          <w:color w:val="000000" w:themeColor="text1"/>
          <w:lang w:val="en-GB"/>
        </w:rPr>
        <w:t>[6]</w:t>
      </w:r>
      <w:r w:rsidR="00061A51">
        <w:rPr>
          <w:color w:val="000000" w:themeColor="text1"/>
          <w:lang w:val="en-GB"/>
        </w:rPr>
        <w:fldChar w:fldCharType="end"/>
      </w:r>
      <w:r>
        <w:rPr>
          <w:color w:val="000000" w:themeColor="text1"/>
          <w:lang w:val="en-GB"/>
        </w:rPr>
        <w:t>, t</w:t>
      </w:r>
      <w:r w:rsidR="00332E46" w:rsidRPr="009602A8">
        <w:t>h</w:t>
      </w:r>
      <w:r w:rsidR="00386A3E">
        <w:t>e</w:t>
      </w:r>
      <w:r w:rsidR="00332E46" w:rsidRPr="009602A8">
        <w:t xml:space="preserve"> </w:t>
      </w:r>
      <w:r w:rsidR="00332E46">
        <w:t>test set-up</w:t>
      </w:r>
      <w:r w:rsidR="00332E46" w:rsidRPr="009602A8">
        <w:t xml:space="preserve"> </w:t>
      </w:r>
      <w:r w:rsidR="00332E46">
        <w:t>uses</w:t>
      </w:r>
      <w:r w:rsidR="00332E46" w:rsidRPr="009602A8">
        <w:t xml:space="preserve"> </w:t>
      </w:r>
      <w:r w:rsidR="00803A9A">
        <w:t>one Sim2 for viewing both the HDR and SDR content.</w:t>
      </w:r>
      <w:r w:rsidR="00803A9A" w:rsidRPr="00803A9A">
        <w:t xml:space="preserve"> </w:t>
      </w:r>
      <w:r>
        <w:t xml:space="preserve">This </w:t>
      </w:r>
      <w:r w:rsidR="00803A9A">
        <w:t>guarantee</w:t>
      </w:r>
      <w:r>
        <w:t>s</w:t>
      </w:r>
      <w:r w:rsidR="00803A9A">
        <w:t xml:space="preserve"> that the colors are rendered in the same way for all </w:t>
      </w:r>
      <w:r>
        <w:t xml:space="preserve">test </w:t>
      </w:r>
      <w:r w:rsidR="00803A9A">
        <w:t xml:space="preserve">cases. It was </w:t>
      </w:r>
      <w:r w:rsidR="00526CF3">
        <w:t xml:space="preserve">also </w:t>
      </w:r>
      <w:r w:rsidR="00803A9A">
        <w:t xml:space="preserve">judged that the Sim2 </w:t>
      </w:r>
      <w:r w:rsidR="00D32A0D">
        <w:t>is</w:t>
      </w:r>
      <w:r w:rsidR="00803A9A">
        <w:t xml:space="preserve"> relevant to check content with high mastering peak luminance (up to 5000 cd/m</w:t>
      </w:r>
      <w:r w:rsidR="00803A9A" w:rsidRPr="00332E46">
        <w:rPr>
          <w:vertAlign w:val="superscript"/>
        </w:rPr>
        <w:t>2</w:t>
      </w:r>
      <w:r w:rsidR="00803A9A">
        <w:t>).</w:t>
      </w:r>
      <w:r w:rsidR="00D715EC">
        <w:t xml:space="preserve"> </w:t>
      </w:r>
    </w:p>
    <w:p w14:paraId="5F88F68B" w14:textId="4E5CFECE" w:rsidR="00822E5B" w:rsidRDefault="004F73D0" w:rsidP="00822E5B">
      <w:r>
        <w:t>For each test case, t</w:t>
      </w:r>
      <w:r w:rsidR="00822E5B">
        <w:t xml:space="preserve">he </w:t>
      </w:r>
      <w:r>
        <w:t>test</w:t>
      </w:r>
      <w:r w:rsidR="00822E5B">
        <w:t xml:space="preserve"> </w:t>
      </w:r>
      <w:r w:rsidR="00875FF8">
        <w:t>was</w:t>
      </w:r>
      <w:r w:rsidR="00822E5B">
        <w:t xml:space="preserve"> </w:t>
      </w:r>
      <w:r>
        <w:t>achieved</w:t>
      </w:r>
      <w:r w:rsidR="00822E5B">
        <w:t xml:space="preserve"> as follows:</w:t>
      </w:r>
    </w:p>
    <w:p w14:paraId="24670957" w14:textId="2C7390CB" w:rsidR="00822E5B" w:rsidRPr="00CA1F7B" w:rsidRDefault="004F73D0" w:rsidP="00822E5B">
      <w:pPr>
        <w:pStyle w:val="ListParagraph"/>
        <w:numPr>
          <w:ilvl w:val="0"/>
          <w:numId w:val="25"/>
        </w:numPr>
        <w:tabs>
          <w:tab w:val="clear" w:pos="792"/>
          <w:tab w:val="clear" w:pos="1195"/>
          <w:tab w:val="clear" w:pos="1584"/>
          <w:tab w:val="clear" w:pos="1987"/>
          <w:tab w:val="clear" w:pos="4853"/>
          <w:tab w:val="clear" w:pos="9691"/>
        </w:tabs>
        <w:spacing w:before="0" w:after="200" w:line="276" w:lineRule="auto"/>
        <w:jc w:val="left"/>
      </w:pPr>
      <w:r>
        <w:t xml:space="preserve">HDR </w:t>
      </w:r>
      <w:r w:rsidR="00822E5B" w:rsidRPr="00CA1F7B">
        <w:t>video</w:t>
      </w:r>
      <w:r>
        <w:t xml:space="preserve"> (8 to 10 sec</w:t>
      </w:r>
      <w:r w:rsidR="00822E5B">
        <w:t>)</w:t>
      </w:r>
    </w:p>
    <w:p w14:paraId="1FDE1617" w14:textId="441D7B98" w:rsidR="00822E5B" w:rsidRPr="00CA1F7B" w:rsidRDefault="004F73D0" w:rsidP="00822E5B">
      <w:pPr>
        <w:pStyle w:val="ListParagraph"/>
        <w:numPr>
          <w:ilvl w:val="0"/>
          <w:numId w:val="25"/>
        </w:numPr>
        <w:tabs>
          <w:tab w:val="clear" w:pos="792"/>
          <w:tab w:val="clear" w:pos="1195"/>
          <w:tab w:val="clear" w:pos="1584"/>
          <w:tab w:val="clear" w:pos="1987"/>
          <w:tab w:val="clear" w:pos="4853"/>
          <w:tab w:val="clear" w:pos="9691"/>
        </w:tabs>
        <w:spacing w:before="0" w:after="200" w:line="276" w:lineRule="auto"/>
        <w:jc w:val="left"/>
      </w:pPr>
      <w:r>
        <w:t>Grey picture</w:t>
      </w:r>
      <w:r w:rsidR="00822E5B">
        <w:t xml:space="preserve"> (0,5 sec)</w:t>
      </w:r>
    </w:p>
    <w:p w14:paraId="26022EC6" w14:textId="04A7C14B" w:rsidR="00822E5B" w:rsidRPr="00CA1F7B" w:rsidRDefault="004F73D0" w:rsidP="00822E5B">
      <w:pPr>
        <w:pStyle w:val="ListParagraph"/>
        <w:numPr>
          <w:ilvl w:val="0"/>
          <w:numId w:val="25"/>
        </w:numPr>
        <w:tabs>
          <w:tab w:val="clear" w:pos="792"/>
          <w:tab w:val="clear" w:pos="1195"/>
          <w:tab w:val="clear" w:pos="1584"/>
          <w:tab w:val="clear" w:pos="1987"/>
          <w:tab w:val="clear" w:pos="4853"/>
          <w:tab w:val="clear" w:pos="9691"/>
        </w:tabs>
        <w:spacing w:before="0" w:after="200" w:line="276" w:lineRule="auto"/>
        <w:jc w:val="left"/>
      </w:pPr>
      <w:r>
        <w:t xml:space="preserve">SDR video </w:t>
      </w:r>
      <w:r w:rsidR="00822E5B">
        <w:t>(8 to 1</w:t>
      </w:r>
      <w:r>
        <w:t>0</w:t>
      </w:r>
      <w:r w:rsidR="00822E5B">
        <w:t xml:space="preserve"> sec.)</w:t>
      </w:r>
    </w:p>
    <w:p w14:paraId="3CC9212B" w14:textId="441A5E5F" w:rsidR="00822E5B" w:rsidRPr="00CA1F7B" w:rsidRDefault="00822E5B" w:rsidP="00822E5B">
      <w:pPr>
        <w:pStyle w:val="ListParagraph"/>
        <w:numPr>
          <w:ilvl w:val="0"/>
          <w:numId w:val="25"/>
        </w:numPr>
        <w:tabs>
          <w:tab w:val="clear" w:pos="792"/>
          <w:tab w:val="clear" w:pos="1195"/>
          <w:tab w:val="clear" w:pos="1584"/>
          <w:tab w:val="clear" w:pos="1987"/>
          <w:tab w:val="clear" w:pos="4853"/>
          <w:tab w:val="clear" w:pos="9691"/>
        </w:tabs>
        <w:spacing w:before="0" w:after="200" w:line="276" w:lineRule="auto"/>
        <w:jc w:val="left"/>
      </w:pPr>
      <w:r>
        <w:t>message “Vote N” (5 sec.)</w:t>
      </w:r>
    </w:p>
    <w:p w14:paraId="61080788" w14:textId="4467FC2A" w:rsidR="004F73D0" w:rsidRDefault="004F73D0" w:rsidP="004F73D0">
      <w:pPr>
        <w:pStyle w:val="ListParagraph"/>
        <w:numPr>
          <w:ilvl w:val="0"/>
          <w:numId w:val="25"/>
        </w:numPr>
        <w:tabs>
          <w:tab w:val="clear" w:pos="792"/>
          <w:tab w:val="clear" w:pos="1195"/>
          <w:tab w:val="clear" w:pos="1584"/>
          <w:tab w:val="clear" w:pos="1987"/>
          <w:tab w:val="clear" w:pos="4853"/>
          <w:tab w:val="clear" w:pos="9691"/>
        </w:tabs>
        <w:spacing w:before="0" w:after="200" w:line="276" w:lineRule="auto"/>
        <w:jc w:val="left"/>
      </w:pPr>
      <w:r>
        <w:t>Grey picture (0,5 sec)</w:t>
      </w:r>
    </w:p>
    <w:p w14:paraId="4211A840" w14:textId="23DAE703" w:rsidR="00887D23" w:rsidRDefault="00F117BE" w:rsidP="00464E41">
      <w:r>
        <w:t xml:space="preserve">For each sequence, the different test cases (resulting from the different tested technologies) were presented, according the sequence explained above. </w:t>
      </w:r>
      <w:r w:rsidR="00464E41">
        <w:t xml:space="preserve">The order of presentation of the various test </w:t>
      </w:r>
      <w:r w:rsidR="00464E41" w:rsidRPr="007C5B00">
        <w:t xml:space="preserve">cases </w:t>
      </w:r>
      <w:r w:rsidR="00887D23" w:rsidRPr="007C5B00">
        <w:t>has been</w:t>
      </w:r>
      <w:r w:rsidR="00464E41" w:rsidRPr="007C5B00">
        <w:t xml:space="preserve"> randomized</w:t>
      </w:r>
      <w:r w:rsidR="00887D23" w:rsidRPr="007C5B00">
        <w:t>.</w:t>
      </w:r>
      <w:r w:rsidR="00364E0C" w:rsidRPr="007C5B00">
        <w:t xml:space="preserve"> One test session involved two viewers during around 15 min.</w:t>
      </w:r>
      <w:r w:rsidR="009E61A6" w:rsidRPr="007C5B00">
        <w:t xml:space="preserve"> The tests were performed with </w:t>
      </w:r>
      <w:r w:rsidR="007C5B00">
        <w:t>26</w:t>
      </w:r>
      <w:r w:rsidR="009E61A6" w:rsidRPr="007C5B00">
        <w:t xml:space="preserve"> viewers, among which </w:t>
      </w:r>
      <w:r w:rsidR="007C5B00">
        <w:t>1</w:t>
      </w:r>
      <w:r w:rsidR="009E61A6" w:rsidRPr="007C5B00">
        <w:t xml:space="preserve"> </w:t>
      </w:r>
      <w:r w:rsidR="008A66A5" w:rsidRPr="007C5B00">
        <w:t>was</w:t>
      </w:r>
      <w:r w:rsidR="009E61A6">
        <w:t xml:space="preserve"> considered as outlier</w:t>
      </w:r>
      <w:r w:rsidR="008A66A5">
        <w:t xml:space="preserve"> (based on detection test </w:t>
      </w:r>
      <w:r w:rsidR="00536B7A">
        <w:t xml:space="preserve">derived </w:t>
      </w:r>
      <w:r w:rsidR="008A66A5">
        <w:t xml:space="preserve">from Rec. </w:t>
      </w:r>
      <w:r w:rsidR="008A66A5" w:rsidRPr="00DC3A3F">
        <w:t>ITU-R  BT.500-13</w:t>
      </w:r>
      <w:r w:rsidR="008A66A5">
        <w:t xml:space="preserve"> </w:t>
      </w:r>
      <w:r w:rsidR="008A66A5">
        <w:fldChar w:fldCharType="begin"/>
      </w:r>
      <w:r w:rsidR="008A66A5">
        <w:instrText xml:space="preserve"> REF _Ref470940182 \r \h </w:instrText>
      </w:r>
      <w:r w:rsidR="008A66A5">
        <w:fldChar w:fldCharType="separate"/>
      </w:r>
      <w:r w:rsidR="008A66A5">
        <w:t>[7]</w:t>
      </w:r>
      <w:r w:rsidR="008A66A5">
        <w:fldChar w:fldCharType="end"/>
      </w:r>
      <w:r w:rsidR="008A66A5">
        <w:t>)</w:t>
      </w:r>
      <w:r w:rsidR="009E61A6">
        <w:t>.</w:t>
      </w:r>
    </w:p>
    <w:p w14:paraId="508B2C96" w14:textId="227E7925" w:rsidR="00875FF8" w:rsidRDefault="00875FF8" w:rsidP="00875FF8">
      <w:r w:rsidRPr="00F83B72">
        <w:t xml:space="preserve">The eleven-grade mean-opinion score (MOS) scale </w:t>
      </w:r>
      <w:r>
        <w:t xml:space="preserve">ranging </w:t>
      </w:r>
      <w:r w:rsidRPr="00F83B72">
        <w:t xml:space="preserve">from 0 to 10 was used. They may be interpreted as </w:t>
      </w:r>
      <w:r>
        <w:t xml:space="preserve">shown in </w:t>
      </w:r>
      <w:r>
        <w:fldChar w:fldCharType="begin"/>
      </w:r>
      <w:r>
        <w:instrText xml:space="preserve"> REF _Ref454659790 \h </w:instrText>
      </w:r>
      <w:r>
        <w:fldChar w:fldCharType="separate"/>
      </w:r>
      <w:r w:rsidR="00952710" w:rsidRPr="00F83B72">
        <w:t>Table </w:t>
      </w:r>
      <w:r w:rsidR="00952710">
        <w:rPr>
          <w:noProof/>
        </w:rPr>
        <w:t>2</w:t>
      </w:r>
      <w:r>
        <w:fldChar w:fldCharType="end"/>
      </w:r>
      <w:r w:rsidRPr="00F83B72">
        <w:t>.</w:t>
      </w:r>
    </w:p>
    <w:p w14:paraId="063A550E" w14:textId="68EEB300" w:rsidR="00875FF8" w:rsidRPr="00F83B72" w:rsidRDefault="00875FF8" w:rsidP="00875FF8">
      <w:pPr>
        <w:pStyle w:val="Caption"/>
        <w:keepNext/>
        <w:spacing w:after="0"/>
        <w:rPr>
          <w:lang w:val="en-CA"/>
        </w:rPr>
      </w:pPr>
      <w:bookmarkStart w:id="26" w:name="_Ref454659790"/>
      <w:bookmarkStart w:id="27" w:name="_Ref454659783"/>
      <w:r w:rsidRPr="00F83B72">
        <w:rPr>
          <w:lang w:val="en-CA"/>
        </w:rPr>
        <w:t>Table </w:t>
      </w:r>
      <w:r w:rsidRPr="00F83B72">
        <w:rPr>
          <w:lang w:val="en-CA"/>
        </w:rPr>
        <w:fldChar w:fldCharType="begin"/>
      </w:r>
      <w:r w:rsidRPr="00F83B72">
        <w:rPr>
          <w:lang w:val="en-CA"/>
        </w:rPr>
        <w:instrText xml:space="preserve"> seq Table </w:instrText>
      </w:r>
      <w:r w:rsidRPr="00F83B72">
        <w:rPr>
          <w:lang w:val="en-CA"/>
        </w:rPr>
        <w:fldChar w:fldCharType="separate"/>
      </w:r>
      <w:r w:rsidR="00952710">
        <w:rPr>
          <w:noProof/>
          <w:lang w:val="en-CA"/>
        </w:rPr>
        <w:t>2</w:t>
      </w:r>
      <w:r w:rsidRPr="00F83B72">
        <w:rPr>
          <w:lang w:val="en-CA"/>
        </w:rPr>
        <w:fldChar w:fldCharType="end"/>
      </w:r>
      <w:bookmarkEnd w:id="26"/>
      <w:r>
        <w:rPr>
          <w:lang w:val="en-CA"/>
        </w:rPr>
        <w:t>.</w:t>
      </w:r>
      <w:r w:rsidRPr="00F83B72">
        <w:rPr>
          <w:lang w:val="en-CA"/>
        </w:rPr>
        <w:t xml:space="preserve"> </w:t>
      </w:r>
      <w:bookmarkEnd w:id="27"/>
      <w:r>
        <w:rPr>
          <w:lang w:val="en-CA"/>
        </w:rPr>
        <w:t>Interpretation of MOS score values.</w:t>
      </w:r>
    </w:p>
    <w:p w14:paraId="06DDB668" w14:textId="77777777" w:rsidR="00875FF8" w:rsidRPr="00F83B72" w:rsidRDefault="00875FF8" w:rsidP="00875FF8">
      <w:pPr>
        <w:rPr>
          <w:sz w:val="4"/>
        </w:rPr>
      </w:pPr>
    </w:p>
    <w:tbl>
      <w:tblPr>
        <w:tblW w:w="6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6135"/>
      </w:tblGrid>
      <w:tr w:rsidR="00875FF8" w:rsidRPr="00875FF8" w14:paraId="0BC08D98" w14:textId="77777777" w:rsidTr="00875FF8">
        <w:trPr>
          <w:jc w:val="center"/>
        </w:trPr>
        <w:tc>
          <w:tcPr>
            <w:tcW w:w="716" w:type="dxa"/>
            <w:shd w:val="clear" w:color="auto" w:fill="auto"/>
            <w:vAlign w:val="bottom"/>
          </w:tcPr>
          <w:p w14:paraId="23BCDB7E" w14:textId="50BC1DC1" w:rsidR="00875FF8" w:rsidRPr="00875FF8" w:rsidRDefault="00875FF8" w:rsidP="00223381">
            <w:pPr>
              <w:keepNext/>
              <w:spacing w:before="0"/>
              <w:jc w:val="right"/>
              <w:rPr>
                <w:b/>
              </w:rPr>
            </w:pPr>
            <w:r w:rsidRPr="00875FF8">
              <w:rPr>
                <w:b/>
              </w:rPr>
              <w:lastRenderedPageBreak/>
              <w:t>MOS</w:t>
            </w:r>
          </w:p>
        </w:tc>
        <w:tc>
          <w:tcPr>
            <w:tcW w:w="6135" w:type="dxa"/>
          </w:tcPr>
          <w:p w14:paraId="1F3D3FAD" w14:textId="5F213614" w:rsidR="00875FF8" w:rsidRPr="00875FF8" w:rsidRDefault="00875FF8" w:rsidP="00223381">
            <w:pPr>
              <w:keepNext/>
              <w:spacing w:before="0"/>
              <w:rPr>
                <w:b/>
              </w:rPr>
            </w:pPr>
            <w:r w:rsidRPr="00875FF8">
              <w:rPr>
                <w:b/>
              </w:rPr>
              <w:t xml:space="preserve">Explanation </w:t>
            </w:r>
          </w:p>
        </w:tc>
      </w:tr>
      <w:tr w:rsidR="00875FF8" w:rsidRPr="00F83B72" w14:paraId="7AF71757" w14:textId="77777777" w:rsidTr="00875FF8">
        <w:trPr>
          <w:jc w:val="center"/>
        </w:trPr>
        <w:tc>
          <w:tcPr>
            <w:tcW w:w="716" w:type="dxa"/>
            <w:shd w:val="clear" w:color="auto" w:fill="auto"/>
            <w:vAlign w:val="bottom"/>
          </w:tcPr>
          <w:p w14:paraId="02AB6FBA" w14:textId="4D718292" w:rsidR="00875FF8" w:rsidRPr="00F83B72" w:rsidRDefault="00875FF8" w:rsidP="00875FF8">
            <w:pPr>
              <w:keepNext/>
              <w:spacing w:before="0"/>
              <w:jc w:val="right"/>
            </w:pPr>
            <w:r w:rsidRPr="00F83B72">
              <w:t>10</w:t>
            </w:r>
          </w:p>
        </w:tc>
        <w:tc>
          <w:tcPr>
            <w:tcW w:w="6135" w:type="dxa"/>
          </w:tcPr>
          <w:p w14:paraId="2FDAF767" w14:textId="77777777" w:rsidR="00875FF8" w:rsidRDefault="00875FF8" w:rsidP="00875FF8">
            <w:pPr>
              <w:keepNext/>
              <w:spacing w:before="0"/>
            </w:pPr>
            <w:r w:rsidRPr="00F83B72">
              <w:t xml:space="preserve">denotes a quality of reproduction that is perfectly faithful to the original. </w:t>
            </w:r>
          </w:p>
          <w:p w14:paraId="05E9F20A" w14:textId="17DDB7A5" w:rsidR="00875FF8" w:rsidRPr="00F83B72" w:rsidRDefault="00875FF8" w:rsidP="00875FF8">
            <w:pPr>
              <w:keepNext/>
              <w:spacing w:before="0"/>
            </w:pPr>
            <w:r w:rsidRPr="00F83B72">
              <w:t>No further improvement is possible.</w:t>
            </w:r>
          </w:p>
        </w:tc>
      </w:tr>
      <w:tr w:rsidR="00875FF8" w:rsidRPr="00F83B72" w14:paraId="4C8B6898" w14:textId="77777777" w:rsidTr="00875FF8">
        <w:trPr>
          <w:jc w:val="center"/>
        </w:trPr>
        <w:tc>
          <w:tcPr>
            <w:tcW w:w="716" w:type="dxa"/>
            <w:shd w:val="clear" w:color="auto" w:fill="auto"/>
            <w:vAlign w:val="center"/>
          </w:tcPr>
          <w:p w14:paraId="74474DCB" w14:textId="7A3CCDAB" w:rsidR="00875FF8" w:rsidRPr="00F83B72" w:rsidRDefault="00875FF8" w:rsidP="00875FF8">
            <w:pPr>
              <w:keepNext/>
              <w:spacing w:before="0"/>
              <w:jc w:val="right"/>
            </w:pPr>
            <w:r w:rsidRPr="00F83B72">
              <w:t>9</w:t>
            </w:r>
          </w:p>
        </w:tc>
        <w:tc>
          <w:tcPr>
            <w:tcW w:w="6135" w:type="dxa"/>
          </w:tcPr>
          <w:p w14:paraId="6E8056B6" w14:textId="77777777" w:rsidR="00875FF8" w:rsidRPr="00F83B72" w:rsidRDefault="00875FF8" w:rsidP="00875FF8">
            <w:pPr>
              <w:keepNext/>
              <w:spacing w:before="0"/>
            </w:pPr>
            <w:r w:rsidRPr="00F83B72">
              <w:t>Excellent</w:t>
            </w:r>
          </w:p>
        </w:tc>
      </w:tr>
      <w:tr w:rsidR="00875FF8" w:rsidRPr="00F83B72" w14:paraId="65D76011" w14:textId="77777777" w:rsidTr="00875FF8">
        <w:trPr>
          <w:jc w:val="center"/>
        </w:trPr>
        <w:tc>
          <w:tcPr>
            <w:tcW w:w="716" w:type="dxa"/>
            <w:shd w:val="clear" w:color="auto" w:fill="auto"/>
            <w:vAlign w:val="center"/>
          </w:tcPr>
          <w:p w14:paraId="1B387F64" w14:textId="09CC731C" w:rsidR="00875FF8" w:rsidRPr="00F83B72" w:rsidRDefault="00875FF8" w:rsidP="00875FF8">
            <w:pPr>
              <w:keepNext/>
              <w:spacing w:before="0"/>
              <w:jc w:val="right"/>
            </w:pPr>
            <w:r>
              <w:t>8</w:t>
            </w:r>
          </w:p>
        </w:tc>
        <w:tc>
          <w:tcPr>
            <w:tcW w:w="6135" w:type="dxa"/>
          </w:tcPr>
          <w:p w14:paraId="617BCF95" w14:textId="77777777" w:rsidR="00875FF8" w:rsidRPr="00F83B72" w:rsidRDefault="00875FF8" w:rsidP="00875FF8">
            <w:pPr>
              <w:keepNext/>
              <w:spacing w:before="0"/>
            </w:pPr>
          </w:p>
        </w:tc>
      </w:tr>
      <w:tr w:rsidR="00875FF8" w:rsidRPr="00F83B72" w14:paraId="7BF81E02" w14:textId="77777777" w:rsidTr="00875FF8">
        <w:trPr>
          <w:jc w:val="center"/>
        </w:trPr>
        <w:tc>
          <w:tcPr>
            <w:tcW w:w="716" w:type="dxa"/>
            <w:shd w:val="clear" w:color="auto" w:fill="auto"/>
            <w:vAlign w:val="center"/>
          </w:tcPr>
          <w:p w14:paraId="128D5D52" w14:textId="36FD5C3A" w:rsidR="00875FF8" w:rsidRPr="00F83B72" w:rsidRDefault="00875FF8" w:rsidP="00875FF8">
            <w:pPr>
              <w:keepNext/>
              <w:spacing w:before="0"/>
              <w:jc w:val="right"/>
            </w:pPr>
            <w:r>
              <w:t>7</w:t>
            </w:r>
          </w:p>
        </w:tc>
        <w:tc>
          <w:tcPr>
            <w:tcW w:w="6135" w:type="dxa"/>
          </w:tcPr>
          <w:p w14:paraId="5441D0E7" w14:textId="77777777" w:rsidR="00875FF8" w:rsidRPr="00F83B72" w:rsidRDefault="00875FF8" w:rsidP="00875FF8">
            <w:pPr>
              <w:keepNext/>
              <w:spacing w:before="0"/>
            </w:pPr>
            <w:r w:rsidRPr="00F83B72">
              <w:t>Good</w:t>
            </w:r>
          </w:p>
        </w:tc>
      </w:tr>
      <w:tr w:rsidR="00875FF8" w:rsidRPr="00F83B72" w14:paraId="5886DE8E" w14:textId="77777777" w:rsidTr="00875FF8">
        <w:trPr>
          <w:jc w:val="center"/>
        </w:trPr>
        <w:tc>
          <w:tcPr>
            <w:tcW w:w="716" w:type="dxa"/>
            <w:shd w:val="clear" w:color="auto" w:fill="auto"/>
            <w:vAlign w:val="center"/>
          </w:tcPr>
          <w:p w14:paraId="78A428BC" w14:textId="75D65D7F" w:rsidR="00875FF8" w:rsidRPr="00F83B72" w:rsidRDefault="00875FF8" w:rsidP="00875FF8">
            <w:pPr>
              <w:keepNext/>
              <w:spacing w:before="0"/>
              <w:jc w:val="right"/>
            </w:pPr>
            <w:r>
              <w:t>6</w:t>
            </w:r>
          </w:p>
        </w:tc>
        <w:tc>
          <w:tcPr>
            <w:tcW w:w="6135" w:type="dxa"/>
          </w:tcPr>
          <w:p w14:paraId="4CBBB7CC" w14:textId="77777777" w:rsidR="00875FF8" w:rsidRPr="00F83B72" w:rsidRDefault="00875FF8" w:rsidP="00875FF8">
            <w:pPr>
              <w:keepNext/>
              <w:spacing w:before="0"/>
            </w:pPr>
          </w:p>
        </w:tc>
      </w:tr>
      <w:tr w:rsidR="00875FF8" w:rsidRPr="00F83B72" w14:paraId="42237FA3" w14:textId="77777777" w:rsidTr="00875FF8">
        <w:trPr>
          <w:jc w:val="center"/>
        </w:trPr>
        <w:tc>
          <w:tcPr>
            <w:tcW w:w="716" w:type="dxa"/>
            <w:shd w:val="clear" w:color="auto" w:fill="auto"/>
            <w:vAlign w:val="center"/>
          </w:tcPr>
          <w:p w14:paraId="4914D86F" w14:textId="0D32BA90" w:rsidR="00875FF8" w:rsidRPr="00F83B72" w:rsidRDefault="00875FF8" w:rsidP="00875FF8">
            <w:pPr>
              <w:keepNext/>
              <w:spacing w:before="0"/>
              <w:jc w:val="right"/>
            </w:pPr>
            <w:r>
              <w:t>5</w:t>
            </w:r>
          </w:p>
        </w:tc>
        <w:tc>
          <w:tcPr>
            <w:tcW w:w="6135" w:type="dxa"/>
          </w:tcPr>
          <w:p w14:paraId="3FBFF4EA" w14:textId="77777777" w:rsidR="00875FF8" w:rsidRPr="00F83B72" w:rsidRDefault="00875FF8" w:rsidP="00875FF8">
            <w:pPr>
              <w:keepNext/>
              <w:spacing w:before="0"/>
            </w:pPr>
            <w:r w:rsidRPr="00F83B72">
              <w:t>Fair</w:t>
            </w:r>
          </w:p>
        </w:tc>
      </w:tr>
      <w:tr w:rsidR="00875FF8" w:rsidRPr="00F83B72" w14:paraId="33CFF4AE" w14:textId="77777777" w:rsidTr="00875FF8">
        <w:trPr>
          <w:jc w:val="center"/>
        </w:trPr>
        <w:tc>
          <w:tcPr>
            <w:tcW w:w="716" w:type="dxa"/>
            <w:shd w:val="clear" w:color="auto" w:fill="auto"/>
            <w:vAlign w:val="center"/>
          </w:tcPr>
          <w:p w14:paraId="66E466C1" w14:textId="69872A64" w:rsidR="00875FF8" w:rsidRPr="00F83B72" w:rsidRDefault="00875FF8" w:rsidP="00875FF8">
            <w:pPr>
              <w:keepNext/>
              <w:spacing w:before="0"/>
              <w:jc w:val="right"/>
            </w:pPr>
            <w:r>
              <w:t>4</w:t>
            </w:r>
          </w:p>
        </w:tc>
        <w:tc>
          <w:tcPr>
            <w:tcW w:w="6135" w:type="dxa"/>
          </w:tcPr>
          <w:p w14:paraId="6346F272" w14:textId="77777777" w:rsidR="00875FF8" w:rsidRPr="00F83B72" w:rsidRDefault="00875FF8" w:rsidP="00875FF8">
            <w:pPr>
              <w:keepNext/>
              <w:spacing w:before="0"/>
            </w:pPr>
          </w:p>
        </w:tc>
      </w:tr>
      <w:tr w:rsidR="00875FF8" w:rsidRPr="00F83B72" w14:paraId="0EA4EC16" w14:textId="77777777" w:rsidTr="00875FF8">
        <w:trPr>
          <w:jc w:val="center"/>
        </w:trPr>
        <w:tc>
          <w:tcPr>
            <w:tcW w:w="716" w:type="dxa"/>
            <w:shd w:val="clear" w:color="auto" w:fill="auto"/>
            <w:vAlign w:val="center"/>
          </w:tcPr>
          <w:p w14:paraId="4BEA74F4" w14:textId="0C5DDC5D" w:rsidR="00875FF8" w:rsidRPr="00F83B72" w:rsidRDefault="00875FF8" w:rsidP="00875FF8">
            <w:pPr>
              <w:keepNext/>
              <w:spacing w:before="0"/>
              <w:jc w:val="right"/>
            </w:pPr>
            <w:r>
              <w:t>3</w:t>
            </w:r>
          </w:p>
        </w:tc>
        <w:tc>
          <w:tcPr>
            <w:tcW w:w="6135" w:type="dxa"/>
          </w:tcPr>
          <w:p w14:paraId="7C9581E3" w14:textId="77777777" w:rsidR="00875FF8" w:rsidRPr="00F83B72" w:rsidRDefault="00875FF8" w:rsidP="00875FF8">
            <w:pPr>
              <w:keepNext/>
              <w:spacing w:before="0"/>
            </w:pPr>
            <w:r w:rsidRPr="00F83B72">
              <w:t>Poor</w:t>
            </w:r>
          </w:p>
        </w:tc>
      </w:tr>
      <w:tr w:rsidR="00875FF8" w:rsidRPr="00F83B72" w14:paraId="1AA09BE9" w14:textId="77777777" w:rsidTr="00875FF8">
        <w:trPr>
          <w:jc w:val="center"/>
        </w:trPr>
        <w:tc>
          <w:tcPr>
            <w:tcW w:w="716" w:type="dxa"/>
            <w:shd w:val="clear" w:color="auto" w:fill="auto"/>
            <w:vAlign w:val="center"/>
          </w:tcPr>
          <w:p w14:paraId="6801BCF7" w14:textId="3A728065" w:rsidR="00875FF8" w:rsidRPr="00F83B72" w:rsidRDefault="00875FF8" w:rsidP="00875FF8">
            <w:pPr>
              <w:keepNext/>
              <w:spacing w:before="0"/>
              <w:jc w:val="right"/>
            </w:pPr>
            <w:r>
              <w:t>2</w:t>
            </w:r>
          </w:p>
        </w:tc>
        <w:tc>
          <w:tcPr>
            <w:tcW w:w="6135" w:type="dxa"/>
          </w:tcPr>
          <w:p w14:paraId="25BB39AE" w14:textId="77777777" w:rsidR="00875FF8" w:rsidRPr="00F83B72" w:rsidRDefault="00875FF8" w:rsidP="00875FF8">
            <w:pPr>
              <w:keepNext/>
              <w:spacing w:before="0"/>
            </w:pPr>
          </w:p>
        </w:tc>
      </w:tr>
      <w:tr w:rsidR="00875FF8" w:rsidRPr="00F83B72" w14:paraId="782FDD39" w14:textId="77777777" w:rsidTr="00875FF8">
        <w:trPr>
          <w:jc w:val="center"/>
        </w:trPr>
        <w:tc>
          <w:tcPr>
            <w:tcW w:w="716" w:type="dxa"/>
            <w:shd w:val="clear" w:color="auto" w:fill="auto"/>
            <w:vAlign w:val="center"/>
          </w:tcPr>
          <w:p w14:paraId="1E89E900" w14:textId="28044BB0" w:rsidR="00875FF8" w:rsidRPr="00F83B72" w:rsidRDefault="00875FF8" w:rsidP="00875FF8">
            <w:pPr>
              <w:keepNext/>
              <w:spacing w:before="0"/>
              <w:jc w:val="right"/>
            </w:pPr>
            <w:r>
              <w:t>1</w:t>
            </w:r>
          </w:p>
        </w:tc>
        <w:tc>
          <w:tcPr>
            <w:tcW w:w="6135" w:type="dxa"/>
          </w:tcPr>
          <w:p w14:paraId="2BBC770C" w14:textId="77777777" w:rsidR="00875FF8" w:rsidRPr="00F83B72" w:rsidRDefault="00875FF8" w:rsidP="00875FF8">
            <w:pPr>
              <w:keepNext/>
              <w:spacing w:before="0"/>
            </w:pPr>
            <w:r w:rsidRPr="00F83B72">
              <w:t>Bad</w:t>
            </w:r>
          </w:p>
        </w:tc>
      </w:tr>
      <w:tr w:rsidR="00875FF8" w:rsidRPr="00F83B72" w14:paraId="694BBEB8" w14:textId="77777777" w:rsidTr="00875FF8">
        <w:trPr>
          <w:jc w:val="center"/>
        </w:trPr>
        <w:tc>
          <w:tcPr>
            <w:tcW w:w="716" w:type="dxa"/>
            <w:shd w:val="clear" w:color="auto" w:fill="auto"/>
          </w:tcPr>
          <w:p w14:paraId="5F46DA0D" w14:textId="05FEBB17" w:rsidR="00875FF8" w:rsidRPr="00F83B72" w:rsidRDefault="00875FF8" w:rsidP="00875FF8">
            <w:pPr>
              <w:keepLines/>
              <w:spacing w:before="0"/>
              <w:jc w:val="right"/>
            </w:pPr>
            <w:r>
              <w:t>0</w:t>
            </w:r>
          </w:p>
        </w:tc>
        <w:tc>
          <w:tcPr>
            <w:tcW w:w="6135" w:type="dxa"/>
          </w:tcPr>
          <w:p w14:paraId="386D7DDA" w14:textId="77777777" w:rsidR="00875FF8" w:rsidRDefault="00875FF8" w:rsidP="00875FF8">
            <w:pPr>
              <w:keepLines/>
              <w:spacing w:before="0"/>
            </w:pPr>
            <w:r w:rsidRPr="00F83B72">
              <w:t xml:space="preserve">denotes a quality of reproduction that has no similarity to the original. </w:t>
            </w:r>
          </w:p>
          <w:p w14:paraId="3C2818CA" w14:textId="7AB62319" w:rsidR="00875FF8" w:rsidRPr="00F83B72" w:rsidRDefault="00875FF8" w:rsidP="00875FF8">
            <w:pPr>
              <w:keepLines/>
              <w:spacing w:before="0"/>
            </w:pPr>
            <w:r w:rsidRPr="00F83B72">
              <w:t>A worse quality cannot be imagined.</w:t>
            </w:r>
          </w:p>
        </w:tc>
      </w:tr>
    </w:tbl>
    <w:p w14:paraId="1CAE8156" w14:textId="77777777" w:rsidR="00534029" w:rsidRDefault="00534029" w:rsidP="00534029">
      <w:pPr>
        <w:pStyle w:val="Heading2"/>
        <w:rPr>
          <w:lang w:val="en-US"/>
        </w:rPr>
      </w:pPr>
      <w:r>
        <w:rPr>
          <w:lang w:val="en-US"/>
        </w:rPr>
        <w:t>Conversion process to Sim2</w:t>
      </w:r>
    </w:p>
    <w:p w14:paraId="6DA48E51" w14:textId="77777777" w:rsidR="00534029" w:rsidRDefault="00534029" w:rsidP="00534029">
      <w:r>
        <w:rPr>
          <w:lang w:val="en-US"/>
        </w:rPr>
        <w:t xml:space="preserve">The conversion process for Sim2 rendering is based on </w:t>
      </w:r>
      <w:r>
        <w:t>HDRTools v0.13, ffmpeg, and Sim2Convert v0.8.1.</w:t>
      </w:r>
    </w:p>
    <w:p w14:paraId="5CF49D9A" w14:textId="44211A96" w:rsidR="00534029" w:rsidRDefault="00534029" w:rsidP="00534029">
      <w:r>
        <w:t>In case of native UHD HDR content, a preliminary downsampling process is applied to HD.</w:t>
      </w:r>
      <w:r w:rsidRPr="00EE45AB">
        <w:t xml:space="preserve"> </w:t>
      </w:r>
      <w:r>
        <w:t xml:space="preserve">The new EXR HD version version is generated in three steps: conversion from linear-light RGB 4:4:4 EXR to RGB 4:4:4 PQ (typically 16 bits), downsampling of the RGB 4:4:4 PQ content to HD resolution, </w:t>
      </w:r>
      <w:r w:rsidR="001B6D0B">
        <w:t xml:space="preserve">inverse </w:t>
      </w:r>
      <w:r>
        <w:t xml:space="preserve">conversion from RGB 4:4:4 PQ to linear-light RGB 4:4:4 EXR. </w:t>
      </w:r>
    </w:p>
    <w:p w14:paraId="2F4F179B" w14:textId="77777777" w:rsidR="00534029" w:rsidRDefault="00534029" w:rsidP="00534029">
      <w:pPr>
        <w:spacing w:before="0"/>
        <w:jc w:val="center"/>
        <w:rPr>
          <w:lang w:val="en-US"/>
        </w:rPr>
      </w:pPr>
      <w:r>
        <w:object w:dxaOrig="6860" w:dyaOrig="1720" w14:anchorId="20454681">
          <v:shape id="_x0000_i1029" type="#_x0000_t75" style="width:342.75pt;height:85.5pt" o:ole="">
            <v:imagedata r:id="rId27" o:title=""/>
          </v:shape>
          <o:OLEObject Type="Embed" ProgID="Visio.Drawing.11" ShapeID="_x0000_i1029" DrawAspect="Content" ObjectID="_1544988155" r:id="rId28"/>
        </w:object>
      </w:r>
    </w:p>
    <w:p w14:paraId="0849560D" w14:textId="1ED50571" w:rsidR="00534029" w:rsidRDefault="00534029" w:rsidP="00534029">
      <w:pPr>
        <w:pStyle w:val="Caption"/>
        <w:spacing w:before="0" w:after="0"/>
      </w:pPr>
      <w:r>
        <w:t xml:space="preserve">Figure </w:t>
      </w:r>
      <w:r>
        <w:fldChar w:fldCharType="begin"/>
      </w:r>
      <w:r>
        <w:instrText xml:space="preserve"> SEQ Figure \* ARABIC </w:instrText>
      </w:r>
      <w:r>
        <w:fldChar w:fldCharType="separate"/>
      </w:r>
      <w:r w:rsidR="00952710">
        <w:rPr>
          <w:noProof/>
        </w:rPr>
        <w:t>10</w:t>
      </w:r>
      <w:r>
        <w:rPr>
          <w:noProof/>
        </w:rPr>
        <w:fldChar w:fldCharType="end"/>
      </w:r>
      <w:r>
        <w:t xml:space="preserve">. </w:t>
      </w:r>
      <w:r>
        <w:rPr>
          <w:lang w:val="en-US"/>
        </w:rPr>
        <w:t>Downsampling chain of UHD linear-light RGB 4:4:4 HDR content.</w:t>
      </w:r>
    </w:p>
    <w:p w14:paraId="0076E1CE" w14:textId="77777777" w:rsidR="00534029" w:rsidRDefault="00534029" w:rsidP="00534029">
      <w:bookmarkStart w:id="28" w:name="_Ref470874679"/>
      <w:r>
        <w:t xml:space="preserve">The conversion of HDR linear-light RGB 4:4:4 EXR content to logLuv Sim2 is made using Sim2Convert, v0.8.1. Clipping to BT.709 color gamut is applied for P3D65 content. </w:t>
      </w:r>
    </w:p>
    <w:p w14:paraId="6BC14E56" w14:textId="77777777" w:rsidR="00534029" w:rsidRDefault="00534029" w:rsidP="00534029">
      <w:r>
        <w:t>The conversion chain of SDR YCbCr 4:2:0 10-bits content is made in two steps. First the SDR YCbCr 4:2:0 10-bits signal is concerted to RGB 4:4:4 EXR SDR, with a peak luminance set to 100 cd/m</w:t>
      </w:r>
      <w:r w:rsidRPr="00336A43">
        <w:rPr>
          <w:vertAlign w:val="superscript"/>
        </w:rPr>
        <w:t>2</w:t>
      </w:r>
      <w:r>
        <w:t xml:space="preserve">. This is indicated using the parameter </w:t>
      </w:r>
      <w:r w:rsidRPr="00336A43">
        <w:t>SourceNormalizationScale</w:t>
      </w:r>
      <w:r>
        <w:t xml:space="preserve"> of HDRTools (v0.13), that is set equal to </w:t>
      </w:r>
      <w:r w:rsidRPr="00336A43">
        <w:t>100</w:t>
      </w:r>
      <w:r>
        <w:t>. The resulting signal is then converted to Sim2 using Sim2Convert, v0.8.1. Clipping to BT.709 color gamut is applied for P3D65 content.</w:t>
      </w:r>
      <w:bookmarkEnd w:id="28"/>
    </w:p>
    <w:p w14:paraId="71E7236A" w14:textId="77777777" w:rsidR="00534029" w:rsidRDefault="00534029" w:rsidP="00534029">
      <w:r>
        <w:t>Content with frame rate above 30 fps are actually displayed at 30 fps.</w:t>
      </w:r>
    </w:p>
    <w:p w14:paraId="358452D5" w14:textId="3C6CE9EA" w:rsidR="00386A3E" w:rsidRPr="0069584C" w:rsidRDefault="00386A3E" w:rsidP="00386A3E">
      <w:pPr>
        <w:pStyle w:val="Heading1"/>
        <w:rPr>
          <w:lang w:val="en-US"/>
        </w:rPr>
      </w:pPr>
      <w:r>
        <w:t>Tests results</w:t>
      </w:r>
    </w:p>
    <w:p w14:paraId="50A6ACA9" w14:textId="4B04EC5E" w:rsidR="006B699B" w:rsidRDefault="004B5837" w:rsidP="004B5837">
      <w:r>
        <w:t>Solutions HLG, SL-HDR1 and CRI were evaluated on the eight test sequences.</w:t>
      </w:r>
      <w:r w:rsidRPr="004B5837">
        <w:t xml:space="preserve"> </w:t>
      </w:r>
      <w:r>
        <w:t xml:space="preserve">For solution TMI, only the results for the four JCTVC test sequences, Hurdles, Starting, Market and BalloonFestival were used, as the other ones were not available from contribution </w:t>
      </w:r>
      <w:r>
        <w:rPr>
          <w:lang w:val="en-US"/>
        </w:rPr>
        <w:t xml:space="preserve">JCTVC-Y0042 </w:t>
      </w:r>
      <w:r>
        <w:rPr>
          <w:lang w:val="en-US"/>
        </w:rPr>
        <w:fldChar w:fldCharType="begin"/>
      </w:r>
      <w:r>
        <w:rPr>
          <w:lang w:val="en-US"/>
        </w:rPr>
        <w:instrText xml:space="preserve"> REF _Ref467237358 \r \h </w:instrText>
      </w:r>
      <w:r>
        <w:rPr>
          <w:lang w:val="en-US"/>
        </w:rPr>
      </w:r>
      <w:r>
        <w:rPr>
          <w:lang w:val="en-US"/>
        </w:rPr>
        <w:fldChar w:fldCharType="separate"/>
      </w:r>
      <w:r>
        <w:rPr>
          <w:lang w:val="en-US"/>
        </w:rPr>
        <w:t>[5]</w:t>
      </w:r>
      <w:r>
        <w:rPr>
          <w:lang w:val="en-US"/>
        </w:rPr>
        <w:fldChar w:fldCharType="end"/>
      </w:r>
      <w:r>
        <w:t>.</w:t>
      </w:r>
    </w:p>
    <w:p w14:paraId="14EBD646" w14:textId="3CD3EB1B" w:rsidR="00FA02DF" w:rsidRDefault="00141B77" w:rsidP="00FA02DF">
      <w:r>
        <w:t>T</w:t>
      </w:r>
      <w:r w:rsidR="00AE2791">
        <w:t xml:space="preserve">he results are summarized in </w:t>
      </w:r>
      <w:r w:rsidR="00AE2791">
        <w:fldChar w:fldCharType="begin"/>
      </w:r>
      <w:r w:rsidR="00AE2791">
        <w:instrText xml:space="preserve"> REF _Ref470891857 \h </w:instrText>
      </w:r>
      <w:r w:rsidR="00AE2791">
        <w:fldChar w:fldCharType="separate"/>
      </w:r>
      <w:r w:rsidR="00AE2791" w:rsidRPr="00F83B72">
        <w:t>Table </w:t>
      </w:r>
      <w:r w:rsidR="00AE2791">
        <w:rPr>
          <w:noProof/>
        </w:rPr>
        <w:t>3</w:t>
      </w:r>
      <w:r w:rsidR="00AE2791">
        <w:fldChar w:fldCharType="end"/>
      </w:r>
      <w:r w:rsidR="00AE2791">
        <w:t xml:space="preserve">, </w:t>
      </w:r>
      <w:r w:rsidR="00AE2791">
        <w:fldChar w:fldCharType="begin"/>
      </w:r>
      <w:r w:rsidR="00AE2791">
        <w:instrText xml:space="preserve"> REF _Ref470891867 \h </w:instrText>
      </w:r>
      <w:r w:rsidR="00AE2791">
        <w:fldChar w:fldCharType="separate"/>
      </w:r>
      <w:r w:rsidR="00AE2791">
        <w:t xml:space="preserve">Figure </w:t>
      </w:r>
      <w:r w:rsidR="00AE2791">
        <w:rPr>
          <w:noProof/>
        </w:rPr>
        <w:t>11</w:t>
      </w:r>
      <w:r w:rsidR="00AE2791">
        <w:fldChar w:fldCharType="end"/>
      </w:r>
      <w:r w:rsidR="00AE2791">
        <w:t xml:space="preserve"> and </w:t>
      </w:r>
      <w:r w:rsidR="00AE2791">
        <w:fldChar w:fldCharType="begin"/>
      </w:r>
      <w:r w:rsidR="00AE2791">
        <w:instrText xml:space="preserve"> REF _Ref470891869 \h </w:instrText>
      </w:r>
      <w:r w:rsidR="00AE2791">
        <w:fldChar w:fldCharType="separate"/>
      </w:r>
      <w:r w:rsidR="00AE2791">
        <w:t xml:space="preserve">Figure </w:t>
      </w:r>
      <w:r w:rsidR="00AE2791">
        <w:rPr>
          <w:noProof/>
        </w:rPr>
        <w:t>12</w:t>
      </w:r>
      <w:r w:rsidR="00AE2791">
        <w:fldChar w:fldCharType="end"/>
      </w:r>
      <w:r>
        <w:t>.</w:t>
      </w:r>
      <w:r w:rsidR="00780D5C" w:rsidRPr="00780D5C">
        <w:t xml:space="preserve"> </w:t>
      </w:r>
      <w:r w:rsidR="00DC3A3F">
        <w:t xml:space="preserve">Average scores and confidence intervals are derived as described in Rec. </w:t>
      </w:r>
      <w:r w:rsidR="00DC3A3F" w:rsidRPr="006B699B">
        <w:t>ITU-R  BT.500-13</w:t>
      </w:r>
      <w:r w:rsidR="00061A51" w:rsidRPr="006B699B">
        <w:t xml:space="preserve"> </w:t>
      </w:r>
      <w:r w:rsidR="00061A51" w:rsidRPr="006B699B">
        <w:fldChar w:fldCharType="begin"/>
      </w:r>
      <w:r w:rsidR="00061A51" w:rsidRPr="006B699B">
        <w:instrText xml:space="preserve"> REF _Ref470940182 \r \h </w:instrText>
      </w:r>
      <w:r w:rsidR="006B699B">
        <w:instrText xml:space="preserve"> \* MERGEFORMAT </w:instrText>
      </w:r>
      <w:r w:rsidR="00061A51" w:rsidRPr="006B699B">
        <w:fldChar w:fldCharType="separate"/>
      </w:r>
      <w:r w:rsidR="00061A51" w:rsidRPr="006B699B">
        <w:t>[7]</w:t>
      </w:r>
      <w:r w:rsidR="00061A51" w:rsidRPr="006B699B">
        <w:fldChar w:fldCharType="end"/>
      </w:r>
      <w:r w:rsidR="00DC3A3F" w:rsidRPr="006B699B">
        <w:t xml:space="preserve">. </w:t>
      </w:r>
      <w:r w:rsidR="00780D5C" w:rsidRPr="006B699B">
        <w:t>The resu</w:t>
      </w:r>
      <w:r w:rsidR="00090DFD" w:rsidRPr="006B699B">
        <w:t>lts show that, in average, HLG</w:t>
      </w:r>
      <w:r w:rsidR="00780D5C" w:rsidRPr="006B699B">
        <w:t xml:space="preserve"> solution ha</w:t>
      </w:r>
      <w:r w:rsidR="00090DFD" w:rsidRPr="006B699B">
        <w:t>s</w:t>
      </w:r>
      <w:r w:rsidR="00780D5C" w:rsidRPr="006B699B">
        <w:t xml:space="preserve"> been assessed around a MOS of 5. CRI and SL-HDR1 </w:t>
      </w:r>
      <w:r w:rsidR="006B699B" w:rsidRPr="006B699B">
        <w:t>have</w:t>
      </w:r>
      <w:r w:rsidR="00780D5C" w:rsidRPr="006B699B">
        <w:t xml:space="preserve"> higher</w:t>
      </w:r>
      <w:r w:rsidR="006B699B" w:rsidRPr="006B699B">
        <w:t xml:space="preserve"> average MOS scores</w:t>
      </w:r>
      <w:r w:rsidR="00780D5C" w:rsidRPr="006B699B">
        <w:t xml:space="preserve">, </w:t>
      </w:r>
      <w:r w:rsidR="00090DFD" w:rsidRPr="006B699B">
        <w:t>5.6</w:t>
      </w:r>
      <w:r w:rsidR="00780D5C" w:rsidRPr="006B699B">
        <w:t xml:space="preserve"> and 6.</w:t>
      </w:r>
      <w:r w:rsidR="006B699B" w:rsidRPr="006B699B">
        <w:t>8</w:t>
      </w:r>
      <w:r w:rsidR="00780D5C" w:rsidRPr="006B699B">
        <w:t xml:space="preserve"> respectively</w:t>
      </w:r>
      <w:r w:rsidR="00780D5C">
        <w:t xml:space="preserve">. The difference is </w:t>
      </w:r>
      <w:r w:rsidR="006B699B">
        <w:t>larger</w:t>
      </w:r>
      <w:r w:rsidR="00780D5C">
        <w:t xml:space="preserve"> for content with high mastering peak luminance (above 1250 cd/m</w:t>
      </w:r>
      <w:r w:rsidR="00780D5C" w:rsidRPr="00780D5C">
        <w:rPr>
          <w:vertAlign w:val="superscript"/>
        </w:rPr>
        <w:t>2</w:t>
      </w:r>
      <w:r w:rsidR="00780D5C">
        <w:t>)</w:t>
      </w:r>
      <w:r w:rsidR="0047341F">
        <w:t xml:space="preserve">, with an average MOS difference of up to </w:t>
      </w:r>
      <w:r w:rsidR="004B5837">
        <w:t>2.2</w:t>
      </w:r>
      <w:r w:rsidR="0047341F">
        <w:t xml:space="preserve"> </w:t>
      </w:r>
      <w:r w:rsidR="004B5837">
        <w:t xml:space="preserve">MOS </w:t>
      </w:r>
      <w:r w:rsidR="0047341F">
        <w:t xml:space="preserve">points between SL-HDR1 and HLG. The difference is </w:t>
      </w:r>
      <w:r w:rsidR="004B5837">
        <w:t xml:space="preserve">noticeably </w:t>
      </w:r>
      <w:r w:rsidR="00780D5C">
        <w:t>less significant for content with mastering peak luminance below 1250 cd/m</w:t>
      </w:r>
      <w:r w:rsidR="00780D5C" w:rsidRPr="00780D5C">
        <w:rPr>
          <w:vertAlign w:val="superscript"/>
        </w:rPr>
        <w:t>2</w:t>
      </w:r>
      <w:r w:rsidR="0047341F">
        <w:t>,</w:t>
      </w:r>
      <w:r w:rsidR="0047341F" w:rsidRPr="0047341F">
        <w:t xml:space="preserve"> </w:t>
      </w:r>
      <w:r w:rsidR="0047341F">
        <w:t xml:space="preserve">where an average MOS difference of </w:t>
      </w:r>
      <w:r w:rsidR="004B5837">
        <w:t>1.2</w:t>
      </w:r>
      <w:r w:rsidR="0047341F">
        <w:t xml:space="preserve"> points between SL-HDR1 and HLG. CRI-based solution is in between these two </w:t>
      </w:r>
      <w:r w:rsidR="00164B86">
        <w:t>solutions, which can be explain</w:t>
      </w:r>
      <w:r w:rsidR="0047341F">
        <w:t xml:space="preserve">ed by the fact that the reference SDR used for the CRI derivation was the ones </w:t>
      </w:r>
      <w:r w:rsidR="004B5837">
        <w:t>resulting</w:t>
      </w:r>
      <w:r w:rsidR="0047341F">
        <w:t xml:space="preserve"> from SL-HDR1. Again, the difference is lower for content below 1250 cd/m</w:t>
      </w:r>
      <w:r w:rsidR="0047341F" w:rsidRPr="00780D5C">
        <w:rPr>
          <w:vertAlign w:val="superscript"/>
        </w:rPr>
        <w:t>2</w:t>
      </w:r>
      <w:r w:rsidR="0047341F">
        <w:t xml:space="preserve"> </w:t>
      </w:r>
      <w:r w:rsidR="00FA02DF">
        <w:t>(</w:t>
      </w:r>
      <w:r w:rsidR="004B5837">
        <w:t>–0.7</w:t>
      </w:r>
      <w:r w:rsidR="00FA02DF">
        <w:t xml:space="preserve"> average MOS difference compared to SL-HDR1) </w:t>
      </w:r>
      <w:r w:rsidR="0047341F">
        <w:t>than for content above 1250 cd/m</w:t>
      </w:r>
      <w:r w:rsidR="0047341F" w:rsidRPr="00780D5C">
        <w:rPr>
          <w:vertAlign w:val="superscript"/>
        </w:rPr>
        <w:t>2</w:t>
      </w:r>
      <w:r w:rsidR="00FA02DF">
        <w:t xml:space="preserve"> (</w:t>
      </w:r>
      <w:r w:rsidR="004B5837">
        <w:t>–1.2</w:t>
      </w:r>
      <w:r w:rsidR="00FA02DF">
        <w:t xml:space="preserve"> average MOS difference compared to SL-HDR1).</w:t>
      </w:r>
      <w:r w:rsidR="00090DFD">
        <w:t xml:space="preserve"> TMI-based solution was assessed as equivalent to HLG, with a score around </w:t>
      </w:r>
      <w:r w:rsidR="004B5837">
        <w:t>4.1</w:t>
      </w:r>
      <w:r w:rsidR="00090DFD">
        <w:t>, but the assessment was only based on four sequences with mastering peak luminance equal to or higher than 3000 cd/m</w:t>
      </w:r>
      <w:r w:rsidR="00090DFD" w:rsidRPr="00090DFD">
        <w:rPr>
          <w:vertAlign w:val="superscript"/>
        </w:rPr>
        <w:t>2</w:t>
      </w:r>
      <w:r w:rsidR="00090DFD">
        <w:t>.</w:t>
      </w:r>
    </w:p>
    <w:p w14:paraId="06057428" w14:textId="622F75D5" w:rsidR="004B5837" w:rsidRDefault="004B5837" w:rsidP="00FA02DF">
      <w:r>
        <w:lastRenderedPageBreak/>
        <w:t>Plots for each individual sequence are provided in Annex A.</w:t>
      </w:r>
    </w:p>
    <w:p w14:paraId="0D6F70EC" w14:textId="6D5EE08C" w:rsidR="00787BD3" w:rsidRPr="00F83B72" w:rsidRDefault="00787BD3" w:rsidP="00787BD3">
      <w:pPr>
        <w:pStyle w:val="Caption"/>
        <w:keepNext/>
        <w:spacing w:after="0"/>
        <w:rPr>
          <w:lang w:val="en-CA"/>
        </w:rPr>
      </w:pPr>
      <w:bookmarkStart w:id="29" w:name="_Ref470891857"/>
      <w:r w:rsidRPr="00F83B72">
        <w:rPr>
          <w:lang w:val="en-CA"/>
        </w:rPr>
        <w:t>Table </w:t>
      </w:r>
      <w:r w:rsidRPr="00F83B72">
        <w:rPr>
          <w:lang w:val="en-CA"/>
        </w:rPr>
        <w:fldChar w:fldCharType="begin"/>
      </w:r>
      <w:r w:rsidRPr="00F83B72">
        <w:rPr>
          <w:lang w:val="en-CA"/>
        </w:rPr>
        <w:instrText xml:space="preserve"> seq Table </w:instrText>
      </w:r>
      <w:r w:rsidRPr="00F83B72">
        <w:rPr>
          <w:lang w:val="en-CA"/>
        </w:rPr>
        <w:fldChar w:fldCharType="separate"/>
      </w:r>
      <w:r w:rsidR="00952710">
        <w:rPr>
          <w:noProof/>
          <w:lang w:val="en-CA"/>
        </w:rPr>
        <w:t>3</w:t>
      </w:r>
      <w:r w:rsidRPr="00F83B72">
        <w:rPr>
          <w:lang w:val="en-CA"/>
        </w:rPr>
        <w:fldChar w:fldCharType="end"/>
      </w:r>
      <w:bookmarkEnd w:id="29"/>
      <w:r>
        <w:rPr>
          <w:lang w:val="en-CA"/>
        </w:rPr>
        <w:t>.</w:t>
      </w:r>
      <w:r w:rsidRPr="00F83B72">
        <w:rPr>
          <w:lang w:val="en-CA"/>
        </w:rPr>
        <w:t xml:space="preserve"> </w:t>
      </w:r>
      <w:r>
        <w:rPr>
          <w:lang w:val="en-CA"/>
        </w:rPr>
        <w:t>Average MOS score values.</w:t>
      </w:r>
    </w:p>
    <w:tbl>
      <w:tblPr>
        <w:tblW w:w="4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5"/>
        <w:gridCol w:w="630"/>
        <w:gridCol w:w="810"/>
        <w:gridCol w:w="630"/>
        <w:gridCol w:w="630"/>
      </w:tblGrid>
      <w:tr w:rsidR="00787BD3" w:rsidRPr="00875FF8" w14:paraId="3D923AD7" w14:textId="77777777" w:rsidTr="00471BA6">
        <w:trPr>
          <w:jc w:val="center"/>
        </w:trPr>
        <w:tc>
          <w:tcPr>
            <w:tcW w:w="1445" w:type="dxa"/>
            <w:shd w:val="clear" w:color="auto" w:fill="auto"/>
            <w:vAlign w:val="bottom"/>
          </w:tcPr>
          <w:p w14:paraId="074BC63C" w14:textId="77777777" w:rsidR="00787BD3" w:rsidRPr="00875FF8" w:rsidRDefault="00787BD3" w:rsidP="00471BA6">
            <w:pPr>
              <w:keepNext/>
              <w:spacing w:before="0"/>
              <w:jc w:val="center"/>
              <w:rPr>
                <w:b/>
              </w:rPr>
            </w:pPr>
          </w:p>
        </w:tc>
        <w:tc>
          <w:tcPr>
            <w:tcW w:w="630" w:type="dxa"/>
            <w:vAlign w:val="center"/>
          </w:tcPr>
          <w:p w14:paraId="01009DA1" w14:textId="77777777" w:rsidR="00787BD3" w:rsidRPr="00875FF8" w:rsidRDefault="00787BD3" w:rsidP="00471BA6">
            <w:pPr>
              <w:keepNext/>
              <w:spacing w:before="0"/>
              <w:jc w:val="center"/>
              <w:rPr>
                <w:b/>
              </w:rPr>
            </w:pPr>
            <w:r w:rsidRPr="00141B77">
              <w:t>HLG</w:t>
            </w:r>
          </w:p>
        </w:tc>
        <w:tc>
          <w:tcPr>
            <w:tcW w:w="810" w:type="dxa"/>
            <w:vAlign w:val="center"/>
          </w:tcPr>
          <w:p w14:paraId="0FABD4F3" w14:textId="77777777" w:rsidR="00787BD3" w:rsidRPr="00141B77" w:rsidRDefault="00787BD3" w:rsidP="00471BA6">
            <w:pPr>
              <w:keepNext/>
              <w:spacing w:before="0"/>
              <w:jc w:val="center"/>
            </w:pPr>
            <w:r w:rsidRPr="00141B77">
              <w:t>SL-HDR1</w:t>
            </w:r>
          </w:p>
        </w:tc>
        <w:tc>
          <w:tcPr>
            <w:tcW w:w="630" w:type="dxa"/>
            <w:vAlign w:val="center"/>
          </w:tcPr>
          <w:p w14:paraId="4E152F3E" w14:textId="77777777" w:rsidR="00787BD3" w:rsidRPr="00141B77" w:rsidRDefault="00787BD3" w:rsidP="00471BA6">
            <w:pPr>
              <w:keepNext/>
              <w:spacing w:before="0"/>
              <w:jc w:val="center"/>
            </w:pPr>
            <w:r w:rsidRPr="00141B77">
              <w:t>CRI</w:t>
            </w:r>
          </w:p>
        </w:tc>
        <w:tc>
          <w:tcPr>
            <w:tcW w:w="630" w:type="dxa"/>
            <w:vAlign w:val="center"/>
          </w:tcPr>
          <w:p w14:paraId="1DC22F03" w14:textId="77777777" w:rsidR="00787BD3" w:rsidRPr="00141B77" w:rsidRDefault="00787BD3" w:rsidP="00471BA6">
            <w:pPr>
              <w:keepNext/>
              <w:spacing w:before="0"/>
              <w:jc w:val="center"/>
            </w:pPr>
            <w:r w:rsidRPr="00141B77">
              <w:t>TMI</w:t>
            </w:r>
          </w:p>
        </w:tc>
      </w:tr>
      <w:tr w:rsidR="006B699B" w:rsidRPr="00F83B72" w14:paraId="1E963A09" w14:textId="77777777" w:rsidTr="00B75843">
        <w:trPr>
          <w:jc w:val="center"/>
        </w:trPr>
        <w:tc>
          <w:tcPr>
            <w:tcW w:w="1445" w:type="dxa"/>
            <w:shd w:val="clear" w:color="auto" w:fill="auto"/>
            <w:vAlign w:val="center"/>
          </w:tcPr>
          <w:p w14:paraId="2DE81F27" w14:textId="77777777" w:rsidR="006B699B" w:rsidRPr="00F83B72" w:rsidRDefault="006B699B" w:rsidP="006B699B">
            <w:pPr>
              <w:keepNext/>
              <w:spacing w:before="0"/>
              <w:jc w:val="center"/>
            </w:pPr>
            <w:r w:rsidRPr="00141B77">
              <w:t>all seqs</w:t>
            </w:r>
          </w:p>
        </w:tc>
        <w:tc>
          <w:tcPr>
            <w:tcW w:w="630" w:type="dxa"/>
            <w:vAlign w:val="bottom"/>
          </w:tcPr>
          <w:p w14:paraId="3CFFD4DD" w14:textId="78995919" w:rsidR="006B699B" w:rsidRPr="00F83B72" w:rsidRDefault="006B699B" w:rsidP="006B699B">
            <w:pPr>
              <w:keepNext/>
              <w:spacing w:before="0"/>
              <w:jc w:val="center"/>
            </w:pPr>
            <w:r w:rsidRPr="006B699B">
              <w:t>4.9</w:t>
            </w:r>
          </w:p>
        </w:tc>
        <w:tc>
          <w:tcPr>
            <w:tcW w:w="810" w:type="dxa"/>
            <w:vAlign w:val="bottom"/>
          </w:tcPr>
          <w:p w14:paraId="3D95F6E1" w14:textId="36BAB346" w:rsidR="006B699B" w:rsidRPr="00141B77" w:rsidRDefault="006B699B" w:rsidP="006B699B">
            <w:pPr>
              <w:keepNext/>
              <w:spacing w:before="0"/>
              <w:jc w:val="center"/>
            </w:pPr>
            <w:r w:rsidRPr="006B699B">
              <w:t>6.8</w:t>
            </w:r>
          </w:p>
        </w:tc>
        <w:tc>
          <w:tcPr>
            <w:tcW w:w="630" w:type="dxa"/>
            <w:vAlign w:val="bottom"/>
          </w:tcPr>
          <w:p w14:paraId="3D2CF25A" w14:textId="42A70C5B" w:rsidR="006B699B" w:rsidRPr="00141B77" w:rsidRDefault="006B699B" w:rsidP="006B699B">
            <w:pPr>
              <w:keepNext/>
              <w:spacing w:before="0"/>
              <w:jc w:val="center"/>
            </w:pPr>
            <w:r w:rsidRPr="006B699B">
              <w:t>5.6</w:t>
            </w:r>
          </w:p>
        </w:tc>
        <w:tc>
          <w:tcPr>
            <w:tcW w:w="630" w:type="dxa"/>
            <w:vAlign w:val="bottom"/>
          </w:tcPr>
          <w:p w14:paraId="005A2DA8" w14:textId="77777777" w:rsidR="006B699B" w:rsidRPr="00141B77" w:rsidRDefault="006B699B" w:rsidP="006B699B">
            <w:pPr>
              <w:keepNext/>
              <w:spacing w:before="0"/>
              <w:jc w:val="center"/>
            </w:pPr>
          </w:p>
        </w:tc>
      </w:tr>
      <w:tr w:rsidR="006B699B" w:rsidRPr="00F83B72" w14:paraId="05F50DE0" w14:textId="77777777" w:rsidTr="00B75843">
        <w:trPr>
          <w:jc w:val="center"/>
        </w:trPr>
        <w:tc>
          <w:tcPr>
            <w:tcW w:w="1445" w:type="dxa"/>
            <w:shd w:val="clear" w:color="auto" w:fill="auto"/>
            <w:vAlign w:val="center"/>
          </w:tcPr>
          <w:p w14:paraId="043D2100" w14:textId="77777777" w:rsidR="006B699B" w:rsidRPr="00F83B72" w:rsidRDefault="006B699B" w:rsidP="006B699B">
            <w:pPr>
              <w:keepNext/>
              <w:spacing w:before="0"/>
              <w:jc w:val="center"/>
            </w:pPr>
            <w:r>
              <w:t xml:space="preserve">&lt;= </w:t>
            </w:r>
            <w:r w:rsidRPr="00141B77">
              <w:t>1</w:t>
            </w:r>
            <w:r>
              <w:t>25</w:t>
            </w:r>
            <w:r w:rsidRPr="00141B77">
              <w:t>0</w:t>
            </w:r>
            <w:r>
              <w:t xml:space="preserve"> cd/m</w:t>
            </w:r>
            <w:r w:rsidRPr="00141B77">
              <w:t>2</w:t>
            </w:r>
          </w:p>
        </w:tc>
        <w:tc>
          <w:tcPr>
            <w:tcW w:w="630" w:type="dxa"/>
            <w:vAlign w:val="bottom"/>
          </w:tcPr>
          <w:p w14:paraId="3827A191" w14:textId="7CDC3C83" w:rsidR="006B699B" w:rsidRPr="00F83B72" w:rsidRDefault="006B699B" w:rsidP="006B699B">
            <w:pPr>
              <w:keepNext/>
              <w:spacing w:before="0"/>
              <w:jc w:val="center"/>
            </w:pPr>
            <w:r w:rsidRPr="006B699B">
              <w:t>5.3</w:t>
            </w:r>
          </w:p>
        </w:tc>
        <w:tc>
          <w:tcPr>
            <w:tcW w:w="810" w:type="dxa"/>
            <w:vAlign w:val="bottom"/>
          </w:tcPr>
          <w:p w14:paraId="636E03BA" w14:textId="31260D76" w:rsidR="006B699B" w:rsidRPr="00141B77" w:rsidRDefault="006B699B" w:rsidP="006B699B">
            <w:pPr>
              <w:keepNext/>
              <w:spacing w:before="0"/>
              <w:jc w:val="center"/>
            </w:pPr>
            <w:r w:rsidRPr="006B699B">
              <w:t>6.5</w:t>
            </w:r>
          </w:p>
        </w:tc>
        <w:tc>
          <w:tcPr>
            <w:tcW w:w="630" w:type="dxa"/>
            <w:vAlign w:val="bottom"/>
          </w:tcPr>
          <w:p w14:paraId="0E91DE6D" w14:textId="5B425875" w:rsidR="006B699B" w:rsidRPr="00141B77" w:rsidRDefault="006B699B" w:rsidP="006B699B">
            <w:pPr>
              <w:keepNext/>
              <w:spacing w:before="0"/>
              <w:jc w:val="center"/>
            </w:pPr>
            <w:r w:rsidRPr="006B699B">
              <w:t>5.8</w:t>
            </w:r>
          </w:p>
        </w:tc>
        <w:tc>
          <w:tcPr>
            <w:tcW w:w="630" w:type="dxa"/>
            <w:vAlign w:val="bottom"/>
          </w:tcPr>
          <w:p w14:paraId="0D0EA5A3" w14:textId="77777777" w:rsidR="006B699B" w:rsidRPr="00141B77" w:rsidRDefault="006B699B" w:rsidP="006B699B">
            <w:pPr>
              <w:keepNext/>
              <w:spacing w:before="0"/>
              <w:jc w:val="center"/>
            </w:pPr>
          </w:p>
        </w:tc>
      </w:tr>
      <w:tr w:rsidR="006B699B" w:rsidRPr="00F83B72" w14:paraId="16F44ABB" w14:textId="77777777" w:rsidTr="00B75843">
        <w:trPr>
          <w:jc w:val="center"/>
        </w:trPr>
        <w:tc>
          <w:tcPr>
            <w:tcW w:w="1445" w:type="dxa"/>
            <w:shd w:val="clear" w:color="auto" w:fill="auto"/>
            <w:vAlign w:val="center"/>
          </w:tcPr>
          <w:p w14:paraId="2521EB92" w14:textId="77777777" w:rsidR="006B699B" w:rsidRPr="00F83B72" w:rsidRDefault="006B699B" w:rsidP="006B699B">
            <w:pPr>
              <w:keepNext/>
              <w:spacing w:before="0"/>
              <w:jc w:val="center"/>
            </w:pPr>
            <w:r>
              <w:t xml:space="preserve">&gt; </w:t>
            </w:r>
            <w:r w:rsidRPr="00141B77">
              <w:t>1</w:t>
            </w:r>
            <w:r>
              <w:t>25</w:t>
            </w:r>
            <w:r w:rsidRPr="00141B77">
              <w:t>0</w:t>
            </w:r>
            <w:r>
              <w:t xml:space="preserve"> cd/m</w:t>
            </w:r>
            <w:r w:rsidRPr="00141B77">
              <w:t>2</w:t>
            </w:r>
          </w:p>
        </w:tc>
        <w:tc>
          <w:tcPr>
            <w:tcW w:w="630" w:type="dxa"/>
            <w:vAlign w:val="bottom"/>
          </w:tcPr>
          <w:p w14:paraId="2157056D" w14:textId="412C1A3D" w:rsidR="006B699B" w:rsidRPr="00F83B72" w:rsidRDefault="006B699B" w:rsidP="006B699B">
            <w:pPr>
              <w:keepNext/>
              <w:spacing w:before="0"/>
              <w:jc w:val="center"/>
            </w:pPr>
            <w:r w:rsidRPr="006B699B">
              <w:t>4.7</w:t>
            </w:r>
          </w:p>
        </w:tc>
        <w:tc>
          <w:tcPr>
            <w:tcW w:w="810" w:type="dxa"/>
            <w:vAlign w:val="bottom"/>
          </w:tcPr>
          <w:p w14:paraId="2277E1B8" w14:textId="537FC4FA" w:rsidR="006B699B" w:rsidRPr="00141B77" w:rsidRDefault="006B699B" w:rsidP="006B699B">
            <w:pPr>
              <w:keepNext/>
              <w:spacing w:before="0"/>
              <w:jc w:val="center"/>
            </w:pPr>
            <w:r w:rsidRPr="006B699B">
              <w:t>6.9</w:t>
            </w:r>
          </w:p>
        </w:tc>
        <w:tc>
          <w:tcPr>
            <w:tcW w:w="630" w:type="dxa"/>
            <w:vAlign w:val="bottom"/>
          </w:tcPr>
          <w:p w14:paraId="6C1B0F61" w14:textId="1520E43F" w:rsidR="006B699B" w:rsidRPr="00141B77" w:rsidRDefault="006B699B" w:rsidP="006B699B">
            <w:pPr>
              <w:keepNext/>
              <w:spacing w:before="0"/>
              <w:jc w:val="center"/>
            </w:pPr>
            <w:r w:rsidRPr="006B699B">
              <w:t>5.5</w:t>
            </w:r>
          </w:p>
        </w:tc>
        <w:tc>
          <w:tcPr>
            <w:tcW w:w="630" w:type="dxa"/>
            <w:vAlign w:val="bottom"/>
          </w:tcPr>
          <w:p w14:paraId="6529FDA3" w14:textId="77777777" w:rsidR="006B699B" w:rsidRPr="00141B77" w:rsidRDefault="006B699B" w:rsidP="006B699B">
            <w:pPr>
              <w:keepNext/>
              <w:spacing w:before="0"/>
              <w:jc w:val="center"/>
            </w:pPr>
          </w:p>
        </w:tc>
      </w:tr>
      <w:tr w:rsidR="006B699B" w:rsidRPr="00F83B72" w14:paraId="18D8509A" w14:textId="77777777" w:rsidTr="00B75843">
        <w:trPr>
          <w:jc w:val="center"/>
        </w:trPr>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14:paraId="34E3ACB8" w14:textId="77777777" w:rsidR="006B699B" w:rsidRPr="00F83B72" w:rsidRDefault="006B699B" w:rsidP="006B699B">
            <w:pPr>
              <w:keepNext/>
              <w:spacing w:before="0"/>
              <w:jc w:val="center"/>
            </w:pPr>
            <w:r>
              <w:t>TMI</w:t>
            </w:r>
            <w:r w:rsidRPr="00141B77">
              <w:t xml:space="preserve"> seqs</w:t>
            </w:r>
          </w:p>
        </w:tc>
        <w:tc>
          <w:tcPr>
            <w:tcW w:w="630" w:type="dxa"/>
            <w:tcBorders>
              <w:top w:val="single" w:sz="4" w:space="0" w:color="auto"/>
              <w:left w:val="single" w:sz="4" w:space="0" w:color="auto"/>
              <w:bottom w:val="single" w:sz="4" w:space="0" w:color="auto"/>
              <w:right w:val="single" w:sz="4" w:space="0" w:color="auto"/>
            </w:tcBorders>
            <w:vAlign w:val="bottom"/>
          </w:tcPr>
          <w:p w14:paraId="1D65DEF2" w14:textId="3AA14B8C" w:rsidR="006B699B" w:rsidRPr="00F83B72" w:rsidRDefault="006B699B" w:rsidP="006B699B">
            <w:pPr>
              <w:keepNext/>
              <w:spacing w:before="0"/>
              <w:jc w:val="center"/>
            </w:pPr>
            <w:r w:rsidRPr="006B699B">
              <w:t>4.2</w:t>
            </w:r>
          </w:p>
        </w:tc>
        <w:tc>
          <w:tcPr>
            <w:tcW w:w="810" w:type="dxa"/>
            <w:tcBorders>
              <w:top w:val="single" w:sz="4" w:space="0" w:color="auto"/>
              <w:left w:val="single" w:sz="4" w:space="0" w:color="auto"/>
              <w:bottom w:val="single" w:sz="4" w:space="0" w:color="auto"/>
              <w:right w:val="single" w:sz="4" w:space="0" w:color="auto"/>
            </w:tcBorders>
            <w:vAlign w:val="bottom"/>
          </w:tcPr>
          <w:p w14:paraId="6826A40E" w14:textId="0D14F567" w:rsidR="006B699B" w:rsidRPr="00141B77" w:rsidRDefault="006B699B" w:rsidP="006B699B">
            <w:pPr>
              <w:keepNext/>
              <w:spacing w:before="0"/>
              <w:jc w:val="center"/>
            </w:pPr>
            <w:r w:rsidRPr="006B699B">
              <w:t>6.9</w:t>
            </w:r>
          </w:p>
        </w:tc>
        <w:tc>
          <w:tcPr>
            <w:tcW w:w="630" w:type="dxa"/>
            <w:tcBorders>
              <w:top w:val="single" w:sz="4" w:space="0" w:color="auto"/>
              <w:left w:val="single" w:sz="4" w:space="0" w:color="auto"/>
              <w:bottom w:val="single" w:sz="4" w:space="0" w:color="auto"/>
              <w:right w:val="single" w:sz="4" w:space="0" w:color="auto"/>
            </w:tcBorders>
            <w:vAlign w:val="bottom"/>
          </w:tcPr>
          <w:p w14:paraId="2D70AB7E" w14:textId="2B0AF6E4" w:rsidR="006B699B" w:rsidRPr="00141B77" w:rsidRDefault="006B699B" w:rsidP="006B699B">
            <w:pPr>
              <w:keepNext/>
              <w:spacing w:before="0"/>
              <w:jc w:val="center"/>
            </w:pPr>
            <w:r w:rsidRPr="006B699B">
              <w:t>5.6</w:t>
            </w:r>
          </w:p>
        </w:tc>
        <w:tc>
          <w:tcPr>
            <w:tcW w:w="630" w:type="dxa"/>
            <w:tcBorders>
              <w:top w:val="single" w:sz="4" w:space="0" w:color="auto"/>
              <w:left w:val="single" w:sz="4" w:space="0" w:color="auto"/>
              <w:bottom w:val="single" w:sz="4" w:space="0" w:color="auto"/>
              <w:right w:val="single" w:sz="4" w:space="0" w:color="auto"/>
            </w:tcBorders>
            <w:vAlign w:val="bottom"/>
          </w:tcPr>
          <w:p w14:paraId="566FC4A8" w14:textId="6048EB9B" w:rsidR="006B699B" w:rsidRPr="00141B77" w:rsidRDefault="006B699B" w:rsidP="006B699B">
            <w:pPr>
              <w:keepNext/>
              <w:spacing w:before="0"/>
              <w:jc w:val="center"/>
            </w:pPr>
            <w:r w:rsidRPr="006B699B">
              <w:t>4.1</w:t>
            </w:r>
          </w:p>
        </w:tc>
      </w:tr>
    </w:tbl>
    <w:p w14:paraId="069A7762" w14:textId="338644D0" w:rsidR="00787BD3" w:rsidRDefault="00787BD3" w:rsidP="00FA02DF"/>
    <w:p w14:paraId="36C06138" w14:textId="3488218B" w:rsidR="00787BD3" w:rsidRDefault="001C57F6" w:rsidP="00952710">
      <w:pPr>
        <w:jc w:val="center"/>
      </w:pPr>
      <w:r>
        <w:rPr>
          <w:noProof/>
          <w:lang w:val="en-US" w:eastAsia="en-US"/>
        </w:rPr>
        <w:drawing>
          <wp:inline distT="0" distB="0" distL="0" distR="0" wp14:anchorId="371FF0AC" wp14:editId="7A2A1657">
            <wp:extent cx="2670048" cy="20665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70048" cy="2066544"/>
                    </a:xfrm>
                    <a:prstGeom prst="rect">
                      <a:avLst/>
                    </a:prstGeom>
                    <a:noFill/>
                  </pic:spPr>
                </pic:pic>
              </a:graphicData>
            </a:graphic>
          </wp:inline>
        </w:drawing>
      </w:r>
      <w:r w:rsidR="006B699B">
        <w:t xml:space="preserve"> </w:t>
      </w:r>
      <w:r>
        <w:t xml:space="preserve">    </w:t>
      </w:r>
      <w:r>
        <w:rPr>
          <w:noProof/>
          <w:lang w:val="en-US" w:eastAsia="en-US"/>
        </w:rPr>
        <w:drawing>
          <wp:inline distT="0" distB="0" distL="0" distR="0" wp14:anchorId="17C87C80" wp14:editId="233583B3">
            <wp:extent cx="3447288" cy="2066544"/>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47288" cy="2066544"/>
                    </a:xfrm>
                    <a:prstGeom prst="rect">
                      <a:avLst/>
                    </a:prstGeom>
                    <a:noFill/>
                  </pic:spPr>
                </pic:pic>
              </a:graphicData>
            </a:graphic>
          </wp:inline>
        </w:drawing>
      </w:r>
    </w:p>
    <w:p w14:paraId="73B350C9" w14:textId="524B634B" w:rsidR="00952710" w:rsidRDefault="00952710" w:rsidP="00952710">
      <w:pPr>
        <w:pStyle w:val="Caption"/>
        <w:spacing w:before="0" w:after="0"/>
      </w:pPr>
      <w:bookmarkStart w:id="30" w:name="_Ref470891867"/>
      <w:r>
        <w:t xml:space="preserve">Figure </w:t>
      </w:r>
      <w:r>
        <w:fldChar w:fldCharType="begin"/>
      </w:r>
      <w:r>
        <w:instrText xml:space="preserve"> SEQ Figure \* ARABIC </w:instrText>
      </w:r>
      <w:r>
        <w:fldChar w:fldCharType="separate"/>
      </w:r>
      <w:r>
        <w:rPr>
          <w:noProof/>
        </w:rPr>
        <w:t>11</w:t>
      </w:r>
      <w:r>
        <w:rPr>
          <w:noProof/>
        </w:rPr>
        <w:fldChar w:fldCharType="end"/>
      </w:r>
      <w:bookmarkEnd w:id="30"/>
      <w:r>
        <w:t xml:space="preserve">. </w:t>
      </w:r>
      <w:r w:rsidR="004F4458">
        <w:rPr>
          <w:lang w:val="en-US"/>
        </w:rPr>
        <w:t>Average MOS score over all sequences</w:t>
      </w:r>
      <w:r w:rsidR="006B699B">
        <w:rPr>
          <w:lang w:val="en-US"/>
        </w:rPr>
        <w:t>, and for sequences used in TMI solution</w:t>
      </w:r>
      <w:r>
        <w:t>.</w:t>
      </w:r>
    </w:p>
    <w:p w14:paraId="5C7E486D" w14:textId="79011BFA" w:rsidR="00952710" w:rsidRDefault="001C57F6" w:rsidP="00952710">
      <w:pPr>
        <w:jc w:val="center"/>
      </w:pPr>
      <w:r>
        <w:rPr>
          <w:noProof/>
          <w:lang w:val="en-US" w:eastAsia="en-US"/>
        </w:rPr>
        <w:drawing>
          <wp:inline distT="0" distB="0" distL="0" distR="0" wp14:anchorId="0158590B" wp14:editId="6AE800C7">
            <wp:extent cx="2660904" cy="206654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660904" cy="2066544"/>
                    </a:xfrm>
                    <a:prstGeom prst="rect">
                      <a:avLst/>
                    </a:prstGeom>
                    <a:noFill/>
                  </pic:spPr>
                </pic:pic>
              </a:graphicData>
            </a:graphic>
          </wp:inline>
        </w:drawing>
      </w:r>
      <w:r w:rsidR="00952710">
        <w:t xml:space="preserve">     </w:t>
      </w:r>
      <w:r>
        <w:rPr>
          <w:noProof/>
          <w:lang w:val="en-US" w:eastAsia="en-US"/>
        </w:rPr>
        <w:drawing>
          <wp:inline distT="0" distB="0" distL="0" distR="0" wp14:anchorId="0A07DA96" wp14:editId="3B53405A">
            <wp:extent cx="2642616" cy="2066544"/>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42616" cy="2066544"/>
                    </a:xfrm>
                    <a:prstGeom prst="rect">
                      <a:avLst/>
                    </a:prstGeom>
                    <a:noFill/>
                  </pic:spPr>
                </pic:pic>
              </a:graphicData>
            </a:graphic>
          </wp:inline>
        </w:drawing>
      </w:r>
    </w:p>
    <w:p w14:paraId="4932908F" w14:textId="0F0626A7" w:rsidR="00952710" w:rsidRDefault="00952710" w:rsidP="00952710">
      <w:pPr>
        <w:pStyle w:val="Caption"/>
        <w:spacing w:before="0" w:after="0"/>
      </w:pPr>
      <w:bookmarkStart w:id="31" w:name="_Ref470891869"/>
      <w:r>
        <w:t xml:space="preserve">Figure </w:t>
      </w:r>
      <w:r>
        <w:fldChar w:fldCharType="begin"/>
      </w:r>
      <w:r>
        <w:instrText xml:space="preserve"> SEQ Figure \* ARABIC </w:instrText>
      </w:r>
      <w:r>
        <w:fldChar w:fldCharType="separate"/>
      </w:r>
      <w:r>
        <w:rPr>
          <w:noProof/>
        </w:rPr>
        <w:t>12</w:t>
      </w:r>
      <w:r>
        <w:rPr>
          <w:noProof/>
        </w:rPr>
        <w:fldChar w:fldCharType="end"/>
      </w:r>
      <w:bookmarkEnd w:id="31"/>
      <w:r>
        <w:t xml:space="preserve">. </w:t>
      </w:r>
      <w:r w:rsidR="004F4458">
        <w:rPr>
          <w:lang w:val="en-US"/>
        </w:rPr>
        <w:t>Average MOS score over sequences below and above 1250 cd/m</w:t>
      </w:r>
      <w:r w:rsidR="004F4458" w:rsidRPr="004F4458">
        <w:rPr>
          <w:vertAlign w:val="superscript"/>
          <w:lang w:val="en-US"/>
        </w:rPr>
        <w:t>2</w:t>
      </w:r>
      <w:r>
        <w:t>.</w:t>
      </w:r>
    </w:p>
    <w:p w14:paraId="4B4FF0A9" w14:textId="77777777" w:rsidR="0069584C" w:rsidRPr="0069584C" w:rsidRDefault="0069584C" w:rsidP="0069584C">
      <w:pPr>
        <w:pStyle w:val="Heading1"/>
        <w:rPr>
          <w:lang w:val="en-US"/>
        </w:rPr>
      </w:pPr>
      <w:r>
        <w:t xml:space="preserve">References </w:t>
      </w:r>
    </w:p>
    <w:p w14:paraId="5DDEA446" w14:textId="76F6AD34" w:rsidR="002B6B4C" w:rsidRDefault="002B6B4C" w:rsidP="002B6B4C">
      <w:pPr>
        <w:pStyle w:val="Reftext"/>
        <w:numPr>
          <w:ilvl w:val="0"/>
          <w:numId w:val="7"/>
        </w:numPr>
        <w:tabs>
          <w:tab w:val="clear" w:pos="792"/>
          <w:tab w:val="left" w:pos="360"/>
        </w:tabs>
        <w:ind w:left="360"/>
        <w:rPr>
          <w:lang w:val="en-US"/>
        </w:rPr>
      </w:pPr>
      <w:bookmarkStart w:id="32" w:name="_Ref470939622"/>
      <w:bookmarkStart w:id="33" w:name="_Ref467237320"/>
      <w:bookmarkEnd w:id="19"/>
      <w:bookmarkEnd w:id="20"/>
      <w:r w:rsidRPr="002B6B4C">
        <w:rPr>
          <w:lang w:val="en-US"/>
        </w:rPr>
        <w:t>E. François, D. Rusanovskyy, G. J.</w:t>
      </w:r>
      <w:r w:rsidR="00393045">
        <w:rPr>
          <w:lang w:val="en-US"/>
        </w:rPr>
        <w:t xml:space="preserve"> Sullivan, P. Topiwala, P. Yin</w:t>
      </w:r>
      <w:r w:rsidR="007D122D">
        <w:rPr>
          <w:lang w:val="en-US"/>
        </w:rPr>
        <w:t>, M. Naccari</w:t>
      </w:r>
      <w:r w:rsidRPr="00100A8E">
        <w:rPr>
          <w:rStyle w:val="Hyperlink"/>
          <w:color w:val="auto"/>
          <w:u w:val="none"/>
          <w:lang w:val="en-US"/>
        </w:rPr>
        <w:t>, “</w:t>
      </w:r>
      <w:r w:rsidRPr="002B6B4C">
        <w:rPr>
          <w:lang w:val="en-US"/>
        </w:rPr>
        <w:t>Signalling, Backward Compatibility, and Display Adaptation for HDR/WCG Video Draft 1</w:t>
      </w:r>
      <w:r w:rsidRPr="00100A8E">
        <w:rPr>
          <w:rStyle w:val="Hyperlink"/>
          <w:color w:val="auto"/>
          <w:u w:val="none"/>
          <w:lang w:val="en-US"/>
        </w:rPr>
        <w:t>”, JCTVC-Y</w:t>
      </w:r>
      <w:r>
        <w:rPr>
          <w:rStyle w:val="Hyperlink"/>
          <w:color w:val="auto"/>
          <w:u w:val="none"/>
          <w:lang w:val="en-US"/>
        </w:rPr>
        <w:t>1012</w:t>
      </w:r>
      <w:r w:rsidRPr="00100A8E">
        <w:rPr>
          <w:rStyle w:val="Hyperlink"/>
          <w:color w:val="auto"/>
          <w:u w:val="none"/>
          <w:lang w:val="en-US"/>
        </w:rPr>
        <w:t xml:space="preserve">, </w:t>
      </w:r>
      <w:r w:rsidRPr="00100A8E">
        <w:rPr>
          <w:lang w:val="en-US"/>
        </w:rPr>
        <w:t>25th JCT-VC Meeting, Chengdu, CN, Oct. 2016.</w:t>
      </w:r>
      <w:bookmarkEnd w:id="32"/>
      <w:r w:rsidRPr="002B6B4C">
        <w:t xml:space="preserve"> </w:t>
      </w:r>
    </w:p>
    <w:p w14:paraId="6FCB2FF3" w14:textId="10BF2B44" w:rsidR="007B6848" w:rsidRDefault="007B6848" w:rsidP="001947CE">
      <w:pPr>
        <w:pStyle w:val="Reftext"/>
        <w:numPr>
          <w:ilvl w:val="0"/>
          <w:numId w:val="7"/>
        </w:numPr>
        <w:tabs>
          <w:tab w:val="clear" w:pos="792"/>
          <w:tab w:val="left" w:pos="360"/>
        </w:tabs>
        <w:ind w:left="360"/>
        <w:rPr>
          <w:lang w:val="en-US"/>
        </w:rPr>
      </w:pPr>
      <w:bookmarkStart w:id="34" w:name="_Ref470939637"/>
      <w:r w:rsidRPr="00100A8E">
        <w:rPr>
          <w:lang w:val="en-US"/>
        </w:rPr>
        <w:t>ETSI TS 103 433 (2016</w:t>
      </w:r>
      <w:r w:rsidRPr="002E617B">
        <w:rPr>
          <w:lang w:val="en-US"/>
        </w:rPr>
        <w:t xml:space="preserve">), </w:t>
      </w:r>
      <w:r w:rsidR="002E617B">
        <w:rPr>
          <w:lang w:val="en-US"/>
        </w:rPr>
        <w:t>“</w:t>
      </w:r>
      <w:r w:rsidRPr="002E617B">
        <w:rPr>
          <w:lang w:val="en-US"/>
        </w:rPr>
        <w:t>High-Performance Single Layer Directly Standard Dynamic Range (SDR) Compatible High Dynamic Range (HDR) System for use in Consumer Electronics devices (SL-HDR1)</w:t>
      </w:r>
      <w:r w:rsidR="002E617B">
        <w:rPr>
          <w:lang w:val="en-US"/>
        </w:rPr>
        <w:t>”</w:t>
      </w:r>
      <w:r w:rsidRPr="002E617B">
        <w:rPr>
          <w:lang w:val="en-US"/>
        </w:rPr>
        <w:t>.</w:t>
      </w:r>
      <w:bookmarkEnd w:id="33"/>
      <w:bookmarkEnd w:id="34"/>
    </w:p>
    <w:p w14:paraId="23C621E2" w14:textId="2911FA00" w:rsidR="000D6C4C" w:rsidRPr="002E617B" w:rsidRDefault="000D6C4C" w:rsidP="002E617B">
      <w:pPr>
        <w:pStyle w:val="Reftext"/>
        <w:numPr>
          <w:ilvl w:val="0"/>
          <w:numId w:val="7"/>
        </w:numPr>
        <w:tabs>
          <w:tab w:val="clear" w:pos="792"/>
          <w:tab w:val="left" w:pos="360"/>
        </w:tabs>
        <w:ind w:left="360"/>
        <w:rPr>
          <w:rStyle w:val="Hyperlink"/>
          <w:color w:val="auto"/>
          <w:u w:val="none"/>
        </w:rPr>
      </w:pPr>
      <w:bookmarkStart w:id="35" w:name="_Ref470940014"/>
      <w:r w:rsidRPr="002E617B">
        <w:rPr>
          <w:rStyle w:val="Hyperlink"/>
          <w:color w:val="auto"/>
          <w:u w:val="none"/>
          <w:lang w:val="en-US"/>
        </w:rPr>
        <w:t>S. Lasserre, F. Le Leannec, E. Fr</w:t>
      </w:r>
      <w:r w:rsidRPr="002E617B">
        <w:rPr>
          <w:rStyle w:val="Hyperlink"/>
          <w:color w:val="auto"/>
          <w:u w:val="none"/>
        </w:rPr>
        <w:t>ançois, T. Poirier, “</w:t>
      </w:r>
      <w:r w:rsidRPr="002E617B">
        <w:rPr>
          <w:rStyle w:val="Hyperlink"/>
          <w:color w:val="auto"/>
          <w:u w:val="none"/>
          <w:lang w:val="en-US"/>
        </w:rPr>
        <w:t>Modulation-based HDR video coding w</w:t>
      </w:r>
      <w:r w:rsidRPr="002E617B">
        <w:rPr>
          <w:rStyle w:val="Hyperlink"/>
          <w:color w:val="auto"/>
          <w:u w:val="none"/>
        </w:rPr>
        <w:t>ith SDR backward compatibility”, JCTVC-U0085,</w:t>
      </w:r>
      <w:r w:rsidRPr="000D6C4C">
        <w:rPr>
          <w:rStyle w:val="Hyperlink"/>
          <w:color w:val="auto"/>
          <w:u w:val="none"/>
          <w:lang w:val="en-US"/>
        </w:rPr>
        <w:t xml:space="preserve"> </w:t>
      </w:r>
      <w:r w:rsidRPr="002E617B">
        <w:rPr>
          <w:rStyle w:val="Hyperlink"/>
          <w:color w:val="auto"/>
          <w:u w:val="none"/>
        </w:rPr>
        <w:t>2</w:t>
      </w:r>
      <w:r w:rsidR="002E617B" w:rsidRPr="002E617B">
        <w:rPr>
          <w:rStyle w:val="Hyperlink"/>
          <w:color w:val="auto"/>
          <w:u w:val="none"/>
        </w:rPr>
        <w:t>1</w:t>
      </w:r>
      <w:r w:rsidRPr="002E617B">
        <w:rPr>
          <w:rStyle w:val="Hyperlink"/>
          <w:color w:val="auto"/>
          <w:u w:val="none"/>
        </w:rPr>
        <w:t xml:space="preserve">th JCT-VC Meeting, </w:t>
      </w:r>
      <w:r w:rsidR="002E617B" w:rsidRPr="002E617B">
        <w:rPr>
          <w:rStyle w:val="Hyperlink"/>
          <w:color w:val="auto"/>
          <w:u w:val="none"/>
        </w:rPr>
        <w:t>Warsaw</w:t>
      </w:r>
      <w:r w:rsidRPr="002E617B">
        <w:rPr>
          <w:rStyle w:val="Hyperlink"/>
          <w:color w:val="auto"/>
          <w:u w:val="none"/>
        </w:rPr>
        <w:t xml:space="preserve">, </w:t>
      </w:r>
      <w:r w:rsidR="002E617B" w:rsidRPr="002E617B">
        <w:rPr>
          <w:rStyle w:val="Hyperlink"/>
          <w:color w:val="auto"/>
          <w:u w:val="none"/>
        </w:rPr>
        <w:t>PL</w:t>
      </w:r>
      <w:r w:rsidRPr="002E617B">
        <w:rPr>
          <w:rStyle w:val="Hyperlink"/>
          <w:color w:val="auto"/>
          <w:u w:val="none"/>
        </w:rPr>
        <w:t xml:space="preserve">, </w:t>
      </w:r>
      <w:r w:rsidR="002E617B" w:rsidRPr="002E617B">
        <w:rPr>
          <w:rStyle w:val="Hyperlink"/>
          <w:color w:val="auto"/>
          <w:u w:val="none"/>
        </w:rPr>
        <w:t>Jun</w:t>
      </w:r>
      <w:r w:rsidRPr="002E617B">
        <w:rPr>
          <w:rStyle w:val="Hyperlink"/>
          <w:color w:val="auto"/>
          <w:u w:val="none"/>
        </w:rPr>
        <w:t>. 201</w:t>
      </w:r>
      <w:r w:rsidR="002E617B" w:rsidRPr="002E617B">
        <w:rPr>
          <w:rStyle w:val="Hyperlink"/>
          <w:color w:val="auto"/>
          <w:u w:val="none"/>
        </w:rPr>
        <w:t>5.</w:t>
      </w:r>
      <w:bookmarkEnd w:id="35"/>
    </w:p>
    <w:p w14:paraId="073BB892" w14:textId="5053208B" w:rsidR="000D6C4C" w:rsidRPr="002E617B" w:rsidRDefault="002E617B" w:rsidP="002E617B">
      <w:pPr>
        <w:pStyle w:val="Reftext"/>
        <w:numPr>
          <w:ilvl w:val="0"/>
          <w:numId w:val="7"/>
        </w:numPr>
        <w:tabs>
          <w:tab w:val="clear" w:pos="792"/>
          <w:tab w:val="left" w:pos="360"/>
        </w:tabs>
        <w:ind w:left="360"/>
        <w:rPr>
          <w:rStyle w:val="Hyperlink"/>
          <w:color w:val="auto"/>
          <w:u w:val="none"/>
        </w:rPr>
      </w:pPr>
      <w:bookmarkStart w:id="36" w:name="_Ref470940026"/>
      <w:r w:rsidRPr="002E617B">
        <w:rPr>
          <w:rStyle w:val="Hyperlink"/>
          <w:color w:val="auto"/>
          <w:u w:val="none"/>
          <w:lang w:val="en-US"/>
        </w:rPr>
        <w:t>K. Minoo, T. Lu, P. Yin, L. Kerofsky, D. Rusanovskyy, E. Francois</w:t>
      </w:r>
      <w:r w:rsidRPr="002E617B">
        <w:rPr>
          <w:rStyle w:val="Hyperlink"/>
          <w:color w:val="auto"/>
          <w:u w:val="none"/>
        </w:rPr>
        <w:t xml:space="preserve">, </w:t>
      </w:r>
      <w:r w:rsidRPr="002E617B">
        <w:rPr>
          <w:rStyle w:val="Hyperlink"/>
          <w:color w:val="auto"/>
          <w:u w:val="none"/>
          <w:lang w:val="en-US"/>
        </w:rPr>
        <w:t>Description of the reshaper parameters derivation pr</w:t>
      </w:r>
      <w:r w:rsidRPr="002E617B">
        <w:rPr>
          <w:rStyle w:val="Hyperlink"/>
          <w:color w:val="auto"/>
          <w:u w:val="none"/>
        </w:rPr>
        <w:t>ocess in ETM reference software”, JCTVC-</w:t>
      </w:r>
      <w:r w:rsidR="000D6C4C" w:rsidRPr="002E617B">
        <w:rPr>
          <w:rStyle w:val="Hyperlink"/>
          <w:color w:val="auto"/>
          <w:u w:val="none"/>
        </w:rPr>
        <w:t>W0031</w:t>
      </w:r>
      <w:r w:rsidRPr="002E617B">
        <w:rPr>
          <w:rStyle w:val="Hyperlink"/>
          <w:color w:val="auto"/>
          <w:u w:val="none"/>
        </w:rPr>
        <w:t>,</w:t>
      </w:r>
      <w:r w:rsidRPr="000D6C4C">
        <w:rPr>
          <w:rStyle w:val="Hyperlink"/>
          <w:color w:val="auto"/>
          <w:u w:val="none"/>
          <w:lang w:val="en-US"/>
        </w:rPr>
        <w:t xml:space="preserve"> </w:t>
      </w:r>
      <w:r w:rsidRPr="002E617B">
        <w:rPr>
          <w:rStyle w:val="Hyperlink"/>
          <w:color w:val="auto"/>
          <w:u w:val="none"/>
        </w:rPr>
        <w:t>23th JCT-VC Meeting, San Diego, USA, Feb. 2016.</w:t>
      </w:r>
      <w:bookmarkEnd w:id="36"/>
    </w:p>
    <w:p w14:paraId="1CE9B077" w14:textId="4580DE62" w:rsidR="007B6848" w:rsidRDefault="007B6848" w:rsidP="001947CE">
      <w:pPr>
        <w:pStyle w:val="Reftext"/>
        <w:numPr>
          <w:ilvl w:val="0"/>
          <w:numId w:val="7"/>
        </w:numPr>
        <w:tabs>
          <w:tab w:val="clear" w:pos="792"/>
          <w:tab w:val="left" w:pos="360"/>
        </w:tabs>
        <w:ind w:left="360"/>
        <w:rPr>
          <w:lang w:val="en-US"/>
        </w:rPr>
      </w:pPr>
      <w:bookmarkStart w:id="37" w:name="_Ref467237358"/>
      <w:r w:rsidRPr="00100A8E">
        <w:rPr>
          <w:rStyle w:val="Hyperlink"/>
          <w:color w:val="auto"/>
          <w:u w:val="none"/>
          <w:lang w:val="en-US"/>
        </w:rPr>
        <w:t xml:space="preserve">P. Topiwala, W. Dai, M. Krishnan, “AHG14: Tone Mapping </w:t>
      </w:r>
      <w:r w:rsidR="007B5949" w:rsidRPr="00100A8E">
        <w:rPr>
          <w:rStyle w:val="Hyperlink"/>
          <w:color w:val="auto"/>
          <w:u w:val="none"/>
          <w:lang w:val="en-US"/>
        </w:rPr>
        <w:t>and Related SEIs for HDR Coding</w:t>
      </w:r>
      <w:r w:rsidRPr="00100A8E">
        <w:rPr>
          <w:rStyle w:val="Hyperlink"/>
          <w:color w:val="auto"/>
          <w:u w:val="none"/>
          <w:lang w:val="en-US"/>
        </w:rPr>
        <w:t>”</w:t>
      </w:r>
      <w:r w:rsidR="007B5949" w:rsidRPr="00100A8E">
        <w:rPr>
          <w:rStyle w:val="Hyperlink"/>
          <w:color w:val="auto"/>
          <w:u w:val="none"/>
          <w:lang w:val="en-US"/>
        </w:rPr>
        <w:t>,</w:t>
      </w:r>
      <w:r w:rsidRPr="00100A8E">
        <w:rPr>
          <w:rStyle w:val="Hyperlink"/>
          <w:color w:val="auto"/>
          <w:u w:val="none"/>
          <w:lang w:val="en-US"/>
        </w:rPr>
        <w:t xml:space="preserve"> JCTVC-Y0042, </w:t>
      </w:r>
      <w:r w:rsidRPr="00100A8E">
        <w:rPr>
          <w:lang w:val="en-US"/>
        </w:rPr>
        <w:t>25th JCT</w:t>
      </w:r>
      <w:r w:rsidR="007B5949" w:rsidRPr="00100A8E">
        <w:rPr>
          <w:lang w:val="en-US"/>
        </w:rPr>
        <w:t>-</w:t>
      </w:r>
      <w:r w:rsidRPr="00100A8E">
        <w:rPr>
          <w:lang w:val="en-US"/>
        </w:rPr>
        <w:t xml:space="preserve">VC Meeting, Chengdu, CN, </w:t>
      </w:r>
      <w:r w:rsidR="007B5949" w:rsidRPr="00100A8E">
        <w:rPr>
          <w:lang w:val="en-US"/>
        </w:rPr>
        <w:t>Oct.</w:t>
      </w:r>
      <w:r w:rsidRPr="00100A8E">
        <w:rPr>
          <w:lang w:val="en-US"/>
        </w:rPr>
        <w:t xml:space="preserve"> 2016.</w:t>
      </w:r>
      <w:bookmarkEnd w:id="37"/>
    </w:p>
    <w:p w14:paraId="7BE0380E" w14:textId="0B83F223" w:rsidR="00061A51" w:rsidRPr="00061A51" w:rsidRDefault="00061A51" w:rsidP="00061A51">
      <w:pPr>
        <w:pStyle w:val="Reftext"/>
        <w:numPr>
          <w:ilvl w:val="0"/>
          <w:numId w:val="7"/>
        </w:numPr>
        <w:tabs>
          <w:tab w:val="clear" w:pos="792"/>
          <w:tab w:val="left" w:pos="360"/>
        </w:tabs>
        <w:ind w:left="360"/>
        <w:rPr>
          <w:color w:val="000000" w:themeColor="text1"/>
        </w:rPr>
      </w:pPr>
      <w:bookmarkStart w:id="38" w:name="_Ref457303237"/>
      <w:r>
        <w:rPr>
          <w:lang w:val="de-DE"/>
        </w:rPr>
        <w:t xml:space="preserve">V. Baroncini, </w:t>
      </w:r>
      <w:r w:rsidRPr="00284CA7">
        <w:t xml:space="preserve">Proposed test methodology of SDR </w:t>
      </w:r>
      <w:r w:rsidRPr="00061A51">
        <w:rPr>
          <w:rStyle w:val="Hyperlink"/>
          <w:color w:val="auto"/>
          <w:u w:val="none"/>
          <w:lang w:val="en-US"/>
        </w:rPr>
        <w:t>quality</w:t>
      </w:r>
      <w:r w:rsidRPr="00284CA7">
        <w:t xml:space="preserve"> evaluation with HDR reference</w:t>
      </w:r>
      <w:r>
        <w:t xml:space="preserve">, </w:t>
      </w:r>
      <w:r>
        <w:rPr>
          <w:color w:val="000000" w:themeColor="text1"/>
        </w:rPr>
        <w:t xml:space="preserve">MPEG </w:t>
      </w:r>
      <w:r w:rsidRPr="006B358A">
        <w:rPr>
          <w:color w:val="000000" w:themeColor="text1"/>
        </w:rPr>
        <w:t xml:space="preserve">document </w:t>
      </w:r>
      <w:r w:rsidRPr="003E1FF7">
        <w:rPr>
          <w:color w:val="000000" w:themeColor="text1"/>
        </w:rPr>
        <w:t>ISO/IEC JTC1/SC29/WG11 MPEG2015/M37407</w:t>
      </w:r>
      <w:r>
        <w:rPr>
          <w:color w:val="000000" w:themeColor="text1"/>
        </w:rPr>
        <w:t>, Geneva, CH, October 2015.</w:t>
      </w:r>
      <w:bookmarkEnd w:id="38"/>
    </w:p>
    <w:p w14:paraId="011023F3" w14:textId="569C7272" w:rsidR="00DC3A3F" w:rsidRDefault="00DC3A3F" w:rsidP="001947CE">
      <w:pPr>
        <w:pStyle w:val="Reftext"/>
        <w:numPr>
          <w:ilvl w:val="0"/>
          <w:numId w:val="7"/>
        </w:numPr>
        <w:tabs>
          <w:tab w:val="clear" w:pos="792"/>
          <w:tab w:val="left" w:pos="360"/>
        </w:tabs>
        <w:ind w:left="360"/>
        <w:rPr>
          <w:lang w:val="en-US"/>
        </w:rPr>
      </w:pPr>
      <w:bookmarkStart w:id="39" w:name="_Ref470940182"/>
      <w:r w:rsidRPr="00DC3A3F">
        <w:rPr>
          <w:lang w:val="en-US"/>
        </w:rPr>
        <w:lastRenderedPageBreak/>
        <w:t>Recommendation  ITU-R  BT.500-13</w:t>
      </w:r>
      <w:r>
        <w:rPr>
          <w:lang w:val="en-US"/>
        </w:rPr>
        <w:t xml:space="preserve"> </w:t>
      </w:r>
      <w:r w:rsidRPr="00DC3A3F">
        <w:rPr>
          <w:lang w:val="en-US"/>
        </w:rPr>
        <w:t>(01/2012)</w:t>
      </w:r>
      <w:r>
        <w:rPr>
          <w:lang w:val="en-US"/>
        </w:rPr>
        <w:t>, “</w:t>
      </w:r>
      <w:r w:rsidRPr="00DC3A3F">
        <w:rPr>
          <w:lang w:val="en-US"/>
        </w:rPr>
        <w:t>Methodology for the subjective assessment of the quality</w:t>
      </w:r>
      <w:r>
        <w:rPr>
          <w:lang w:val="en-US"/>
        </w:rPr>
        <w:t xml:space="preserve"> </w:t>
      </w:r>
      <w:r w:rsidRPr="00DC3A3F">
        <w:rPr>
          <w:lang w:val="en-US"/>
        </w:rPr>
        <w:t>of television pictures</w:t>
      </w:r>
      <w:r>
        <w:rPr>
          <w:lang w:val="en-US"/>
        </w:rPr>
        <w:t>”.</w:t>
      </w:r>
      <w:bookmarkEnd w:id="39"/>
    </w:p>
    <w:p w14:paraId="5FAC1B79" w14:textId="41822AE3" w:rsidR="0063338A" w:rsidRDefault="0063338A" w:rsidP="0063338A">
      <w:pPr>
        <w:tabs>
          <w:tab w:val="clear" w:pos="792"/>
          <w:tab w:val="clear" w:pos="1195"/>
          <w:tab w:val="clear" w:pos="1584"/>
          <w:tab w:val="clear" w:pos="1987"/>
          <w:tab w:val="clear" w:pos="4853"/>
          <w:tab w:val="clear" w:pos="9691"/>
        </w:tabs>
        <w:spacing w:before="0"/>
        <w:jc w:val="left"/>
        <w:rPr>
          <w:lang w:val="en-US"/>
        </w:rPr>
      </w:pPr>
      <w:r>
        <w:rPr>
          <w:lang w:val="en-US"/>
        </w:rPr>
        <w:br w:type="page"/>
      </w:r>
    </w:p>
    <w:p w14:paraId="68A6EBD6" w14:textId="186DC1ED" w:rsidR="0063338A" w:rsidRDefault="0063338A" w:rsidP="0063338A">
      <w:pPr>
        <w:pStyle w:val="Heading1"/>
        <w:numPr>
          <w:ilvl w:val="0"/>
          <w:numId w:val="0"/>
        </w:numPr>
        <w:ind w:left="432" w:hanging="432"/>
        <w:rPr>
          <w:lang w:val="en-US"/>
        </w:rPr>
      </w:pPr>
      <w:r>
        <w:rPr>
          <w:lang w:val="en-US"/>
        </w:rPr>
        <w:lastRenderedPageBreak/>
        <w:t>Annex A – MOS scores per sequence</w:t>
      </w:r>
    </w:p>
    <w:p w14:paraId="70772165" w14:textId="73E86161" w:rsidR="00482572" w:rsidRDefault="00482572" w:rsidP="000B3BE0">
      <w:pPr>
        <w:jc w:val="center"/>
        <w:rPr>
          <w:lang w:val="en-US"/>
        </w:rPr>
      </w:pPr>
      <w:r>
        <w:rPr>
          <w:noProof/>
          <w:lang w:val="en-US" w:eastAsia="en-US"/>
        </w:rPr>
        <w:drawing>
          <wp:inline distT="0" distB="0" distL="0" distR="0" wp14:anchorId="704D2CCB" wp14:editId="6375C7CA">
            <wp:extent cx="2980944" cy="1792224"/>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80944" cy="1792224"/>
                    </a:xfrm>
                    <a:prstGeom prst="rect">
                      <a:avLst/>
                    </a:prstGeom>
                    <a:noFill/>
                  </pic:spPr>
                </pic:pic>
              </a:graphicData>
            </a:graphic>
          </wp:inline>
        </w:drawing>
      </w:r>
      <w:r w:rsidR="000B3BE0">
        <w:rPr>
          <w:lang w:val="en-US"/>
        </w:rPr>
        <w:t xml:space="preserve">    </w:t>
      </w:r>
      <w:r>
        <w:rPr>
          <w:noProof/>
          <w:lang w:val="en-US" w:eastAsia="en-US"/>
        </w:rPr>
        <w:drawing>
          <wp:inline distT="0" distB="0" distL="0" distR="0" wp14:anchorId="515DDD67" wp14:editId="347CE8A4">
            <wp:extent cx="2980944" cy="1792224"/>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80944" cy="1792224"/>
                    </a:xfrm>
                    <a:prstGeom prst="rect">
                      <a:avLst/>
                    </a:prstGeom>
                    <a:noFill/>
                  </pic:spPr>
                </pic:pic>
              </a:graphicData>
            </a:graphic>
          </wp:inline>
        </w:drawing>
      </w:r>
    </w:p>
    <w:p w14:paraId="01A316C9" w14:textId="218A5DBB" w:rsidR="00482572" w:rsidRDefault="00482572" w:rsidP="000B3BE0">
      <w:pPr>
        <w:jc w:val="center"/>
        <w:rPr>
          <w:lang w:val="en-US"/>
        </w:rPr>
      </w:pPr>
      <w:r>
        <w:rPr>
          <w:noProof/>
          <w:lang w:val="en-US" w:eastAsia="en-US"/>
        </w:rPr>
        <w:drawing>
          <wp:inline distT="0" distB="0" distL="0" distR="0" wp14:anchorId="5E4BC04D" wp14:editId="4540694B">
            <wp:extent cx="2980944" cy="1792224"/>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980944" cy="1792224"/>
                    </a:xfrm>
                    <a:prstGeom prst="rect">
                      <a:avLst/>
                    </a:prstGeom>
                    <a:noFill/>
                  </pic:spPr>
                </pic:pic>
              </a:graphicData>
            </a:graphic>
          </wp:inline>
        </w:drawing>
      </w:r>
      <w:r w:rsidR="000B3BE0">
        <w:rPr>
          <w:lang w:val="en-US"/>
        </w:rPr>
        <w:t xml:space="preserve">    </w:t>
      </w:r>
      <w:r>
        <w:rPr>
          <w:noProof/>
          <w:lang w:val="en-US" w:eastAsia="en-US"/>
        </w:rPr>
        <w:drawing>
          <wp:inline distT="0" distB="0" distL="0" distR="0" wp14:anchorId="38ED21A3" wp14:editId="076AC4A6">
            <wp:extent cx="2980944" cy="1792224"/>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980944" cy="1792224"/>
                    </a:xfrm>
                    <a:prstGeom prst="rect">
                      <a:avLst/>
                    </a:prstGeom>
                    <a:noFill/>
                  </pic:spPr>
                </pic:pic>
              </a:graphicData>
            </a:graphic>
          </wp:inline>
        </w:drawing>
      </w:r>
    </w:p>
    <w:p w14:paraId="01205D7B" w14:textId="55C67E41" w:rsidR="00482572" w:rsidRDefault="00482572" w:rsidP="000B3BE0">
      <w:pPr>
        <w:jc w:val="center"/>
        <w:rPr>
          <w:lang w:val="en-US"/>
        </w:rPr>
      </w:pPr>
      <w:r>
        <w:rPr>
          <w:noProof/>
          <w:lang w:val="en-US" w:eastAsia="en-US"/>
        </w:rPr>
        <w:drawing>
          <wp:inline distT="0" distB="0" distL="0" distR="0" wp14:anchorId="0531C788" wp14:editId="2FA5DAD5">
            <wp:extent cx="2313432" cy="1792224"/>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13432" cy="1792224"/>
                    </a:xfrm>
                    <a:prstGeom prst="rect">
                      <a:avLst/>
                    </a:prstGeom>
                    <a:noFill/>
                  </pic:spPr>
                </pic:pic>
              </a:graphicData>
            </a:graphic>
          </wp:inline>
        </w:drawing>
      </w:r>
      <w:r w:rsidR="000B3BE0">
        <w:rPr>
          <w:lang w:val="en-US"/>
        </w:rPr>
        <w:t xml:space="preserve">    </w:t>
      </w:r>
      <w:r>
        <w:rPr>
          <w:noProof/>
          <w:lang w:val="en-US" w:eastAsia="en-US"/>
        </w:rPr>
        <w:drawing>
          <wp:inline distT="0" distB="0" distL="0" distR="0" wp14:anchorId="47925B3F" wp14:editId="783D4AD2">
            <wp:extent cx="2313432" cy="1792224"/>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313432" cy="1792224"/>
                    </a:xfrm>
                    <a:prstGeom prst="rect">
                      <a:avLst/>
                    </a:prstGeom>
                    <a:noFill/>
                  </pic:spPr>
                </pic:pic>
              </a:graphicData>
            </a:graphic>
          </wp:inline>
        </w:drawing>
      </w:r>
    </w:p>
    <w:p w14:paraId="457B283E" w14:textId="68B0BB83" w:rsidR="00482572" w:rsidRDefault="00482572" w:rsidP="000B3BE0">
      <w:pPr>
        <w:jc w:val="center"/>
        <w:rPr>
          <w:lang w:val="en-US"/>
        </w:rPr>
      </w:pPr>
      <w:r>
        <w:rPr>
          <w:noProof/>
          <w:lang w:val="en-US" w:eastAsia="en-US"/>
        </w:rPr>
        <w:drawing>
          <wp:inline distT="0" distB="0" distL="0" distR="0" wp14:anchorId="1B27DACC" wp14:editId="2474EE1E">
            <wp:extent cx="2313432" cy="1792224"/>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313432" cy="1792224"/>
                    </a:xfrm>
                    <a:prstGeom prst="rect">
                      <a:avLst/>
                    </a:prstGeom>
                    <a:noFill/>
                  </pic:spPr>
                </pic:pic>
              </a:graphicData>
            </a:graphic>
          </wp:inline>
        </w:drawing>
      </w:r>
      <w:r w:rsidR="000B3BE0">
        <w:rPr>
          <w:lang w:val="en-US"/>
        </w:rPr>
        <w:t xml:space="preserve">    </w:t>
      </w:r>
      <w:r>
        <w:rPr>
          <w:noProof/>
          <w:lang w:val="en-US" w:eastAsia="en-US"/>
        </w:rPr>
        <w:drawing>
          <wp:inline distT="0" distB="0" distL="0" distR="0" wp14:anchorId="4E16FBC4" wp14:editId="7B73D0FB">
            <wp:extent cx="2313432" cy="1792224"/>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13432" cy="1792224"/>
                    </a:xfrm>
                    <a:prstGeom prst="rect">
                      <a:avLst/>
                    </a:prstGeom>
                    <a:noFill/>
                  </pic:spPr>
                </pic:pic>
              </a:graphicData>
            </a:graphic>
          </wp:inline>
        </w:drawing>
      </w:r>
    </w:p>
    <w:p w14:paraId="3A1D1210" w14:textId="77777777" w:rsidR="00482572" w:rsidRDefault="00482572" w:rsidP="0063338A">
      <w:pPr>
        <w:rPr>
          <w:lang w:val="en-US"/>
        </w:rPr>
      </w:pPr>
    </w:p>
    <w:p w14:paraId="34AEF420" w14:textId="3398BC6E" w:rsidR="0063338A" w:rsidRDefault="0063338A" w:rsidP="0063338A">
      <w:pPr>
        <w:rPr>
          <w:lang w:val="en-US"/>
        </w:rPr>
      </w:pPr>
    </w:p>
    <w:p w14:paraId="7B765B30" w14:textId="77777777" w:rsidR="0063338A" w:rsidRPr="0063338A" w:rsidRDefault="0063338A" w:rsidP="0063338A">
      <w:pPr>
        <w:rPr>
          <w:lang w:val="en-US"/>
        </w:rPr>
      </w:pPr>
    </w:p>
    <w:p w14:paraId="54AC0825" w14:textId="77777777" w:rsidR="0063338A" w:rsidRDefault="0063338A" w:rsidP="0063338A">
      <w:pPr>
        <w:tabs>
          <w:tab w:val="clear" w:pos="792"/>
          <w:tab w:val="clear" w:pos="1195"/>
          <w:tab w:val="clear" w:pos="1584"/>
          <w:tab w:val="clear" w:pos="1987"/>
          <w:tab w:val="clear" w:pos="4853"/>
          <w:tab w:val="clear" w:pos="9691"/>
        </w:tabs>
        <w:spacing w:before="0"/>
        <w:jc w:val="left"/>
        <w:rPr>
          <w:lang w:val="en-US"/>
        </w:rPr>
      </w:pPr>
      <w:r>
        <w:rPr>
          <w:lang w:val="en-US"/>
        </w:rPr>
        <w:br w:type="page"/>
      </w:r>
    </w:p>
    <w:p w14:paraId="66C14795" w14:textId="686459C2" w:rsidR="0063338A" w:rsidRDefault="0063338A" w:rsidP="0063338A">
      <w:pPr>
        <w:pStyle w:val="Heading1"/>
        <w:numPr>
          <w:ilvl w:val="0"/>
          <w:numId w:val="0"/>
        </w:numPr>
        <w:ind w:left="432" w:hanging="432"/>
        <w:rPr>
          <w:lang w:val="en-US"/>
        </w:rPr>
      </w:pPr>
      <w:r>
        <w:rPr>
          <w:lang w:val="en-US"/>
        </w:rPr>
        <w:lastRenderedPageBreak/>
        <w:t>Annex B – Characteristics of the display using for the tests</w:t>
      </w:r>
    </w:p>
    <w:p w14:paraId="05309E46" w14:textId="634BFBC6" w:rsidR="00D357BA" w:rsidRPr="00C6415F" w:rsidRDefault="00D357BA" w:rsidP="00D357BA">
      <w:pPr>
        <w:rPr>
          <w:lang w:val="en-US" w:eastAsia="x-none"/>
        </w:rPr>
      </w:pPr>
      <w:r w:rsidRPr="00C6415F">
        <w:rPr>
          <w:lang w:val="en-US" w:eastAsia="x-none"/>
        </w:rPr>
        <w:t>T</w:t>
      </w:r>
      <w:r w:rsidR="00317C91">
        <w:rPr>
          <w:lang w:val="en-US" w:eastAsia="x-none"/>
        </w:rPr>
        <w:t>he</w:t>
      </w:r>
      <w:r w:rsidRPr="00C6415F">
        <w:rPr>
          <w:lang w:val="en-US" w:eastAsia="x-none"/>
        </w:rPr>
        <w:t xml:space="preserve"> display</w:t>
      </w:r>
      <w:r w:rsidR="00317C91">
        <w:rPr>
          <w:lang w:val="en-US" w:eastAsia="x-none"/>
        </w:rPr>
        <w:t xml:space="preserve"> used for viewing the content</w:t>
      </w:r>
      <w:r w:rsidRPr="00C6415F">
        <w:rPr>
          <w:lang w:val="en-US" w:eastAsia="x-none"/>
        </w:rPr>
        <w:t xml:space="preserve"> is a SIM2 display, </w:t>
      </w:r>
      <w:r w:rsidR="00B60F0F">
        <w:rPr>
          <w:lang w:val="en-US" w:eastAsia="x-none"/>
        </w:rPr>
        <w:t>with</w:t>
      </w:r>
      <w:r w:rsidRPr="00C6415F">
        <w:rPr>
          <w:lang w:val="en-US" w:eastAsia="x-none"/>
        </w:rPr>
        <w:t xml:space="preserve"> main characteristics provided in the table below.</w:t>
      </w:r>
    </w:p>
    <w:p w14:paraId="3534A7EA" w14:textId="77777777" w:rsidR="00D357BA" w:rsidRDefault="00D357BA" w:rsidP="00D357BA">
      <w:pPr>
        <w:rPr>
          <w:lang w:val="en-US" w:eastAsia="x-none"/>
        </w:rPr>
      </w:pPr>
    </w:p>
    <w:tbl>
      <w:tblPr>
        <w:tblStyle w:val="LightGrid"/>
        <w:tblW w:w="7216" w:type="dxa"/>
        <w:tblInd w:w="1101" w:type="dxa"/>
        <w:tblLook w:val="0600" w:firstRow="0" w:lastRow="0" w:firstColumn="0" w:lastColumn="0" w:noHBand="1" w:noVBand="1"/>
      </w:tblPr>
      <w:tblGrid>
        <w:gridCol w:w="2723"/>
        <w:gridCol w:w="4493"/>
      </w:tblGrid>
      <w:tr w:rsidR="00D357BA" w:rsidRPr="00C6415F" w14:paraId="23FC8C29" w14:textId="77777777" w:rsidTr="00D357BA">
        <w:trPr>
          <w:trHeight w:val="232"/>
        </w:trPr>
        <w:tc>
          <w:tcPr>
            <w:tcW w:w="2723" w:type="dxa"/>
            <w:hideMark/>
          </w:tcPr>
          <w:p w14:paraId="401A9699" w14:textId="77777777" w:rsidR="00D357BA" w:rsidRPr="00C6415F" w:rsidRDefault="00D357BA" w:rsidP="00D357BA">
            <w:pPr>
              <w:spacing w:before="0"/>
              <w:rPr>
                <w:lang w:val="en-US" w:eastAsia="x-none"/>
              </w:rPr>
            </w:pPr>
            <w:r w:rsidRPr="00C6415F">
              <w:rPr>
                <w:lang w:val="en-US" w:eastAsia="x-none"/>
              </w:rPr>
              <w:t>Technology</w:t>
            </w:r>
          </w:p>
        </w:tc>
        <w:tc>
          <w:tcPr>
            <w:tcW w:w="4493" w:type="dxa"/>
            <w:hideMark/>
          </w:tcPr>
          <w:p w14:paraId="57103636" w14:textId="77777777" w:rsidR="00D357BA" w:rsidRPr="00C6415F" w:rsidRDefault="00D357BA" w:rsidP="00D357BA">
            <w:pPr>
              <w:spacing w:before="0"/>
              <w:rPr>
                <w:lang w:val="en-US" w:eastAsia="x-none"/>
              </w:rPr>
            </w:pPr>
            <w:r w:rsidRPr="00C6415F">
              <w:rPr>
                <w:lang w:val="en-US" w:eastAsia="x-none"/>
              </w:rPr>
              <w:t>HDR LCD Display with individually controlled LED backlight modulation</w:t>
            </w:r>
          </w:p>
        </w:tc>
      </w:tr>
      <w:tr w:rsidR="00D357BA" w:rsidRPr="00C6415F" w14:paraId="0280A7F8" w14:textId="77777777" w:rsidTr="00D357BA">
        <w:trPr>
          <w:trHeight w:val="46"/>
        </w:trPr>
        <w:tc>
          <w:tcPr>
            <w:tcW w:w="2723" w:type="dxa"/>
            <w:hideMark/>
          </w:tcPr>
          <w:p w14:paraId="2A99D2DE" w14:textId="77777777" w:rsidR="00D357BA" w:rsidRPr="00C6415F" w:rsidRDefault="00D357BA" w:rsidP="00D357BA">
            <w:pPr>
              <w:spacing w:before="0"/>
              <w:rPr>
                <w:lang w:val="en-US" w:eastAsia="x-none"/>
              </w:rPr>
            </w:pPr>
            <w:r w:rsidRPr="00C6415F">
              <w:rPr>
                <w:lang w:val="en-US" w:eastAsia="x-none"/>
              </w:rPr>
              <w:t>Resolution</w:t>
            </w:r>
          </w:p>
        </w:tc>
        <w:tc>
          <w:tcPr>
            <w:tcW w:w="4493" w:type="dxa"/>
            <w:hideMark/>
          </w:tcPr>
          <w:p w14:paraId="6A3B5D8C" w14:textId="77777777" w:rsidR="00D357BA" w:rsidRPr="00C6415F" w:rsidRDefault="00D357BA" w:rsidP="00D357BA">
            <w:pPr>
              <w:spacing w:before="0"/>
              <w:rPr>
                <w:lang w:val="en-US" w:eastAsia="x-none"/>
              </w:rPr>
            </w:pPr>
            <w:r w:rsidRPr="00C6415F">
              <w:rPr>
                <w:lang w:val="en-US" w:eastAsia="x-none"/>
              </w:rPr>
              <w:t>1920 x 1080 pixels</w:t>
            </w:r>
          </w:p>
        </w:tc>
      </w:tr>
      <w:tr w:rsidR="00D357BA" w:rsidRPr="00C6415F" w14:paraId="00442AE2" w14:textId="77777777" w:rsidTr="00D357BA">
        <w:trPr>
          <w:trHeight w:val="46"/>
        </w:trPr>
        <w:tc>
          <w:tcPr>
            <w:tcW w:w="2723" w:type="dxa"/>
            <w:hideMark/>
          </w:tcPr>
          <w:p w14:paraId="1CB87BFC" w14:textId="77777777" w:rsidR="00D357BA" w:rsidRPr="00C6415F" w:rsidRDefault="00D357BA" w:rsidP="00D357BA">
            <w:pPr>
              <w:spacing w:before="0"/>
              <w:rPr>
                <w:lang w:val="en-US" w:eastAsia="x-none"/>
              </w:rPr>
            </w:pPr>
            <w:r w:rsidRPr="00C6415F">
              <w:rPr>
                <w:lang w:val="en-US" w:eastAsia="x-none"/>
              </w:rPr>
              <w:t>Display size</w:t>
            </w:r>
          </w:p>
        </w:tc>
        <w:tc>
          <w:tcPr>
            <w:tcW w:w="4493" w:type="dxa"/>
            <w:hideMark/>
          </w:tcPr>
          <w:p w14:paraId="6C793070" w14:textId="77777777" w:rsidR="00D357BA" w:rsidRPr="00C6415F" w:rsidRDefault="00D357BA" w:rsidP="00D357BA">
            <w:pPr>
              <w:spacing w:before="0"/>
              <w:rPr>
                <w:lang w:val="en-US" w:eastAsia="x-none"/>
              </w:rPr>
            </w:pPr>
            <w:r w:rsidRPr="00C6415F">
              <w:rPr>
                <w:lang w:val="en-US" w:eastAsia="x-none"/>
              </w:rPr>
              <w:t>47”</w:t>
            </w:r>
          </w:p>
        </w:tc>
      </w:tr>
      <w:tr w:rsidR="00D357BA" w:rsidRPr="00C6415F" w14:paraId="4F21F086" w14:textId="77777777" w:rsidTr="00D357BA">
        <w:trPr>
          <w:trHeight w:val="46"/>
        </w:trPr>
        <w:tc>
          <w:tcPr>
            <w:tcW w:w="2723" w:type="dxa"/>
            <w:hideMark/>
          </w:tcPr>
          <w:p w14:paraId="522DCCAF" w14:textId="77777777" w:rsidR="00D357BA" w:rsidRPr="00C6415F" w:rsidRDefault="00D357BA" w:rsidP="00D357BA">
            <w:pPr>
              <w:spacing w:before="0"/>
              <w:rPr>
                <w:lang w:val="en-US" w:eastAsia="x-none"/>
              </w:rPr>
            </w:pPr>
            <w:r w:rsidRPr="00C6415F">
              <w:rPr>
                <w:lang w:val="en-US" w:eastAsia="x-none"/>
              </w:rPr>
              <w:t>Panel aspect ratio</w:t>
            </w:r>
          </w:p>
        </w:tc>
        <w:tc>
          <w:tcPr>
            <w:tcW w:w="4493" w:type="dxa"/>
            <w:hideMark/>
          </w:tcPr>
          <w:p w14:paraId="42123256" w14:textId="77777777" w:rsidR="00D357BA" w:rsidRPr="00C6415F" w:rsidRDefault="00D357BA" w:rsidP="00D357BA">
            <w:pPr>
              <w:spacing w:before="0"/>
              <w:rPr>
                <w:lang w:val="en-US" w:eastAsia="x-none"/>
              </w:rPr>
            </w:pPr>
            <w:r w:rsidRPr="00C6415F">
              <w:rPr>
                <w:lang w:val="en-US" w:eastAsia="x-none"/>
              </w:rPr>
              <w:t>16:9</w:t>
            </w:r>
          </w:p>
        </w:tc>
      </w:tr>
      <w:tr w:rsidR="00D357BA" w:rsidRPr="00C6415F" w14:paraId="703DA08E" w14:textId="77777777" w:rsidTr="00D357BA">
        <w:trPr>
          <w:trHeight w:val="46"/>
        </w:trPr>
        <w:tc>
          <w:tcPr>
            <w:tcW w:w="2723" w:type="dxa"/>
            <w:hideMark/>
          </w:tcPr>
          <w:p w14:paraId="64151201" w14:textId="77777777" w:rsidR="00D357BA" w:rsidRPr="00C6415F" w:rsidRDefault="00D357BA" w:rsidP="00D357BA">
            <w:pPr>
              <w:spacing w:before="0"/>
              <w:rPr>
                <w:lang w:val="en-US" w:eastAsia="x-none"/>
              </w:rPr>
            </w:pPr>
            <w:r w:rsidRPr="00C6415F">
              <w:rPr>
                <w:lang w:val="en-US" w:eastAsia="x-none"/>
              </w:rPr>
              <w:t>Number of real colours</w:t>
            </w:r>
          </w:p>
        </w:tc>
        <w:tc>
          <w:tcPr>
            <w:tcW w:w="4493" w:type="dxa"/>
            <w:hideMark/>
          </w:tcPr>
          <w:p w14:paraId="17609B97" w14:textId="77777777" w:rsidR="00D357BA" w:rsidRPr="00C6415F" w:rsidRDefault="00D357BA" w:rsidP="00D357BA">
            <w:pPr>
              <w:spacing w:before="0"/>
              <w:rPr>
                <w:lang w:val="en-US" w:eastAsia="x-none"/>
              </w:rPr>
            </w:pPr>
            <w:r w:rsidRPr="00C6415F">
              <w:rPr>
                <w:lang w:val="en-US" w:eastAsia="x-none"/>
              </w:rPr>
              <w:t>16 bit</w:t>
            </w:r>
            <w:r>
              <w:rPr>
                <w:lang w:val="en-US" w:eastAsia="x-none"/>
              </w:rPr>
              <w:t>s</w:t>
            </w:r>
            <w:r w:rsidRPr="00C6415F">
              <w:rPr>
                <w:lang w:val="en-US" w:eastAsia="x-none"/>
              </w:rPr>
              <w:t xml:space="preserve"> per channel</w:t>
            </w:r>
          </w:p>
        </w:tc>
      </w:tr>
      <w:tr w:rsidR="00D357BA" w:rsidRPr="00C6415F" w14:paraId="50061CA1" w14:textId="77777777" w:rsidTr="00D357BA">
        <w:trPr>
          <w:trHeight w:val="46"/>
        </w:trPr>
        <w:tc>
          <w:tcPr>
            <w:tcW w:w="2723" w:type="dxa"/>
            <w:hideMark/>
          </w:tcPr>
          <w:p w14:paraId="07456A57" w14:textId="77777777" w:rsidR="00D357BA" w:rsidRPr="00C6415F" w:rsidRDefault="00D357BA" w:rsidP="00D357BA">
            <w:pPr>
              <w:spacing w:before="0"/>
              <w:rPr>
                <w:lang w:val="en-US" w:eastAsia="x-none"/>
              </w:rPr>
            </w:pPr>
            <w:r w:rsidRPr="00C6415F">
              <w:rPr>
                <w:lang w:val="en-US" w:eastAsia="x-none"/>
              </w:rPr>
              <w:t>Number of LED</w:t>
            </w:r>
          </w:p>
        </w:tc>
        <w:tc>
          <w:tcPr>
            <w:tcW w:w="4493" w:type="dxa"/>
            <w:hideMark/>
          </w:tcPr>
          <w:p w14:paraId="0D0D3DBC" w14:textId="77777777" w:rsidR="00D357BA" w:rsidRPr="00C6415F" w:rsidRDefault="00D357BA" w:rsidP="00D357BA">
            <w:pPr>
              <w:spacing w:before="0"/>
              <w:rPr>
                <w:lang w:val="en-US" w:eastAsia="x-none"/>
              </w:rPr>
            </w:pPr>
            <w:r w:rsidRPr="00C6415F">
              <w:rPr>
                <w:lang w:val="en-US" w:eastAsia="x-none"/>
              </w:rPr>
              <w:t>2202</w:t>
            </w:r>
          </w:p>
        </w:tc>
      </w:tr>
      <w:tr w:rsidR="00D357BA" w:rsidRPr="00C6415F" w14:paraId="0A571D34" w14:textId="77777777" w:rsidTr="00D357BA">
        <w:trPr>
          <w:trHeight w:val="46"/>
        </w:trPr>
        <w:tc>
          <w:tcPr>
            <w:tcW w:w="2723" w:type="dxa"/>
            <w:hideMark/>
          </w:tcPr>
          <w:p w14:paraId="15852355" w14:textId="77777777" w:rsidR="00D357BA" w:rsidRPr="00C6415F" w:rsidRDefault="00D357BA" w:rsidP="00D357BA">
            <w:pPr>
              <w:spacing w:before="0"/>
              <w:rPr>
                <w:lang w:val="en-US" w:eastAsia="x-none"/>
              </w:rPr>
            </w:pPr>
            <w:r w:rsidRPr="00C6415F">
              <w:rPr>
                <w:lang w:val="en-US" w:eastAsia="x-none"/>
              </w:rPr>
              <w:t>Brightness</w:t>
            </w:r>
          </w:p>
        </w:tc>
        <w:tc>
          <w:tcPr>
            <w:tcW w:w="4493" w:type="dxa"/>
            <w:hideMark/>
          </w:tcPr>
          <w:p w14:paraId="2FA93B5D" w14:textId="77777777" w:rsidR="00D357BA" w:rsidRPr="00C6415F" w:rsidRDefault="00D357BA" w:rsidP="00D357BA">
            <w:pPr>
              <w:spacing w:before="0"/>
              <w:rPr>
                <w:lang w:val="en-US" w:eastAsia="x-none"/>
              </w:rPr>
            </w:pPr>
            <w:r w:rsidRPr="00C6415F">
              <w:rPr>
                <w:lang w:val="en-US" w:eastAsia="x-none"/>
              </w:rPr>
              <w:t>4000 cd/m</w:t>
            </w:r>
            <w:r w:rsidRPr="00C6415F">
              <w:rPr>
                <w:vertAlign w:val="superscript"/>
                <w:lang w:val="en-US" w:eastAsia="x-none"/>
              </w:rPr>
              <w:t>2</w:t>
            </w:r>
          </w:p>
        </w:tc>
      </w:tr>
      <w:tr w:rsidR="00D357BA" w:rsidRPr="00C6415F" w14:paraId="22E3AC84" w14:textId="77777777" w:rsidTr="00D357BA">
        <w:trPr>
          <w:trHeight w:val="52"/>
        </w:trPr>
        <w:tc>
          <w:tcPr>
            <w:tcW w:w="2723" w:type="dxa"/>
            <w:hideMark/>
          </w:tcPr>
          <w:p w14:paraId="4B081321" w14:textId="77777777" w:rsidR="00D357BA" w:rsidRPr="00C6415F" w:rsidRDefault="00D357BA" w:rsidP="00D357BA">
            <w:pPr>
              <w:spacing w:before="0"/>
              <w:rPr>
                <w:lang w:val="en-US" w:eastAsia="x-none"/>
              </w:rPr>
            </w:pPr>
            <w:r w:rsidRPr="00C6415F">
              <w:rPr>
                <w:lang w:val="en-US" w:eastAsia="x-none"/>
              </w:rPr>
              <w:t>ANSI Contrast</w:t>
            </w:r>
          </w:p>
        </w:tc>
        <w:tc>
          <w:tcPr>
            <w:tcW w:w="4493" w:type="dxa"/>
            <w:hideMark/>
          </w:tcPr>
          <w:p w14:paraId="0FD2BE85" w14:textId="77777777" w:rsidR="00D357BA" w:rsidRPr="00C6415F" w:rsidRDefault="00D357BA" w:rsidP="00D357BA">
            <w:pPr>
              <w:spacing w:before="0"/>
              <w:rPr>
                <w:lang w:val="en-US" w:eastAsia="x-none"/>
              </w:rPr>
            </w:pPr>
            <w:r w:rsidRPr="00C6415F">
              <w:rPr>
                <w:lang w:val="en-US" w:eastAsia="x-none"/>
              </w:rPr>
              <w:t>&gt;20.000:1</w:t>
            </w:r>
          </w:p>
        </w:tc>
      </w:tr>
      <w:tr w:rsidR="00D357BA" w:rsidRPr="00C6415F" w14:paraId="7FCED756" w14:textId="77777777" w:rsidTr="00D357BA">
        <w:trPr>
          <w:trHeight w:val="70"/>
        </w:trPr>
        <w:tc>
          <w:tcPr>
            <w:tcW w:w="2723" w:type="dxa"/>
            <w:hideMark/>
          </w:tcPr>
          <w:p w14:paraId="135E0046" w14:textId="77777777" w:rsidR="00D357BA" w:rsidRPr="00C6415F" w:rsidRDefault="00D357BA" w:rsidP="00D357BA">
            <w:pPr>
              <w:spacing w:before="0"/>
              <w:rPr>
                <w:lang w:val="en-US" w:eastAsia="x-none"/>
              </w:rPr>
            </w:pPr>
            <w:r w:rsidRPr="00C6415F">
              <w:rPr>
                <w:lang w:val="en-US" w:eastAsia="x-none"/>
              </w:rPr>
              <w:t>FULL ON/OFF Contrast</w:t>
            </w:r>
          </w:p>
        </w:tc>
        <w:tc>
          <w:tcPr>
            <w:tcW w:w="4493" w:type="dxa"/>
            <w:hideMark/>
          </w:tcPr>
          <w:p w14:paraId="183D3960" w14:textId="77777777" w:rsidR="00D357BA" w:rsidRPr="00C6415F" w:rsidRDefault="00D357BA" w:rsidP="00D357BA">
            <w:pPr>
              <w:spacing w:before="0"/>
              <w:rPr>
                <w:lang w:val="en-US" w:eastAsia="x-none"/>
              </w:rPr>
            </w:pPr>
            <w:r w:rsidRPr="00C6415F">
              <w:rPr>
                <w:lang w:val="en-US" w:eastAsia="x-none"/>
              </w:rPr>
              <w:t>virtually infinite (&gt;1.000.000:1)</w:t>
            </w:r>
          </w:p>
        </w:tc>
      </w:tr>
      <w:tr w:rsidR="00D357BA" w:rsidRPr="00C6415F" w14:paraId="46FB648B" w14:textId="77777777" w:rsidTr="00D357BA">
        <w:trPr>
          <w:trHeight w:val="97"/>
        </w:trPr>
        <w:tc>
          <w:tcPr>
            <w:tcW w:w="2723" w:type="dxa"/>
            <w:hideMark/>
          </w:tcPr>
          <w:p w14:paraId="3D27F8AD" w14:textId="77777777" w:rsidR="00D357BA" w:rsidRPr="00C6415F" w:rsidRDefault="00D357BA" w:rsidP="00D357BA">
            <w:pPr>
              <w:spacing w:before="0"/>
              <w:rPr>
                <w:lang w:val="en-US" w:eastAsia="x-none"/>
              </w:rPr>
            </w:pPr>
            <w:r w:rsidRPr="00C6415F">
              <w:rPr>
                <w:lang w:val="en-US" w:eastAsia="x-none"/>
              </w:rPr>
              <w:t>White point</w:t>
            </w:r>
          </w:p>
        </w:tc>
        <w:tc>
          <w:tcPr>
            <w:tcW w:w="4493" w:type="dxa"/>
            <w:hideMark/>
          </w:tcPr>
          <w:p w14:paraId="417BD732" w14:textId="77777777" w:rsidR="00D357BA" w:rsidRPr="00C6415F" w:rsidRDefault="00D357BA" w:rsidP="00D357BA">
            <w:pPr>
              <w:spacing w:before="0"/>
              <w:rPr>
                <w:lang w:val="en-US" w:eastAsia="x-none"/>
              </w:rPr>
            </w:pPr>
            <w:r w:rsidRPr="00C6415F">
              <w:rPr>
                <w:lang w:val="en-US" w:eastAsia="x-none"/>
              </w:rPr>
              <w:t>6500K (totally adjustable 5000k–9000k</w:t>
            </w:r>
            <w:r>
              <w:rPr>
                <w:lang w:val="en-US" w:eastAsia="x-none"/>
              </w:rPr>
              <w:t>)</w:t>
            </w:r>
          </w:p>
        </w:tc>
      </w:tr>
    </w:tbl>
    <w:p w14:paraId="69789A6F" w14:textId="77777777" w:rsidR="00001797" w:rsidRDefault="00001797" w:rsidP="00001797">
      <w:pPr>
        <w:rPr>
          <w:szCs w:val="22"/>
        </w:rPr>
      </w:pPr>
      <w:r>
        <w:rPr>
          <w:szCs w:val="22"/>
        </w:rPr>
        <w:t xml:space="preserve">The transfer response and the color primaries of the unit used to grade the content have been characterized using the transfer characteristics of the EasyHDRPlayer v2.0.0 tool provided by Sim2 using default shader version 3.0 equations provided in the tool. </w:t>
      </w:r>
    </w:p>
    <w:p w14:paraId="52C98C6F" w14:textId="073CC452" w:rsidR="00001797" w:rsidRDefault="00001797" w:rsidP="00001797">
      <w:pPr>
        <w:rPr>
          <w:szCs w:val="22"/>
        </w:rPr>
      </w:pPr>
      <w:r>
        <w:rPr>
          <w:szCs w:val="22"/>
        </w:rPr>
        <w:t>The transfer response</w:t>
      </w:r>
      <w:r w:rsidR="001B43A9">
        <w:rPr>
          <w:szCs w:val="22"/>
        </w:rPr>
        <w:t xml:space="preserve"> is plotted below. It </w:t>
      </w:r>
      <w:r w:rsidR="00317C91">
        <w:rPr>
          <w:szCs w:val="22"/>
        </w:rPr>
        <w:t>is</w:t>
      </w:r>
      <w:r w:rsidR="001B43A9">
        <w:rPr>
          <w:szCs w:val="22"/>
        </w:rPr>
        <w:t xml:space="preserve"> observed that the response of the display is linear up to 4000 cd/m</w:t>
      </w:r>
      <w:r w:rsidR="001B43A9" w:rsidRPr="001B43A9">
        <w:rPr>
          <w:szCs w:val="22"/>
          <w:vertAlign w:val="superscript"/>
        </w:rPr>
        <w:t>2</w:t>
      </w:r>
      <w:r w:rsidR="001B43A9">
        <w:rPr>
          <w:szCs w:val="22"/>
        </w:rPr>
        <w:t>.</w:t>
      </w:r>
    </w:p>
    <w:p w14:paraId="01F36081" w14:textId="0780B468" w:rsidR="001B43A9" w:rsidRDefault="001B43A9" w:rsidP="001B43A9">
      <w:pPr>
        <w:jc w:val="center"/>
        <w:rPr>
          <w:szCs w:val="22"/>
        </w:rPr>
      </w:pPr>
      <w:r>
        <w:rPr>
          <w:noProof/>
          <w:szCs w:val="22"/>
          <w:lang w:val="en-US" w:eastAsia="en-US"/>
        </w:rPr>
        <w:drawing>
          <wp:inline distT="0" distB="0" distL="0" distR="0" wp14:anchorId="5F7C12F8" wp14:editId="2C1A2422">
            <wp:extent cx="4220870" cy="2380427"/>
            <wp:effectExtent l="0" t="0" r="8255" b="127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235484" cy="2388669"/>
                    </a:xfrm>
                    <a:prstGeom prst="rect">
                      <a:avLst/>
                    </a:prstGeom>
                    <a:noFill/>
                  </pic:spPr>
                </pic:pic>
              </a:graphicData>
            </a:graphic>
          </wp:inline>
        </w:drawing>
      </w:r>
    </w:p>
    <w:p w14:paraId="4B39C456" w14:textId="77777777" w:rsidR="00001797" w:rsidRDefault="00001797" w:rsidP="00001797">
      <w:pPr>
        <w:rPr>
          <w:szCs w:val="22"/>
        </w:rPr>
      </w:pPr>
    </w:p>
    <w:p w14:paraId="022E0611" w14:textId="77777777" w:rsidR="00001797" w:rsidRDefault="00001797" w:rsidP="00001797">
      <w:pPr>
        <w:rPr>
          <w:szCs w:val="22"/>
        </w:rPr>
      </w:pPr>
      <w:r>
        <w:rPr>
          <w:szCs w:val="22"/>
        </w:rPr>
        <w:t>Each color primary has been characterized using a different test file with the same pixel values for all pixels of the file:</w:t>
      </w:r>
    </w:p>
    <w:p w14:paraId="3AAB6017" w14:textId="77777777" w:rsidR="00001797" w:rsidRPr="00643EC8" w:rsidRDefault="00001797" w:rsidP="00001797">
      <w:pPr>
        <w:pStyle w:val="ListParagraph"/>
        <w:numPr>
          <w:ilvl w:val="0"/>
          <w:numId w:val="27"/>
        </w:numPr>
        <w:tabs>
          <w:tab w:val="clear" w:pos="792"/>
          <w:tab w:val="clear" w:pos="1195"/>
          <w:tab w:val="clear" w:pos="1584"/>
          <w:tab w:val="clear" w:pos="1987"/>
          <w:tab w:val="clear" w:pos="4853"/>
          <w:tab w:val="clear" w:pos="9691"/>
        </w:tabs>
        <w:spacing w:before="0"/>
        <w:contextualSpacing w:val="0"/>
        <w:rPr>
          <w:rFonts w:eastAsia="Times New Roman"/>
          <w:lang w:val="en-US" w:eastAsia="en-US"/>
        </w:rPr>
      </w:pPr>
      <w:r w:rsidRPr="00643EC8">
        <w:rPr>
          <w:rFonts w:eastAsia="Times New Roman"/>
          <w:lang w:val="en-US" w:eastAsia="en-US"/>
        </w:rPr>
        <w:t>For Red primary : R = 1.0f, G = 0.0f, B = 0.0f</w:t>
      </w:r>
    </w:p>
    <w:p w14:paraId="5B9228C0" w14:textId="77777777" w:rsidR="00001797" w:rsidRPr="00643EC8" w:rsidRDefault="00001797" w:rsidP="00001797">
      <w:pPr>
        <w:pStyle w:val="ListParagraph"/>
        <w:numPr>
          <w:ilvl w:val="0"/>
          <w:numId w:val="27"/>
        </w:numPr>
        <w:tabs>
          <w:tab w:val="clear" w:pos="792"/>
          <w:tab w:val="clear" w:pos="1195"/>
          <w:tab w:val="clear" w:pos="1584"/>
          <w:tab w:val="clear" w:pos="1987"/>
          <w:tab w:val="clear" w:pos="4853"/>
          <w:tab w:val="clear" w:pos="9691"/>
        </w:tabs>
        <w:spacing w:before="0"/>
        <w:contextualSpacing w:val="0"/>
        <w:rPr>
          <w:rFonts w:eastAsia="Times New Roman"/>
          <w:lang w:val="en-US" w:eastAsia="en-US"/>
        </w:rPr>
      </w:pPr>
      <w:r w:rsidRPr="00643EC8">
        <w:rPr>
          <w:rFonts w:eastAsia="Times New Roman"/>
          <w:lang w:val="en-US" w:eastAsia="en-US"/>
        </w:rPr>
        <w:t>For Green primary : R = 0.0f, G = 1.0f, B = 0.0f</w:t>
      </w:r>
    </w:p>
    <w:p w14:paraId="113228CB" w14:textId="77777777" w:rsidR="00001797" w:rsidRDefault="00001797" w:rsidP="00001797">
      <w:pPr>
        <w:pStyle w:val="ListParagraph"/>
        <w:numPr>
          <w:ilvl w:val="0"/>
          <w:numId w:val="27"/>
        </w:numPr>
        <w:tabs>
          <w:tab w:val="clear" w:pos="792"/>
          <w:tab w:val="clear" w:pos="1195"/>
          <w:tab w:val="clear" w:pos="1584"/>
          <w:tab w:val="clear" w:pos="1987"/>
          <w:tab w:val="clear" w:pos="4853"/>
          <w:tab w:val="clear" w:pos="9691"/>
        </w:tabs>
        <w:spacing w:before="0"/>
        <w:contextualSpacing w:val="0"/>
        <w:rPr>
          <w:rFonts w:eastAsia="Times New Roman"/>
          <w:lang w:val="en-US" w:eastAsia="en-US"/>
        </w:rPr>
      </w:pPr>
      <w:r w:rsidRPr="00643EC8">
        <w:rPr>
          <w:rFonts w:eastAsia="Times New Roman"/>
          <w:lang w:val="en-US" w:eastAsia="en-US"/>
        </w:rPr>
        <w:t>For Blue primary : R = 0.0f, G = 0.0f, B = 1.0f</w:t>
      </w:r>
    </w:p>
    <w:p w14:paraId="4C539B75" w14:textId="77777777" w:rsidR="00001797" w:rsidRPr="00CE1760" w:rsidRDefault="00001797" w:rsidP="00001797">
      <w:r w:rsidRPr="00CE1760">
        <w:t>The results are:</w:t>
      </w:r>
    </w:p>
    <w:p w14:paraId="3E7FBBAF" w14:textId="77777777" w:rsidR="00001797" w:rsidRPr="00CE1760" w:rsidRDefault="00001797" w:rsidP="00001797">
      <w:pPr>
        <w:pStyle w:val="ListParagraph"/>
        <w:numPr>
          <w:ilvl w:val="0"/>
          <w:numId w:val="27"/>
        </w:numPr>
        <w:tabs>
          <w:tab w:val="clear" w:pos="792"/>
          <w:tab w:val="clear" w:pos="1195"/>
          <w:tab w:val="clear" w:pos="1584"/>
          <w:tab w:val="clear" w:pos="1987"/>
          <w:tab w:val="clear" w:pos="4853"/>
          <w:tab w:val="clear" w:pos="9691"/>
        </w:tabs>
        <w:spacing w:before="0"/>
        <w:contextualSpacing w:val="0"/>
        <w:rPr>
          <w:rFonts w:eastAsia="Times New Roman"/>
          <w:lang w:val="en-US" w:eastAsia="en-US"/>
        </w:rPr>
      </w:pPr>
      <w:r w:rsidRPr="00CE1760">
        <w:rPr>
          <w:rFonts w:eastAsia="Times New Roman"/>
          <w:lang w:val="en-US" w:eastAsia="en-US"/>
        </w:rPr>
        <w:t>For Red primary : x = 0.6215, y = 0.3388</w:t>
      </w:r>
    </w:p>
    <w:p w14:paraId="454FFCCB" w14:textId="77777777" w:rsidR="00001797" w:rsidRPr="00CE1760" w:rsidRDefault="00001797" w:rsidP="00001797">
      <w:pPr>
        <w:pStyle w:val="ListParagraph"/>
        <w:numPr>
          <w:ilvl w:val="0"/>
          <w:numId w:val="27"/>
        </w:numPr>
        <w:tabs>
          <w:tab w:val="clear" w:pos="792"/>
          <w:tab w:val="clear" w:pos="1195"/>
          <w:tab w:val="clear" w:pos="1584"/>
          <w:tab w:val="clear" w:pos="1987"/>
          <w:tab w:val="clear" w:pos="4853"/>
          <w:tab w:val="clear" w:pos="9691"/>
        </w:tabs>
        <w:spacing w:before="0"/>
        <w:contextualSpacing w:val="0"/>
        <w:rPr>
          <w:rFonts w:eastAsia="Times New Roman"/>
          <w:lang w:val="en-US" w:eastAsia="en-US"/>
        </w:rPr>
      </w:pPr>
      <w:r w:rsidRPr="00CE1760">
        <w:rPr>
          <w:rFonts w:eastAsia="Times New Roman"/>
          <w:lang w:val="en-US" w:eastAsia="en-US"/>
        </w:rPr>
        <w:t>For Green primary : x = 0.2864, y = 0.6319</w:t>
      </w:r>
    </w:p>
    <w:p w14:paraId="28A1D7E1" w14:textId="77777777" w:rsidR="00001797" w:rsidRDefault="00001797" w:rsidP="00001797">
      <w:pPr>
        <w:pStyle w:val="ListParagraph"/>
        <w:numPr>
          <w:ilvl w:val="0"/>
          <w:numId w:val="27"/>
        </w:numPr>
        <w:tabs>
          <w:tab w:val="clear" w:pos="792"/>
          <w:tab w:val="clear" w:pos="1195"/>
          <w:tab w:val="clear" w:pos="1584"/>
          <w:tab w:val="clear" w:pos="1987"/>
          <w:tab w:val="clear" w:pos="4853"/>
          <w:tab w:val="clear" w:pos="9691"/>
        </w:tabs>
        <w:spacing w:before="0"/>
        <w:contextualSpacing w:val="0"/>
        <w:rPr>
          <w:rFonts w:eastAsia="Times New Roman"/>
          <w:lang w:val="en-US" w:eastAsia="en-US"/>
        </w:rPr>
      </w:pPr>
      <w:r w:rsidRPr="00CE1760">
        <w:rPr>
          <w:rFonts w:eastAsia="Times New Roman"/>
          <w:lang w:val="en-US" w:eastAsia="en-US"/>
        </w:rPr>
        <w:t>For Blue primary : x = 0.1593, y = 0.0677</w:t>
      </w:r>
    </w:p>
    <w:p w14:paraId="5001D44F" w14:textId="77777777" w:rsidR="00001797" w:rsidRPr="00100A8E" w:rsidRDefault="00001797" w:rsidP="00A93F17">
      <w:pPr>
        <w:rPr>
          <w:lang w:val="en-US"/>
        </w:rPr>
      </w:pPr>
    </w:p>
    <w:sectPr w:rsidR="00001797" w:rsidRPr="00100A8E" w:rsidSect="00A464EA">
      <w:footerReference w:type="default" r:id="rId42"/>
      <w:pgSz w:w="12240" w:h="15840" w:code="1"/>
      <w:pgMar w:top="1094" w:right="1094" w:bottom="1094" w:left="1094" w:header="475" w:footer="47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AFA86" w14:textId="77777777" w:rsidR="00D04BE9" w:rsidRDefault="00D04BE9">
      <w:r>
        <w:separator/>
      </w:r>
    </w:p>
  </w:endnote>
  <w:endnote w:type="continuationSeparator" w:id="0">
    <w:p w14:paraId="67D4BD16" w14:textId="77777777" w:rsidR="00D04BE9" w:rsidRDefault="00D04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w:charset w:val="00"/>
    <w:family w:val="auto"/>
    <w:pitch w:val="variable"/>
    <w:sig w:usb0="A00002FF" w:usb1="7800205A" w:usb2="14600000" w:usb3="00000000" w:csb0="00000193"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Yu Mincho">
    <w:altName w:val="MS Mincho"/>
    <w:charset w:val="80"/>
    <w:family w:val="auto"/>
    <w:pitch w:val="variable"/>
    <w:sig w:usb0="800002E7" w:usb1="2AC7FCFF"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Yu Gothic Light">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9AFA2" w14:textId="29DE3622" w:rsidR="00223381" w:rsidRDefault="00223381" w:rsidP="00D55942">
    <w:pPr>
      <w:pStyle w:val="Footer"/>
      <w:tabs>
        <w:tab w:val="clear" w:pos="8640"/>
        <w:tab w:val="right" w:pos="9360"/>
      </w:tabs>
      <w:rPr>
        <w:rFonts w:ascii="Courier New" w:hAnsi="Courier New"/>
      </w:rPr>
    </w:pPr>
    <w:r>
      <w:rPr>
        <w:rFonts w:ascii="Courier New" w:hAnsi="Courier New"/>
      </w:rPr>
      <w:t xml:space="preserve">Page: </w:t>
    </w:r>
    <w:r>
      <w:rPr>
        <w:rStyle w:val="PageNumber"/>
      </w:rPr>
      <w:fldChar w:fldCharType="begin"/>
    </w:r>
    <w:r>
      <w:rPr>
        <w:rStyle w:val="PageNumber"/>
      </w:rPr>
      <w:instrText xml:space="preserve"> PAGE </w:instrText>
    </w:r>
    <w:r>
      <w:rPr>
        <w:rStyle w:val="PageNumber"/>
      </w:rPr>
      <w:fldChar w:fldCharType="separate"/>
    </w:r>
    <w:r w:rsidR="0032473E">
      <w:rPr>
        <w:rStyle w:val="PageNumber"/>
        <w:noProof/>
      </w:rPr>
      <w:t>1</w:t>
    </w:r>
    <w:r>
      <w:rPr>
        <w:rStyle w:val="PageNumber"/>
      </w:rPr>
      <w:fldChar w:fldCharType="end"/>
    </w:r>
    <w:r>
      <w:rPr>
        <w:rStyle w:val="PageNumber"/>
      </w:rPr>
      <w:tab/>
    </w:r>
    <w:r>
      <w:rPr>
        <w:rStyle w:val="PageNumber"/>
      </w:rPr>
      <w:tab/>
    </w:r>
    <w:r>
      <w:rPr>
        <w:rStyle w:val="PageNumber"/>
      </w:rPr>
      <w:tab/>
    </w:r>
    <w:r>
      <w:rPr>
        <w:rStyle w:val="PageNumber"/>
      </w:rPr>
      <w:tab/>
    </w:r>
    <w:r>
      <w:rPr>
        <w:rStyle w:val="PageNumber"/>
      </w:rPr>
      <w:tab/>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32473E">
      <w:rPr>
        <w:rStyle w:val="PageNumber"/>
        <w:noProof/>
      </w:rPr>
      <w:t>2017-01-03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F731B" w14:textId="77777777" w:rsidR="00D04BE9" w:rsidRDefault="00D04BE9">
      <w:r>
        <w:separator/>
      </w:r>
    </w:p>
  </w:footnote>
  <w:footnote w:type="continuationSeparator" w:id="0">
    <w:p w14:paraId="3E322D21" w14:textId="77777777" w:rsidR="00D04BE9" w:rsidRDefault="00D04B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5B89"/>
    <w:multiLevelType w:val="hybridMultilevel"/>
    <w:tmpl w:val="AABA4BA8"/>
    <w:lvl w:ilvl="0" w:tplc="1E6C9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16A9A"/>
    <w:multiLevelType w:val="hybridMultilevel"/>
    <w:tmpl w:val="43F0AB38"/>
    <w:lvl w:ilvl="0" w:tplc="51A222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C048F"/>
    <w:multiLevelType w:val="hybridMultilevel"/>
    <w:tmpl w:val="3878C540"/>
    <w:lvl w:ilvl="0" w:tplc="CA140B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34077"/>
    <w:multiLevelType w:val="hybridMultilevel"/>
    <w:tmpl w:val="B8CE3E20"/>
    <w:lvl w:ilvl="0" w:tplc="DD9E8610">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97451"/>
    <w:multiLevelType w:val="hybridMultilevel"/>
    <w:tmpl w:val="0CB870BA"/>
    <w:lvl w:ilvl="0" w:tplc="04090001">
      <w:start w:val="1"/>
      <w:numFmt w:val="bullet"/>
      <w:lvlText w:val=""/>
      <w:lvlJc w:val="left"/>
      <w:pPr>
        <w:ind w:left="720" w:hanging="360"/>
      </w:pPr>
      <w:rPr>
        <w:rFonts w:ascii="Symbol" w:hAnsi="Symbol" w:hint="default"/>
      </w:rPr>
    </w:lvl>
    <w:lvl w:ilvl="1" w:tplc="CCE2772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E20F3"/>
    <w:multiLevelType w:val="hybridMultilevel"/>
    <w:tmpl w:val="487AC60E"/>
    <w:lvl w:ilvl="0" w:tplc="E9DC4E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DA4D50"/>
    <w:multiLevelType w:val="hybridMultilevel"/>
    <w:tmpl w:val="7C58C2A6"/>
    <w:lvl w:ilvl="0" w:tplc="ADC266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DF44F0"/>
    <w:multiLevelType w:val="hybridMultilevel"/>
    <w:tmpl w:val="E15ADBDC"/>
    <w:lvl w:ilvl="0" w:tplc="ADC266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A41A73"/>
    <w:multiLevelType w:val="hybridMultilevel"/>
    <w:tmpl w:val="DBEA25FE"/>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593D70"/>
    <w:multiLevelType w:val="hybridMultilevel"/>
    <w:tmpl w:val="43F0AB38"/>
    <w:lvl w:ilvl="0" w:tplc="51A222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B80C58"/>
    <w:multiLevelType w:val="multilevel"/>
    <w:tmpl w:val="E4A8AE18"/>
    <w:lvl w:ilvl="0">
      <w:start w:val="3"/>
      <w:numFmt w:val="decimal"/>
      <w:pStyle w:val="NormalH2"/>
      <w:lvlText w:val="%1"/>
      <w:lvlJc w:val="left"/>
      <w:pPr>
        <w:ind w:left="432" w:hanging="432"/>
      </w:pPr>
      <w:rPr>
        <w:rFonts w:hint="default"/>
      </w:rPr>
    </w:lvl>
    <w:lvl w:ilvl="1">
      <w:start w:val="1"/>
      <w:numFmt w:val="decimal"/>
      <w:pStyle w:val="NormalH2"/>
      <w:lvlText w:val="%1.%2"/>
      <w:lvlJc w:val="left"/>
      <w:pPr>
        <w:ind w:left="576" w:hanging="576"/>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6537FEF"/>
    <w:multiLevelType w:val="hybridMultilevel"/>
    <w:tmpl w:val="37484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7873FA"/>
    <w:multiLevelType w:val="hybridMultilevel"/>
    <w:tmpl w:val="F8DC90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D6981"/>
    <w:multiLevelType w:val="multilevel"/>
    <w:tmpl w:val="040C0023"/>
    <w:styleLink w:val="ArticleSection"/>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F743DE8"/>
    <w:multiLevelType w:val="hybridMultilevel"/>
    <w:tmpl w:val="62585370"/>
    <w:lvl w:ilvl="0" w:tplc="03089C72">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CB71B8"/>
    <w:multiLevelType w:val="hybridMultilevel"/>
    <w:tmpl w:val="487AC60E"/>
    <w:lvl w:ilvl="0" w:tplc="E9DC4E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D540AB"/>
    <w:multiLevelType w:val="hybridMultilevel"/>
    <w:tmpl w:val="487AC60E"/>
    <w:lvl w:ilvl="0" w:tplc="E9DC4E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4182F"/>
    <w:multiLevelType w:val="hybridMultilevel"/>
    <w:tmpl w:val="DA3026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876421"/>
    <w:multiLevelType w:val="multilevel"/>
    <w:tmpl w:val="7A08F06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15:restartNumberingAfterBreak="0">
    <w:nsid w:val="4E2B7F86"/>
    <w:multiLevelType w:val="hybridMultilevel"/>
    <w:tmpl w:val="CFFEB8A2"/>
    <w:lvl w:ilvl="0" w:tplc="0FB292A0">
      <w:start w:val="1"/>
      <w:numFmt w:val="decimal"/>
      <w:pStyle w:val="Title"/>
      <w:lvlText w:val="Step %1."/>
      <w:lvlJc w:val="left"/>
      <w:pPr>
        <w:tabs>
          <w:tab w:val="num" w:pos="936"/>
        </w:tabs>
        <w:ind w:left="936" w:hanging="936"/>
      </w:pPr>
      <w:rPr>
        <w:rFonts w:ascii="Times New Roman" w:hAnsi="Times New Roman" w:hint="default"/>
        <w:b/>
        <w:i w:val="0"/>
        <w:caps w:val="0"/>
        <w:strike w:val="0"/>
        <w:dstrike w:val="0"/>
        <w:vanish w:val="0"/>
        <w:color w:val="000000"/>
        <w:sz w:val="24"/>
        <w:effect w:val="none"/>
        <w:vertAlign w:val="baseline"/>
      </w:rPr>
    </w:lvl>
    <w:lvl w:ilvl="1" w:tplc="71EA82A4" w:tentative="1">
      <w:start w:val="1"/>
      <w:numFmt w:val="lowerLetter"/>
      <w:lvlText w:val="%2."/>
      <w:lvlJc w:val="left"/>
      <w:pPr>
        <w:tabs>
          <w:tab w:val="num" w:pos="1440"/>
        </w:tabs>
        <w:ind w:left="1440" w:hanging="360"/>
      </w:pPr>
    </w:lvl>
    <w:lvl w:ilvl="2" w:tplc="53F44FDA" w:tentative="1">
      <w:start w:val="1"/>
      <w:numFmt w:val="lowerRoman"/>
      <w:lvlText w:val="%3."/>
      <w:lvlJc w:val="right"/>
      <w:pPr>
        <w:tabs>
          <w:tab w:val="num" w:pos="2160"/>
        </w:tabs>
        <w:ind w:left="2160" w:hanging="180"/>
      </w:pPr>
    </w:lvl>
    <w:lvl w:ilvl="3" w:tplc="DB8E6990" w:tentative="1">
      <w:start w:val="1"/>
      <w:numFmt w:val="decimal"/>
      <w:lvlText w:val="%4."/>
      <w:lvlJc w:val="left"/>
      <w:pPr>
        <w:tabs>
          <w:tab w:val="num" w:pos="2880"/>
        </w:tabs>
        <w:ind w:left="2880" w:hanging="360"/>
      </w:pPr>
    </w:lvl>
    <w:lvl w:ilvl="4" w:tplc="1D140784" w:tentative="1">
      <w:start w:val="1"/>
      <w:numFmt w:val="lowerLetter"/>
      <w:lvlText w:val="%5."/>
      <w:lvlJc w:val="left"/>
      <w:pPr>
        <w:tabs>
          <w:tab w:val="num" w:pos="3600"/>
        </w:tabs>
        <w:ind w:left="3600" w:hanging="360"/>
      </w:pPr>
    </w:lvl>
    <w:lvl w:ilvl="5" w:tplc="D7A8EF52" w:tentative="1">
      <w:start w:val="1"/>
      <w:numFmt w:val="lowerRoman"/>
      <w:lvlText w:val="%6."/>
      <w:lvlJc w:val="right"/>
      <w:pPr>
        <w:tabs>
          <w:tab w:val="num" w:pos="4320"/>
        </w:tabs>
        <w:ind w:left="4320" w:hanging="180"/>
      </w:pPr>
    </w:lvl>
    <w:lvl w:ilvl="6" w:tplc="A590276C" w:tentative="1">
      <w:start w:val="1"/>
      <w:numFmt w:val="decimal"/>
      <w:lvlText w:val="%7."/>
      <w:lvlJc w:val="left"/>
      <w:pPr>
        <w:tabs>
          <w:tab w:val="num" w:pos="5040"/>
        </w:tabs>
        <w:ind w:left="5040" w:hanging="360"/>
      </w:pPr>
    </w:lvl>
    <w:lvl w:ilvl="7" w:tplc="C61CA45C" w:tentative="1">
      <w:start w:val="1"/>
      <w:numFmt w:val="lowerLetter"/>
      <w:lvlText w:val="%8."/>
      <w:lvlJc w:val="left"/>
      <w:pPr>
        <w:tabs>
          <w:tab w:val="num" w:pos="5760"/>
        </w:tabs>
        <w:ind w:left="5760" w:hanging="360"/>
      </w:pPr>
    </w:lvl>
    <w:lvl w:ilvl="8" w:tplc="DCD2DEB8" w:tentative="1">
      <w:start w:val="1"/>
      <w:numFmt w:val="lowerRoman"/>
      <w:lvlText w:val="%9."/>
      <w:lvlJc w:val="right"/>
      <w:pPr>
        <w:tabs>
          <w:tab w:val="num" w:pos="6480"/>
        </w:tabs>
        <w:ind w:left="6480" w:hanging="180"/>
      </w:pPr>
    </w:lvl>
  </w:abstractNum>
  <w:abstractNum w:abstractNumId="21" w15:restartNumberingAfterBreak="0">
    <w:nsid w:val="561524A6"/>
    <w:multiLevelType w:val="hybridMultilevel"/>
    <w:tmpl w:val="70804C1A"/>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127B90"/>
    <w:multiLevelType w:val="hybridMultilevel"/>
    <w:tmpl w:val="A8147556"/>
    <w:lvl w:ilvl="0" w:tplc="647A197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944576"/>
    <w:multiLevelType w:val="hybridMultilevel"/>
    <w:tmpl w:val="E0D4B4D2"/>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716702"/>
    <w:multiLevelType w:val="hybridMultilevel"/>
    <w:tmpl w:val="487AC60E"/>
    <w:lvl w:ilvl="0" w:tplc="E9DC4E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20"/>
  </w:num>
  <w:num w:numId="4">
    <w:abstractNumId w:val="17"/>
  </w:num>
  <w:num w:numId="5">
    <w:abstractNumId w:val="12"/>
  </w:num>
  <w:num w:numId="6">
    <w:abstractNumId w:val="19"/>
  </w:num>
  <w:num w:numId="7">
    <w:abstractNumId w:val="0"/>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4"/>
    </w:lvlOverride>
    <w:lvlOverride w:ilvl="1">
      <w:startOverride w:val="2"/>
    </w:lvlOverride>
  </w:num>
  <w:num w:numId="10">
    <w:abstractNumId w:val="22"/>
  </w:num>
  <w:num w:numId="11">
    <w:abstractNumId w:val="2"/>
  </w:num>
  <w:num w:numId="12">
    <w:abstractNumId w:val="16"/>
  </w:num>
  <w:num w:numId="13">
    <w:abstractNumId w:val="5"/>
  </w:num>
  <w:num w:numId="14">
    <w:abstractNumId w:val="24"/>
  </w:num>
  <w:num w:numId="15">
    <w:abstractNumId w:val="9"/>
  </w:num>
  <w:num w:numId="16">
    <w:abstractNumId w:val="15"/>
  </w:num>
  <w:num w:numId="17">
    <w:abstractNumId w:val="1"/>
  </w:num>
  <w:num w:numId="18">
    <w:abstractNumId w:val="7"/>
  </w:num>
  <w:num w:numId="19">
    <w:abstractNumId w:val="6"/>
  </w:num>
  <w:num w:numId="20">
    <w:abstractNumId w:val="4"/>
  </w:num>
  <w:num w:numId="21">
    <w:abstractNumId w:val="23"/>
  </w:num>
  <w:num w:numId="22">
    <w:abstractNumId w:val="8"/>
  </w:num>
  <w:num w:numId="23">
    <w:abstractNumId w:val="21"/>
  </w:num>
  <w:num w:numId="24">
    <w:abstractNumId w:val="11"/>
  </w:num>
  <w:num w:numId="25">
    <w:abstractNumId w:val="18"/>
  </w:num>
  <w:num w:numId="26">
    <w:abstractNumId w:val="14"/>
  </w:num>
  <w:num w:numId="27">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activeWritingStyle w:appName="MSWord" w:lang="en-CA" w:vendorID="64" w:dllVersion="0" w:nlCheck="1" w:checkStyle="0"/>
  <w:activeWritingStyle w:appName="MSWord" w:lang="fr-FR" w:vendorID="64" w:dllVersion="0" w:nlCheck="1" w:checkStyle="0"/>
  <w:activeWritingStyle w:appName="MSWord" w:lang="en-US" w:vendorID="64" w:dllVersion="0" w:nlCheck="1" w:checkStyle="0"/>
  <w:activeWritingStyle w:appName="MSWord" w:lang="ja-JP" w:vendorID="64" w:dllVersion="0" w:nlCheck="1" w:checkStyle="1"/>
  <w:activeWritingStyle w:appName="MSWord" w:lang="en-GB" w:vendorID="64" w:dllVersion="0" w:nlCheck="1" w:checkStyle="0"/>
  <w:defaultTabStop w:val="403"/>
  <w:hyphenationZone w:val="425"/>
  <w:drawingGridHorizontalSpacing w:val="100"/>
  <w:drawingGridVerticalSpacing w:val="136"/>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797"/>
    <w:rsid w:val="00001844"/>
    <w:rsid w:val="000026BB"/>
    <w:rsid w:val="00002B5D"/>
    <w:rsid w:val="00002F5C"/>
    <w:rsid w:val="00007A8C"/>
    <w:rsid w:val="00011C4D"/>
    <w:rsid w:val="000150D0"/>
    <w:rsid w:val="000154B6"/>
    <w:rsid w:val="00015B32"/>
    <w:rsid w:val="00016C3B"/>
    <w:rsid w:val="00016DE4"/>
    <w:rsid w:val="00020868"/>
    <w:rsid w:val="00022C58"/>
    <w:rsid w:val="00027247"/>
    <w:rsid w:val="000308A3"/>
    <w:rsid w:val="00030C59"/>
    <w:rsid w:val="000314DD"/>
    <w:rsid w:val="000317BC"/>
    <w:rsid w:val="00031A75"/>
    <w:rsid w:val="00032C5B"/>
    <w:rsid w:val="000335C3"/>
    <w:rsid w:val="00034FA1"/>
    <w:rsid w:val="00035D47"/>
    <w:rsid w:val="00036003"/>
    <w:rsid w:val="000364A6"/>
    <w:rsid w:val="00036742"/>
    <w:rsid w:val="00037E88"/>
    <w:rsid w:val="00037F0C"/>
    <w:rsid w:val="000418E9"/>
    <w:rsid w:val="00041A9D"/>
    <w:rsid w:val="0004282C"/>
    <w:rsid w:val="00043C34"/>
    <w:rsid w:val="00044291"/>
    <w:rsid w:val="00044AE4"/>
    <w:rsid w:val="00044E6D"/>
    <w:rsid w:val="000458BC"/>
    <w:rsid w:val="00045C41"/>
    <w:rsid w:val="00046C03"/>
    <w:rsid w:val="00047DB1"/>
    <w:rsid w:val="00050079"/>
    <w:rsid w:val="00050C73"/>
    <w:rsid w:val="00052394"/>
    <w:rsid w:val="00054B1D"/>
    <w:rsid w:val="0005724A"/>
    <w:rsid w:val="0005788F"/>
    <w:rsid w:val="00060895"/>
    <w:rsid w:val="00061A51"/>
    <w:rsid w:val="00061AD4"/>
    <w:rsid w:val="00062EC6"/>
    <w:rsid w:val="00062F8E"/>
    <w:rsid w:val="00062FF4"/>
    <w:rsid w:val="00065039"/>
    <w:rsid w:val="00067002"/>
    <w:rsid w:val="00067137"/>
    <w:rsid w:val="000677A4"/>
    <w:rsid w:val="000708C0"/>
    <w:rsid w:val="00070CFB"/>
    <w:rsid w:val="00072A4D"/>
    <w:rsid w:val="00075696"/>
    <w:rsid w:val="0007614F"/>
    <w:rsid w:val="00076BD5"/>
    <w:rsid w:val="00077619"/>
    <w:rsid w:val="000824D3"/>
    <w:rsid w:val="00082FEC"/>
    <w:rsid w:val="00084747"/>
    <w:rsid w:val="00084D4F"/>
    <w:rsid w:val="000908FE"/>
    <w:rsid w:val="00090DFD"/>
    <w:rsid w:val="000946F5"/>
    <w:rsid w:val="00094E77"/>
    <w:rsid w:val="00096C5F"/>
    <w:rsid w:val="0009734D"/>
    <w:rsid w:val="000974DB"/>
    <w:rsid w:val="00097EB2"/>
    <w:rsid w:val="000A2DFA"/>
    <w:rsid w:val="000A342D"/>
    <w:rsid w:val="000A372D"/>
    <w:rsid w:val="000A3F7A"/>
    <w:rsid w:val="000A4582"/>
    <w:rsid w:val="000A523A"/>
    <w:rsid w:val="000A53B7"/>
    <w:rsid w:val="000A55CC"/>
    <w:rsid w:val="000A6C98"/>
    <w:rsid w:val="000A77F0"/>
    <w:rsid w:val="000A7A2B"/>
    <w:rsid w:val="000A7A8C"/>
    <w:rsid w:val="000A7C95"/>
    <w:rsid w:val="000A7E1F"/>
    <w:rsid w:val="000B0C0F"/>
    <w:rsid w:val="000B1451"/>
    <w:rsid w:val="000B1A05"/>
    <w:rsid w:val="000B1C6B"/>
    <w:rsid w:val="000B1EDD"/>
    <w:rsid w:val="000B224A"/>
    <w:rsid w:val="000B2DE8"/>
    <w:rsid w:val="000B3BE0"/>
    <w:rsid w:val="000B3EDC"/>
    <w:rsid w:val="000B4447"/>
    <w:rsid w:val="000B44BA"/>
    <w:rsid w:val="000B49A0"/>
    <w:rsid w:val="000B4FF9"/>
    <w:rsid w:val="000B6F6A"/>
    <w:rsid w:val="000C09AC"/>
    <w:rsid w:val="000C1A9D"/>
    <w:rsid w:val="000C1B16"/>
    <w:rsid w:val="000C2BBA"/>
    <w:rsid w:val="000C3422"/>
    <w:rsid w:val="000C3449"/>
    <w:rsid w:val="000C4DFB"/>
    <w:rsid w:val="000D0E6C"/>
    <w:rsid w:val="000D1394"/>
    <w:rsid w:val="000D2BBA"/>
    <w:rsid w:val="000D422F"/>
    <w:rsid w:val="000D4761"/>
    <w:rsid w:val="000D4C74"/>
    <w:rsid w:val="000D649E"/>
    <w:rsid w:val="000D6C4C"/>
    <w:rsid w:val="000D7B23"/>
    <w:rsid w:val="000E00F3"/>
    <w:rsid w:val="000E02C9"/>
    <w:rsid w:val="000E0EA7"/>
    <w:rsid w:val="000E3AD6"/>
    <w:rsid w:val="000E425B"/>
    <w:rsid w:val="000E44B5"/>
    <w:rsid w:val="000E48B1"/>
    <w:rsid w:val="000E5119"/>
    <w:rsid w:val="000E591F"/>
    <w:rsid w:val="000E5BD1"/>
    <w:rsid w:val="000E72CE"/>
    <w:rsid w:val="000E7AC0"/>
    <w:rsid w:val="000E7DA1"/>
    <w:rsid w:val="000F011F"/>
    <w:rsid w:val="000F158C"/>
    <w:rsid w:val="000F5F8B"/>
    <w:rsid w:val="000F6AFA"/>
    <w:rsid w:val="000F74D0"/>
    <w:rsid w:val="00100197"/>
    <w:rsid w:val="00100A8E"/>
    <w:rsid w:val="0010254F"/>
    <w:rsid w:val="00102F3D"/>
    <w:rsid w:val="0010395A"/>
    <w:rsid w:val="00103B7D"/>
    <w:rsid w:val="00104078"/>
    <w:rsid w:val="00104089"/>
    <w:rsid w:val="00104700"/>
    <w:rsid w:val="00105720"/>
    <w:rsid w:val="001073C1"/>
    <w:rsid w:val="00107DD1"/>
    <w:rsid w:val="00112007"/>
    <w:rsid w:val="0011291A"/>
    <w:rsid w:val="00112BB3"/>
    <w:rsid w:val="00113632"/>
    <w:rsid w:val="0011518F"/>
    <w:rsid w:val="00115647"/>
    <w:rsid w:val="0011698F"/>
    <w:rsid w:val="00117BAA"/>
    <w:rsid w:val="00120ADE"/>
    <w:rsid w:val="00120DA4"/>
    <w:rsid w:val="00121B11"/>
    <w:rsid w:val="0012205C"/>
    <w:rsid w:val="0012387D"/>
    <w:rsid w:val="00123B31"/>
    <w:rsid w:val="00123D62"/>
    <w:rsid w:val="001245D6"/>
    <w:rsid w:val="00124E38"/>
    <w:rsid w:val="00124FB6"/>
    <w:rsid w:val="0012580B"/>
    <w:rsid w:val="00125FC9"/>
    <w:rsid w:val="001268C6"/>
    <w:rsid w:val="00126FA8"/>
    <w:rsid w:val="0012739A"/>
    <w:rsid w:val="00127BBE"/>
    <w:rsid w:val="00131F90"/>
    <w:rsid w:val="00132BA5"/>
    <w:rsid w:val="00134796"/>
    <w:rsid w:val="0013518A"/>
    <w:rsid w:val="0013526E"/>
    <w:rsid w:val="00141B77"/>
    <w:rsid w:val="00143142"/>
    <w:rsid w:val="00143641"/>
    <w:rsid w:val="00143CAB"/>
    <w:rsid w:val="0014480A"/>
    <w:rsid w:val="00144A41"/>
    <w:rsid w:val="001455FB"/>
    <w:rsid w:val="00145F3B"/>
    <w:rsid w:val="00146152"/>
    <w:rsid w:val="00146790"/>
    <w:rsid w:val="001473B9"/>
    <w:rsid w:val="00147559"/>
    <w:rsid w:val="0014788C"/>
    <w:rsid w:val="00147AD7"/>
    <w:rsid w:val="00151404"/>
    <w:rsid w:val="001515AA"/>
    <w:rsid w:val="001532DC"/>
    <w:rsid w:val="00153363"/>
    <w:rsid w:val="00153DFE"/>
    <w:rsid w:val="0015440F"/>
    <w:rsid w:val="00154C6C"/>
    <w:rsid w:val="00154E00"/>
    <w:rsid w:val="00156FAA"/>
    <w:rsid w:val="0015762D"/>
    <w:rsid w:val="0016092A"/>
    <w:rsid w:val="00163C10"/>
    <w:rsid w:val="00164B86"/>
    <w:rsid w:val="001669CF"/>
    <w:rsid w:val="00166CFE"/>
    <w:rsid w:val="00166E51"/>
    <w:rsid w:val="001678C2"/>
    <w:rsid w:val="00171371"/>
    <w:rsid w:val="00172942"/>
    <w:rsid w:val="00172C99"/>
    <w:rsid w:val="00175A24"/>
    <w:rsid w:val="00177DD9"/>
    <w:rsid w:val="0018098C"/>
    <w:rsid w:val="00180F99"/>
    <w:rsid w:val="0018269D"/>
    <w:rsid w:val="00182855"/>
    <w:rsid w:val="00182A67"/>
    <w:rsid w:val="00182C35"/>
    <w:rsid w:val="00182E29"/>
    <w:rsid w:val="001836ED"/>
    <w:rsid w:val="00183D04"/>
    <w:rsid w:val="00184C97"/>
    <w:rsid w:val="00187525"/>
    <w:rsid w:val="00187E58"/>
    <w:rsid w:val="00190D8F"/>
    <w:rsid w:val="00191163"/>
    <w:rsid w:val="0019140B"/>
    <w:rsid w:val="00193018"/>
    <w:rsid w:val="0019315C"/>
    <w:rsid w:val="00193D95"/>
    <w:rsid w:val="001947CE"/>
    <w:rsid w:val="00194E5C"/>
    <w:rsid w:val="00196AB3"/>
    <w:rsid w:val="001976DA"/>
    <w:rsid w:val="001A09C6"/>
    <w:rsid w:val="001A1864"/>
    <w:rsid w:val="001A297E"/>
    <w:rsid w:val="001A29D6"/>
    <w:rsid w:val="001A368E"/>
    <w:rsid w:val="001A567E"/>
    <w:rsid w:val="001A5B18"/>
    <w:rsid w:val="001A7329"/>
    <w:rsid w:val="001A792F"/>
    <w:rsid w:val="001B07E2"/>
    <w:rsid w:val="001B1DB2"/>
    <w:rsid w:val="001B21BD"/>
    <w:rsid w:val="001B2494"/>
    <w:rsid w:val="001B2723"/>
    <w:rsid w:val="001B3EA4"/>
    <w:rsid w:val="001B42D1"/>
    <w:rsid w:val="001B43A9"/>
    <w:rsid w:val="001B494D"/>
    <w:rsid w:val="001B4E28"/>
    <w:rsid w:val="001B5855"/>
    <w:rsid w:val="001B6D0B"/>
    <w:rsid w:val="001B7873"/>
    <w:rsid w:val="001C284D"/>
    <w:rsid w:val="001C3078"/>
    <w:rsid w:val="001C3525"/>
    <w:rsid w:val="001C3AFB"/>
    <w:rsid w:val="001C51FF"/>
    <w:rsid w:val="001C5375"/>
    <w:rsid w:val="001C57F6"/>
    <w:rsid w:val="001C7231"/>
    <w:rsid w:val="001D0BE7"/>
    <w:rsid w:val="001D1A82"/>
    <w:rsid w:val="001D1BD2"/>
    <w:rsid w:val="001D1CC0"/>
    <w:rsid w:val="001D1F08"/>
    <w:rsid w:val="001D25DE"/>
    <w:rsid w:val="001D43ED"/>
    <w:rsid w:val="001E02BE"/>
    <w:rsid w:val="001E13BA"/>
    <w:rsid w:val="001E13F2"/>
    <w:rsid w:val="001E198D"/>
    <w:rsid w:val="001E3835"/>
    <w:rsid w:val="001E3B37"/>
    <w:rsid w:val="001E5877"/>
    <w:rsid w:val="001E5CF3"/>
    <w:rsid w:val="001E5D97"/>
    <w:rsid w:val="001E6B6C"/>
    <w:rsid w:val="001E760A"/>
    <w:rsid w:val="001F2594"/>
    <w:rsid w:val="001F2EF7"/>
    <w:rsid w:val="001F3612"/>
    <w:rsid w:val="001F3CC1"/>
    <w:rsid w:val="001F4A26"/>
    <w:rsid w:val="001F5474"/>
    <w:rsid w:val="001F6E59"/>
    <w:rsid w:val="001F7C2C"/>
    <w:rsid w:val="0020379E"/>
    <w:rsid w:val="002044B5"/>
    <w:rsid w:val="00204D0A"/>
    <w:rsid w:val="002055A6"/>
    <w:rsid w:val="00205C2F"/>
    <w:rsid w:val="00206071"/>
    <w:rsid w:val="00206460"/>
    <w:rsid w:val="002069B4"/>
    <w:rsid w:val="0020788D"/>
    <w:rsid w:val="00207F19"/>
    <w:rsid w:val="00210562"/>
    <w:rsid w:val="002109A0"/>
    <w:rsid w:val="00213716"/>
    <w:rsid w:val="00215B37"/>
    <w:rsid w:val="00215DFC"/>
    <w:rsid w:val="0021641D"/>
    <w:rsid w:val="0022102E"/>
    <w:rsid w:val="00221077"/>
    <w:rsid w:val="002212DF"/>
    <w:rsid w:val="002229EC"/>
    <w:rsid w:val="00222CD4"/>
    <w:rsid w:val="00222EB7"/>
    <w:rsid w:val="00223381"/>
    <w:rsid w:val="00223C47"/>
    <w:rsid w:val="002249FF"/>
    <w:rsid w:val="00225016"/>
    <w:rsid w:val="002264A6"/>
    <w:rsid w:val="00227BA7"/>
    <w:rsid w:val="002300DB"/>
    <w:rsid w:val="0023011C"/>
    <w:rsid w:val="002303AB"/>
    <w:rsid w:val="00234141"/>
    <w:rsid w:val="0023491F"/>
    <w:rsid w:val="002364E6"/>
    <w:rsid w:val="002375C1"/>
    <w:rsid w:val="0024023C"/>
    <w:rsid w:val="0024089B"/>
    <w:rsid w:val="002409EF"/>
    <w:rsid w:val="0024158E"/>
    <w:rsid w:val="00241922"/>
    <w:rsid w:val="0024339B"/>
    <w:rsid w:val="00245374"/>
    <w:rsid w:val="00245515"/>
    <w:rsid w:val="00250513"/>
    <w:rsid w:val="00250BC9"/>
    <w:rsid w:val="00250D23"/>
    <w:rsid w:val="002548AB"/>
    <w:rsid w:val="00257350"/>
    <w:rsid w:val="00257A6E"/>
    <w:rsid w:val="002605FA"/>
    <w:rsid w:val="00262AA5"/>
    <w:rsid w:val="00263398"/>
    <w:rsid w:val="00264A0F"/>
    <w:rsid w:val="00264BD4"/>
    <w:rsid w:val="00265B78"/>
    <w:rsid w:val="00265D3F"/>
    <w:rsid w:val="00266F06"/>
    <w:rsid w:val="00267C54"/>
    <w:rsid w:val="00272972"/>
    <w:rsid w:val="00275BCF"/>
    <w:rsid w:val="00275BDD"/>
    <w:rsid w:val="00276034"/>
    <w:rsid w:val="00276A8A"/>
    <w:rsid w:val="00277102"/>
    <w:rsid w:val="00280B37"/>
    <w:rsid w:val="002819CE"/>
    <w:rsid w:val="00282323"/>
    <w:rsid w:val="00282369"/>
    <w:rsid w:val="00282A70"/>
    <w:rsid w:val="0028399C"/>
    <w:rsid w:val="00283B9D"/>
    <w:rsid w:val="00284D4B"/>
    <w:rsid w:val="00285002"/>
    <w:rsid w:val="00285B22"/>
    <w:rsid w:val="00287E54"/>
    <w:rsid w:val="00291E36"/>
    <w:rsid w:val="00292257"/>
    <w:rsid w:val="0029352B"/>
    <w:rsid w:val="00294AE7"/>
    <w:rsid w:val="00295C84"/>
    <w:rsid w:val="00295E1D"/>
    <w:rsid w:val="002968B3"/>
    <w:rsid w:val="00296DF2"/>
    <w:rsid w:val="00297BDA"/>
    <w:rsid w:val="002A15D6"/>
    <w:rsid w:val="002A1F12"/>
    <w:rsid w:val="002A2897"/>
    <w:rsid w:val="002A2F2A"/>
    <w:rsid w:val="002A54E0"/>
    <w:rsid w:val="002A68E7"/>
    <w:rsid w:val="002A6CD0"/>
    <w:rsid w:val="002A73C9"/>
    <w:rsid w:val="002A7852"/>
    <w:rsid w:val="002B0346"/>
    <w:rsid w:val="002B1595"/>
    <w:rsid w:val="002B191D"/>
    <w:rsid w:val="002B1BE7"/>
    <w:rsid w:val="002B23CC"/>
    <w:rsid w:val="002B2A4C"/>
    <w:rsid w:val="002B2BA3"/>
    <w:rsid w:val="002B475F"/>
    <w:rsid w:val="002B580F"/>
    <w:rsid w:val="002B5917"/>
    <w:rsid w:val="002B6B4C"/>
    <w:rsid w:val="002B6D90"/>
    <w:rsid w:val="002C40DA"/>
    <w:rsid w:val="002C5CA2"/>
    <w:rsid w:val="002C6158"/>
    <w:rsid w:val="002D0AF6"/>
    <w:rsid w:val="002D1FB9"/>
    <w:rsid w:val="002D3CBD"/>
    <w:rsid w:val="002D483C"/>
    <w:rsid w:val="002D7DE0"/>
    <w:rsid w:val="002E01BC"/>
    <w:rsid w:val="002E53D6"/>
    <w:rsid w:val="002E5785"/>
    <w:rsid w:val="002E617B"/>
    <w:rsid w:val="002E6541"/>
    <w:rsid w:val="002E6C80"/>
    <w:rsid w:val="002F164D"/>
    <w:rsid w:val="002F29A5"/>
    <w:rsid w:val="002F3BEF"/>
    <w:rsid w:val="002F3C71"/>
    <w:rsid w:val="002F46F8"/>
    <w:rsid w:val="002F754F"/>
    <w:rsid w:val="003005C1"/>
    <w:rsid w:val="00300CCD"/>
    <w:rsid w:val="00301504"/>
    <w:rsid w:val="0030321C"/>
    <w:rsid w:val="00303990"/>
    <w:rsid w:val="00303CCE"/>
    <w:rsid w:val="00305A21"/>
    <w:rsid w:val="00306206"/>
    <w:rsid w:val="00306A6B"/>
    <w:rsid w:val="0030701E"/>
    <w:rsid w:val="00307780"/>
    <w:rsid w:val="00307B95"/>
    <w:rsid w:val="00310773"/>
    <w:rsid w:val="00311CBB"/>
    <w:rsid w:val="00311CD6"/>
    <w:rsid w:val="00311EEA"/>
    <w:rsid w:val="00313883"/>
    <w:rsid w:val="00314A32"/>
    <w:rsid w:val="00317B07"/>
    <w:rsid w:val="00317C91"/>
    <w:rsid w:val="00317D85"/>
    <w:rsid w:val="00317F24"/>
    <w:rsid w:val="00321C25"/>
    <w:rsid w:val="0032211D"/>
    <w:rsid w:val="0032473E"/>
    <w:rsid w:val="00326445"/>
    <w:rsid w:val="003274A7"/>
    <w:rsid w:val="00327C56"/>
    <w:rsid w:val="0033120B"/>
    <w:rsid w:val="003313CF"/>
    <w:rsid w:val="003315A1"/>
    <w:rsid w:val="003320B1"/>
    <w:rsid w:val="00332E46"/>
    <w:rsid w:val="00335C1A"/>
    <w:rsid w:val="00336A43"/>
    <w:rsid w:val="003373EC"/>
    <w:rsid w:val="00342719"/>
    <w:rsid w:val="00342FF4"/>
    <w:rsid w:val="0034468B"/>
    <w:rsid w:val="00346148"/>
    <w:rsid w:val="00347288"/>
    <w:rsid w:val="003500FC"/>
    <w:rsid w:val="003528BE"/>
    <w:rsid w:val="003614A0"/>
    <w:rsid w:val="003625A3"/>
    <w:rsid w:val="003625D7"/>
    <w:rsid w:val="003648AC"/>
    <w:rsid w:val="00364B21"/>
    <w:rsid w:val="00364E0C"/>
    <w:rsid w:val="00366465"/>
    <w:rsid w:val="003669EA"/>
    <w:rsid w:val="00367376"/>
    <w:rsid w:val="00367C4F"/>
    <w:rsid w:val="003706CC"/>
    <w:rsid w:val="003708E8"/>
    <w:rsid w:val="00370CDD"/>
    <w:rsid w:val="0037189D"/>
    <w:rsid w:val="00375A9C"/>
    <w:rsid w:val="00376D0A"/>
    <w:rsid w:val="00377710"/>
    <w:rsid w:val="0037771F"/>
    <w:rsid w:val="00377C0A"/>
    <w:rsid w:val="003800D7"/>
    <w:rsid w:val="00380CB4"/>
    <w:rsid w:val="00381551"/>
    <w:rsid w:val="0038289C"/>
    <w:rsid w:val="00382FF0"/>
    <w:rsid w:val="00383738"/>
    <w:rsid w:val="00384AE2"/>
    <w:rsid w:val="00384B61"/>
    <w:rsid w:val="00386846"/>
    <w:rsid w:val="00386A3E"/>
    <w:rsid w:val="00386F45"/>
    <w:rsid w:val="00390557"/>
    <w:rsid w:val="00390650"/>
    <w:rsid w:val="00390A59"/>
    <w:rsid w:val="003913C1"/>
    <w:rsid w:val="00393045"/>
    <w:rsid w:val="00393701"/>
    <w:rsid w:val="003951B6"/>
    <w:rsid w:val="00395907"/>
    <w:rsid w:val="00396C01"/>
    <w:rsid w:val="003A0BAD"/>
    <w:rsid w:val="003A1253"/>
    <w:rsid w:val="003A22E3"/>
    <w:rsid w:val="003A28FC"/>
    <w:rsid w:val="003A2D8E"/>
    <w:rsid w:val="003A3896"/>
    <w:rsid w:val="003A408A"/>
    <w:rsid w:val="003A51EF"/>
    <w:rsid w:val="003A6139"/>
    <w:rsid w:val="003A6E7B"/>
    <w:rsid w:val="003A7CE6"/>
    <w:rsid w:val="003B1A4B"/>
    <w:rsid w:val="003B27EB"/>
    <w:rsid w:val="003B4751"/>
    <w:rsid w:val="003B4B9C"/>
    <w:rsid w:val="003B55FA"/>
    <w:rsid w:val="003B570D"/>
    <w:rsid w:val="003B6636"/>
    <w:rsid w:val="003B6A36"/>
    <w:rsid w:val="003B70D3"/>
    <w:rsid w:val="003B7D62"/>
    <w:rsid w:val="003C1615"/>
    <w:rsid w:val="003C20E4"/>
    <w:rsid w:val="003C2C67"/>
    <w:rsid w:val="003C3452"/>
    <w:rsid w:val="003C3C23"/>
    <w:rsid w:val="003C618E"/>
    <w:rsid w:val="003C6B39"/>
    <w:rsid w:val="003C71DD"/>
    <w:rsid w:val="003D08AA"/>
    <w:rsid w:val="003D181B"/>
    <w:rsid w:val="003D299A"/>
    <w:rsid w:val="003D2D7E"/>
    <w:rsid w:val="003D4034"/>
    <w:rsid w:val="003D481F"/>
    <w:rsid w:val="003D4906"/>
    <w:rsid w:val="003D6342"/>
    <w:rsid w:val="003D6D56"/>
    <w:rsid w:val="003D701E"/>
    <w:rsid w:val="003D7681"/>
    <w:rsid w:val="003D7744"/>
    <w:rsid w:val="003E28FE"/>
    <w:rsid w:val="003E2CAD"/>
    <w:rsid w:val="003E59B7"/>
    <w:rsid w:val="003E5D35"/>
    <w:rsid w:val="003E6F90"/>
    <w:rsid w:val="003E78E0"/>
    <w:rsid w:val="003F0996"/>
    <w:rsid w:val="003F49F1"/>
    <w:rsid w:val="003F4F32"/>
    <w:rsid w:val="003F5199"/>
    <w:rsid w:val="003F5BD3"/>
    <w:rsid w:val="003F5D0F"/>
    <w:rsid w:val="0040189B"/>
    <w:rsid w:val="00403E4C"/>
    <w:rsid w:val="004048F4"/>
    <w:rsid w:val="00406052"/>
    <w:rsid w:val="0040666A"/>
    <w:rsid w:val="00406BE5"/>
    <w:rsid w:val="00410C66"/>
    <w:rsid w:val="00411632"/>
    <w:rsid w:val="00412AC2"/>
    <w:rsid w:val="00412BE8"/>
    <w:rsid w:val="00414101"/>
    <w:rsid w:val="004156E3"/>
    <w:rsid w:val="00415B13"/>
    <w:rsid w:val="00421E17"/>
    <w:rsid w:val="004234F0"/>
    <w:rsid w:val="00425E80"/>
    <w:rsid w:val="004279AF"/>
    <w:rsid w:val="00431102"/>
    <w:rsid w:val="004324F5"/>
    <w:rsid w:val="00432F3E"/>
    <w:rsid w:val="0043383B"/>
    <w:rsid w:val="00433B35"/>
    <w:rsid w:val="00433DC9"/>
    <w:rsid w:val="00433DDB"/>
    <w:rsid w:val="00433F66"/>
    <w:rsid w:val="004346E6"/>
    <w:rsid w:val="004360E4"/>
    <w:rsid w:val="00436230"/>
    <w:rsid w:val="00436BCF"/>
    <w:rsid w:val="00437619"/>
    <w:rsid w:val="00441E4A"/>
    <w:rsid w:val="004433B6"/>
    <w:rsid w:val="00443855"/>
    <w:rsid w:val="00443DD0"/>
    <w:rsid w:val="00447263"/>
    <w:rsid w:val="004479B3"/>
    <w:rsid w:val="004504A2"/>
    <w:rsid w:val="00450D93"/>
    <w:rsid w:val="00452005"/>
    <w:rsid w:val="00452AA0"/>
    <w:rsid w:val="00453960"/>
    <w:rsid w:val="00454778"/>
    <w:rsid w:val="004557D4"/>
    <w:rsid w:val="00456924"/>
    <w:rsid w:val="0045796D"/>
    <w:rsid w:val="004627EA"/>
    <w:rsid w:val="00463629"/>
    <w:rsid w:val="00463C11"/>
    <w:rsid w:val="00464C03"/>
    <w:rsid w:val="00464E41"/>
    <w:rsid w:val="0046510D"/>
    <w:rsid w:val="00465A1E"/>
    <w:rsid w:val="004701C8"/>
    <w:rsid w:val="0047022D"/>
    <w:rsid w:val="00473343"/>
    <w:rsid w:val="0047341F"/>
    <w:rsid w:val="0047364D"/>
    <w:rsid w:val="004751F8"/>
    <w:rsid w:val="0047770E"/>
    <w:rsid w:val="00481C51"/>
    <w:rsid w:val="00482572"/>
    <w:rsid w:val="00482B9A"/>
    <w:rsid w:val="004833E8"/>
    <w:rsid w:val="00484AF0"/>
    <w:rsid w:val="004853BD"/>
    <w:rsid w:val="004857FD"/>
    <w:rsid w:val="00486F92"/>
    <w:rsid w:val="00490C8C"/>
    <w:rsid w:val="00492963"/>
    <w:rsid w:val="00493BBE"/>
    <w:rsid w:val="00493BC0"/>
    <w:rsid w:val="004952C1"/>
    <w:rsid w:val="00495B9F"/>
    <w:rsid w:val="004A27BC"/>
    <w:rsid w:val="004A2A63"/>
    <w:rsid w:val="004A625C"/>
    <w:rsid w:val="004A70F3"/>
    <w:rsid w:val="004B0091"/>
    <w:rsid w:val="004B08BD"/>
    <w:rsid w:val="004B210C"/>
    <w:rsid w:val="004B28BD"/>
    <w:rsid w:val="004B4C45"/>
    <w:rsid w:val="004B5837"/>
    <w:rsid w:val="004B5A2B"/>
    <w:rsid w:val="004B5D87"/>
    <w:rsid w:val="004B74DA"/>
    <w:rsid w:val="004C0EC5"/>
    <w:rsid w:val="004C16B0"/>
    <w:rsid w:val="004C2AC8"/>
    <w:rsid w:val="004C41AB"/>
    <w:rsid w:val="004C513B"/>
    <w:rsid w:val="004C60EE"/>
    <w:rsid w:val="004C6F5C"/>
    <w:rsid w:val="004D3566"/>
    <w:rsid w:val="004D405F"/>
    <w:rsid w:val="004D44CF"/>
    <w:rsid w:val="004D523C"/>
    <w:rsid w:val="004E0658"/>
    <w:rsid w:val="004E223F"/>
    <w:rsid w:val="004E2DA8"/>
    <w:rsid w:val="004E3730"/>
    <w:rsid w:val="004E48C5"/>
    <w:rsid w:val="004E4F4F"/>
    <w:rsid w:val="004E6789"/>
    <w:rsid w:val="004F3FC7"/>
    <w:rsid w:val="004F4458"/>
    <w:rsid w:val="004F4765"/>
    <w:rsid w:val="004F55F4"/>
    <w:rsid w:val="004F5A7C"/>
    <w:rsid w:val="004F61E3"/>
    <w:rsid w:val="004F691A"/>
    <w:rsid w:val="004F6EE9"/>
    <w:rsid w:val="004F73D0"/>
    <w:rsid w:val="005007CC"/>
    <w:rsid w:val="00502E10"/>
    <w:rsid w:val="0050332B"/>
    <w:rsid w:val="005043CB"/>
    <w:rsid w:val="00505B62"/>
    <w:rsid w:val="00506298"/>
    <w:rsid w:val="00506373"/>
    <w:rsid w:val="00506C99"/>
    <w:rsid w:val="0051015C"/>
    <w:rsid w:val="00511482"/>
    <w:rsid w:val="005119BB"/>
    <w:rsid w:val="00511BD8"/>
    <w:rsid w:val="00511E09"/>
    <w:rsid w:val="005132E0"/>
    <w:rsid w:val="00513ED2"/>
    <w:rsid w:val="00515357"/>
    <w:rsid w:val="00515D01"/>
    <w:rsid w:val="00516589"/>
    <w:rsid w:val="00516987"/>
    <w:rsid w:val="00516A7B"/>
    <w:rsid w:val="00516CF1"/>
    <w:rsid w:val="005173B2"/>
    <w:rsid w:val="005208C7"/>
    <w:rsid w:val="005216B5"/>
    <w:rsid w:val="00524208"/>
    <w:rsid w:val="00524C66"/>
    <w:rsid w:val="005257D1"/>
    <w:rsid w:val="00526CF3"/>
    <w:rsid w:val="00527076"/>
    <w:rsid w:val="00527D1E"/>
    <w:rsid w:val="0053018B"/>
    <w:rsid w:val="0053067C"/>
    <w:rsid w:val="00530C46"/>
    <w:rsid w:val="0053146F"/>
    <w:rsid w:val="00531AE9"/>
    <w:rsid w:val="00531D9A"/>
    <w:rsid w:val="00534029"/>
    <w:rsid w:val="00534627"/>
    <w:rsid w:val="0053489F"/>
    <w:rsid w:val="00534F9B"/>
    <w:rsid w:val="00536B7A"/>
    <w:rsid w:val="00537822"/>
    <w:rsid w:val="0054189F"/>
    <w:rsid w:val="00542AC1"/>
    <w:rsid w:val="0054423D"/>
    <w:rsid w:val="0054448E"/>
    <w:rsid w:val="00546858"/>
    <w:rsid w:val="00546EBA"/>
    <w:rsid w:val="005504A7"/>
    <w:rsid w:val="00550A66"/>
    <w:rsid w:val="005519C7"/>
    <w:rsid w:val="00551CDA"/>
    <w:rsid w:val="00552197"/>
    <w:rsid w:val="005521EC"/>
    <w:rsid w:val="00552F76"/>
    <w:rsid w:val="00555ADF"/>
    <w:rsid w:val="0055623A"/>
    <w:rsid w:val="00556AF8"/>
    <w:rsid w:val="005635EE"/>
    <w:rsid w:val="0056402A"/>
    <w:rsid w:val="005667A4"/>
    <w:rsid w:val="00566D02"/>
    <w:rsid w:val="00567EC7"/>
    <w:rsid w:val="00570013"/>
    <w:rsid w:val="00574941"/>
    <w:rsid w:val="00576901"/>
    <w:rsid w:val="005801A2"/>
    <w:rsid w:val="00581307"/>
    <w:rsid w:val="00581F07"/>
    <w:rsid w:val="0058323D"/>
    <w:rsid w:val="00584651"/>
    <w:rsid w:val="005857D5"/>
    <w:rsid w:val="00586291"/>
    <w:rsid w:val="00586815"/>
    <w:rsid w:val="005871F3"/>
    <w:rsid w:val="005908F3"/>
    <w:rsid w:val="005938C2"/>
    <w:rsid w:val="005952A5"/>
    <w:rsid w:val="00595488"/>
    <w:rsid w:val="005A1508"/>
    <w:rsid w:val="005A33A1"/>
    <w:rsid w:val="005A33FB"/>
    <w:rsid w:val="005A4221"/>
    <w:rsid w:val="005A4433"/>
    <w:rsid w:val="005A45DA"/>
    <w:rsid w:val="005A584E"/>
    <w:rsid w:val="005B0CF4"/>
    <w:rsid w:val="005B0F7D"/>
    <w:rsid w:val="005B12F6"/>
    <w:rsid w:val="005B217D"/>
    <w:rsid w:val="005B2A0F"/>
    <w:rsid w:val="005B3E8C"/>
    <w:rsid w:val="005B476A"/>
    <w:rsid w:val="005B6E55"/>
    <w:rsid w:val="005B75B0"/>
    <w:rsid w:val="005C0381"/>
    <w:rsid w:val="005C0418"/>
    <w:rsid w:val="005C1536"/>
    <w:rsid w:val="005C1D50"/>
    <w:rsid w:val="005C385F"/>
    <w:rsid w:val="005C567D"/>
    <w:rsid w:val="005C6ABB"/>
    <w:rsid w:val="005C6BB9"/>
    <w:rsid w:val="005C6CA0"/>
    <w:rsid w:val="005C7C46"/>
    <w:rsid w:val="005D0270"/>
    <w:rsid w:val="005D15F0"/>
    <w:rsid w:val="005D1AD3"/>
    <w:rsid w:val="005D1C01"/>
    <w:rsid w:val="005D4213"/>
    <w:rsid w:val="005D4885"/>
    <w:rsid w:val="005D67A5"/>
    <w:rsid w:val="005D6D84"/>
    <w:rsid w:val="005D76DA"/>
    <w:rsid w:val="005D7A05"/>
    <w:rsid w:val="005E075A"/>
    <w:rsid w:val="005E1AC6"/>
    <w:rsid w:val="005F05E6"/>
    <w:rsid w:val="005F06EC"/>
    <w:rsid w:val="005F0C20"/>
    <w:rsid w:val="005F1296"/>
    <w:rsid w:val="005F35F3"/>
    <w:rsid w:val="005F6977"/>
    <w:rsid w:val="005F6C08"/>
    <w:rsid w:val="005F6F1B"/>
    <w:rsid w:val="006004AB"/>
    <w:rsid w:val="00601FEE"/>
    <w:rsid w:val="00602B2B"/>
    <w:rsid w:val="00602B8B"/>
    <w:rsid w:val="0060332C"/>
    <w:rsid w:val="006036B2"/>
    <w:rsid w:val="006042D0"/>
    <w:rsid w:val="0060495F"/>
    <w:rsid w:val="00604A15"/>
    <w:rsid w:val="00605432"/>
    <w:rsid w:val="00605E67"/>
    <w:rsid w:val="00606335"/>
    <w:rsid w:val="00606988"/>
    <w:rsid w:val="00606A50"/>
    <w:rsid w:val="006076FE"/>
    <w:rsid w:val="0061048D"/>
    <w:rsid w:val="00610C2B"/>
    <w:rsid w:val="006110C8"/>
    <w:rsid w:val="0061197B"/>
    <w:rsid w:val="00612DF9"/>
    <w:rsid w:val="00615DD1"/>
    <w:rsid w:val="00616459"/>
    <w:rsid w:val="00616531"/>
    <w:rsid w:val="00617239"/>
    <w:rsid w:val="00617FC0"/>
    <w:rsid w:val="006216D1"/>
    <w:rsid w:val="00621A59"/>
    <w:rsid w:val="00622BCE"/>
    <w:rsid w:val="00623978"/>
    <w:rsid w:val="00623FEB"/>
    <w:rsid w:val="00624B33"/>
    <w:rsid w:val="00624F80"/>
    <w:rsid w:val="0062532E"/>
    <w:rsid w:val="00626B8A"/>
    <w:rsid w:val="00626C6D"/>
    <w:rsid w:val="00630358"/>
    <w:rsid w:val="0063041A"/>
    <w:rsid w:val="00630AA2"/>
    <w:rsid w:val="00630E38"/>
    <w:rsid w:val="0063338A"/>
    <w:rsid w:val="00633A03"/>
    <w:rsid w:val="006341E0"/>
    <w:rsid w:val="00637662"/>
    <w:rsid w:val="00640251"/>
    <w:rsid w:val="00641272"/>
    <w:rsid w:val="00641935"/>
    <w:rsid w:val="00642474"/>
    <w:rsid w:val="00642E53"/>
    <w:rsid w:val="00644587"/>
    <w:rsid w:val="00644D08"/>
    <w:rsid w:val="006462A0"/>
    <w:rsid w:val="00646707"/>
    <w:rsid w:val="00647AE1"/>
    <w:rsid w:val="006517B2"/>
    <w:rsid w:val="00653E29"/>
    <w:rsid w:val="00654186"/>
    <w:rsid w:val="00654D03"/>
    <w:rsid w:val="0065554C"/>
    <w:rsid w:val="00655615"/>
    <w:rsid w:val="0065644C"/>
    <w:rsid w:val="0065650A"/>
    <w:rsid w:val="0065690C"/>
    <w:rsid w:val="00657F7E"/>
    <w:rsid w:val="0066046E"/>
    <w:rsid w:val="00660AE6"/>
    <w:rsid w:val="00662750"/>
    <w:rsid w:val="00662D5B"/>
    <w:rsid w:val="00662E58"/>
    <w:rsid w:val="006630A5"/>
    <w:rsid w:val="0066326F"/>
    <w:rsid w:val="00664DCF"/>
    <w:rsid w:val="00665FC1"/>
    <w:rsid w:val="00671B7F"/>
    <w:rsid w:val="00671FE2"/>
    <w:rsid w:val="0067272A"/>
    <w:rsid w:val="0067296F"/>
    <w:rsid w:val="006735EB"/>
    <w:rsid w:val="00674513"/>
    <w:rsid w:val="006767E1"/>
    <w:rsid w:val="00676F6E"/>
    <w:rsid w:val="006817F6"/>
    <w:rsid w:val="006822CE"/>
    <w:rsid w:val="00683031"/>
    <w:rsid w:val="00683A2F"/>
    <w:rsid w:val="00684A06"/>
    <w:rsid w:val="00686E26"/>
    <w:rsid w:val="00687914"/>
    <w:rsid w:val="00692768"/>
    <w:rsid w:val="00692987"/>
    <w:rsid w:val="0069374F"/>
    <w:rsid w:val="0069584C"/>
    <w:rsid w:val="00695DB4"/>
    <w:rsid w:val="00697813"/>
    <w:rsid w:val="006A086A"/>
    <w:rsid w:val="006A2064"/>
    <w:rsid w:val="006A249A"/>
    <w:rsid w:val="006A3796"/>
    <w:rsid w:val="006A3B54"/>
    <w:rsid w:val="006A4BD4"/>
    <w:rsid w:val="006A605D"/>
    <w:rsid w:val="006A689A"/>
    <w:rsid w:val="006B038D"/>
    <w:rsid w:val="006B0B28"/>
    <w:rsid w:val="006B2919"/>
    <w:rsid w:val="006B5AAC"/>
    <w:rsid w:val="006B67A0"/>
    <w:rsid w:val="006B699B"/>
    <w:rsid w:val="006C077E"/>
    <w:rsid w:val="006C08DE"/>
    <w:rsid w:val="006C141D"/>
    <w:rsid w:val="006C2E3D"/>
    <w:rsid w:val="006C5D39"/>
    <w:rsid w:val="006C715B"/>
    <w:rsid w:val="006C7936"/>
    <w:rsid w:val="006D2656"/>
    <w:rsid w:val="006D4A69"/>
    <w:rsid w:val="006D4DA9"/>
    <w:rsid w:val="006D51CB"/>
    <w:rsid w:val="006D58E9"/>
    <w:rsid w:val="006D6B0B"/>
    <w:rsid w:val="006D6D9B"/>
    <w:rsid w:val="006D700C"/>
    <w:rsid w:val="006D7B36"/>
    <w:rsid w:val="006E021B"/>
    <w:rsid w:val="006E1655"/>
    <w:rsid w:val="006E176A"/>
    <w:rsid w:val="006E1F2A"/>
    <w:rsid w:val="006E2810"/>
    <w:rsid w:val="006E39B0"/>
    <w:rsid w:val="006E3EA9"/>
    <w:rsid w:val="006E4AFF"/>
    <w:rsid w:val="006E5417"/>
    <w:rsid w:val="006E56CD"/>
    <w:rsid w:val="006E5D2A"/>
    <w:rsid w:val="006E6F8C"/>
    <w:rsid w:val="006F0437"/>
    <w:rsid w:val="006F0ED6"/>
    <w:rsid w:val="006F2322"/>
    <w:rsid w:val="006F5AEB"/>
    <w:rsid w:val="006F6874"/>
    <w:rsid w:val="0070067D"/>
    <w:rsid w:val="007023DE"/>
    <w:rsid w:val="007027E0"/>
    <w:rsid w:val="0070457F"/>
    <w:rsid w:val="007045FC"/>
    <w:rsid w:val="00712951"/>
    <w:rsid w:val="00712F60"/>
    <w:rsid w:val="007141A6"/>
    <w:rsid w:val="00714BAE"/>
    <w:rsid w:val="00714C53"/>
    <w:rsid w:val="007156EE"/>
    <w:rsid w:val="00717A3C"/>
    <w:rsid w:val="00717CC2"/>
    <w:rsid w:val="00720E3B"/>
    <w:rsid w:val="007229E0"/>
    <w:rsid w:val="0072334C"/>
    <w:rsid w:val="007250AF"/>
    <w:rsid w:val="0072548B"/>
    <w:rsid w:val="00725F53"/>
    <w:rsid w:val="00727B30"/>
    <w:rsid w:val="007301A1"/>
    <w:rsid w:val="0073037C"/>
    <w:rsid w:val="0073195A"/>
    <w:rsid w:val="007327D9"/>
    <w:rsid w:val="00733B16"/>
    <w:rsid w:val="00735FE3"/>
    <w:rsid w:val="00737750"/>
    <w:rsid w:val="00740063"/>
    <w:rsid w:val="007414CA"/>
    <w:rsid w:val="007418B8"/>
    <w:rsid w:val="00742C8F"/>
    <w:rsid w:val="0074305C"/>
    <w:rsid w:val="0074393F"/>
    <w:rsid w:val="00745F6B"/>
    <w:rsid w:val="00746383"/>
    <w:rsid w:val="007463E0"/>
    <w:rsid w:val="0075098D"/>
    <w:rsid w:val="007539B1"/>
    <w:rsid w:val="00754854"/>
    <w:rsid w:val="00754DAF"/>
    <w:rsid w:val="00754E49"/>
    <w:rsid w:val="0075585E"/>
    <w:rsid w:val="00755E85"/>
    <w:rsid w:val="00756A94"/>
    <w:rsid w:val="007604BF"/>
    <w:rsid w:val="007611BE"/>
    <w:rsid w:val="00761399"/>
    <w:rsid w:val="00763D3D"/>
    <w:rsid w:val="00765BFB"/>
    <w:rsid w:val="00767A9C"/>
    <w:rsid w:val="00770076"/>
    <w:rsid w:val="00770571"/>
    <w:rsid w:val="0077082B"/>
    <w:rsid w:val="007715BB"/>
    <w:rsid w:val="00772313"/>
    <w:rsid w:val="00774173"/>
    <w:rsid w:val="007768FF"/>
    <w:rsid w:val="00776DFE"/>
    <w:rsid w:val="00777B4C"/>
    <w:rsid w:val="00780442"/>
    <w:rsid w:val="00780628"/>
    <w:rsid w:val="00780D5C"/>
    <w:rsid w:val="007824D3"/>
    <w:rsid w:val="00782F6A"/>
    <w:rsid w:val="00784CF0"/>
    <w:rsid w:val="00784D19"/>
    <w:rsid w:val="00785CC5"/>
    <w:rsid w:val="00786B0A"/>
    <w:rsid w:val="00787A02"/>
    <w:rsid w:val="00787BD3"/>
    <w:rsid w:val="00787D81"/>
    <w:rsid w:val="007903E2"/>
    <w:rsid w:val="007905EF"/>
    <w:rsid w:val="00790692"/>
    <w:rsid w:val="007907CE"/>
    <w:rsid w:val="00792322"/>
    <w:rsid w:val="007923E5"/>
    <w:rsid w:val="00793DF4"/>
    <w:rsid w:val="007961C7"/>
    <w:rsid w:val="00796EE3"/>
    <w:rsid w:val="00797224"/>
    <w:rsid w:val="007A3AE0"/>
    <w:rsid w:val="007A4DD0"/>
    <w:rsid w:val="007A628F"/>
    <w:rsid w:val="007A7D29"/>
    <w:rsid w:val="007B0125"/>
    <w:rsid w:val="007B060B"/>
    <w:rsid w:val="007B2292"/>
    <w:rsid w:val="007B49B3"/>
    <w:rsid w:val="007B4AB8"/>
    <w:rsid w:val="007B5949"/>
    <w:rsid w:val="007B6848"/>
    <w:rsid w:val="007B768E"/>
    <w:rsid w:val="007B769E"/>
    <w:rsid w:val="007C0B2E"/>
    <w:rsid w:val="007C1240"/>
    <w:rsid w:val="007C145B"/>
    <w:rsid w:val="007C15BF"/>
    <w:rsid w:val="007C3217"/>
    <w:rsid w:val="007C37A2"/>
    <w:rsid w:val="007C5B00"/>
    <w:rsid w:val="007C71CC"/>
    <w:rsid w:val="007D0F55"/>
    <w:rsid w:val="007D1181"/>
    <w:rsid w:val="007D122D"/>
    <w:rsid w:val="007D19A9"/>
    <w:rsid w:val="007D2B95"/>
    <w:rsid w:val="007D35B2"/>
    <w:rsid w:val="007D5073"/>
    <w:rsid w:val="007D6015"/>
    <w:rsid w:val="007D6AC9"/>
    <w:rsid w:val="007E01A3"/>
    <w:rsid w:val="007E11C4"/>
    <w:rsid w:val="007E120E"/>
    <w:rsid w:val="007E1C9D"/>
    <w:rsid w:val="007E333E"/>
    <w:rsid w:val="007E45DE"/>
    <w:rsid w:val="007E62E5"/>
    <w:rsid w:val="007F06C1"/>
    <w:rsid w:val="007F077C"/>
    <w:rsid w:val="007F12F8"/>
    <w:rsid w:val="007F1724"/>
    <w:rsid w:val="007F1F8B"/>
    <w:rsid w:val="007F2A76"/>
    <w:rsid w:val="007F36A0"/>
    <w:rsid w:val="007F3D1D"/>
    <w:rsid w:val="007F67A1"/>
    <w:rsid w:val="007F7083"/>
    <w:rsid w:val="00800690"/>
    <w:rsid w:val="008008B4"/>
    <w:rsid w:val="00800971"/>
    <w:rsid w:val="00803381"/>
    <w:rsid w:val="008033F0"/>
    <w:rsid w:val="00803A9A"/>
    <w:rsid w:val="00805CDD"/>
    <w:rsid w:val="00806133"/>
    <w:rsid w:val="00810371"/>
    <w:rsid w:val="00811C05"/>
    <w:rsid w:val="00811E38"/>
    <w:rsid w:val="00812016"/>
    <w:rsid w:val="008123BD"/>
    <w:rsid w:val="00813938"/>
    <w:rsid w:val="008139F0"/>
    <w:rsid w:val="00813D95"/>
    <w:rsid w:val="00814031"/>
    <w:rsid w:val="00815D2D"/>
    <w:rsid w:val="008206C8"/>
    <w:rsid w:val="00820ABB"/>
    <w:rsid w:val="008226D3"/>
    <w:rsid w:val="00822764"/>
    <w:rsid w:val="00822E5B"/>
    <w:rsid w:val="00823B30"/>
    <w:rsid w:val="00824E8E"/>
    <w:rsid w:val="008257A8"/>
    <w:rsid w:val="008261B6"/>
    <w:rsid w:val="0082663A"/>
    <w:rsid w:val="00826BDA"/>
    <w:rsid w:val="008271BD"/>
    <w:rsid w:val="00830674"/>
    <w:rsid w:val="00832C44"/>
    <w:rsid w:val="008363F4"/>
    <w:rsid w:val="00842A9A"/>
    <w:rsid w:val="00843363"/>
    <w:rsid w:val="00843550"/>
    <w:rsid w:val="00844B10"/>
    <w:rsid w:val="0084604F"/>
    <w:rsid w:val="008470C1"/>
    <w:rsid w:val="00847440"/>
    <w:rsid w:val="00847986"/>
    <w:rsid w:val="008536EA"/>
    <w:rsid w:val="00855156"/>
    <w:rsid w:val="008554FD"/>
    <w:rsid w:val="00857343"/>
    <w:rsid w:val="00857847"/>
    <w:rsid w:val="008601BD"/>
    <w:rsid w:val="008602CF"/>
    <w:rsid w:val="008609F6"/>
    <w:rsid w:val="00862084"/>
    <w:rsid w:val="008624DC"/>
    <w:rsid w:val="0086254D"/>
    <w:rsid w:val="0086387C"/>
    <w:rsid w:val="00864480"/>
    <w:rsid w:val="0086797E"/>
    <w:rsid w:val="00870801"/>
    <w:rsid w:val="00872016"/>
    <w:rsid w:val="00873C61"/>
    <w:rsid w:val="00874A6C"/>
    <w:rsid w:val="00875FF8"/>
    <w:rsid w:val="008762C3"/>
    <w:rsid w:val="00876B79"/>
    <w:rsid w:val="00876C65"/>
    <w:rsid w:val="00877D47"/>
    <w:rsid w:val="00881382"/>
    <w:rsid w:val="00882AAE"/>
    <w:rsid w:val="0088305B"/>
    <w:rsid w:val="00883ADA"/>
    <w:rsid w:val="00883D45"/>
    <w:rsid w:val="00884EE9"/>
    <w:rsid w:val="00886CD7"/>
    <w:rsid w:val="00887D23"/>
    <w:rsid w:val="0089098B"/>
    <w:rsid w:val="0089282E"/>
    <w:rsid w:val="008A0A4B"/>
    <w:rsid w:val="008A48E8"/>
    <w:rsid w:val="008A4B4C"/>
    <w:rsid w:val="008A550D"/>
    <w:rsid w:val="008A570D"/>
    <w:rsid w:val="008A62B2"/>
    <w:rsid w:val="008A66A5"/>
    <w:rsid w:val="008B03BE"/>
    <w:rsid w:val="008B4B3C"/>
    <w:rsid w:val="008B4CB9"/>
    <w:rsid w:val="008B5C56"/>
    <w:rsid w:val="008B6EB4"/>
    <w:rsid w:val="008B78AD"/>
    <w:rsid w:val="008C0684"/>
    <w:rsid w:val="008C0E70"/>
    <w:rsid w:val="008C125F"/>
    <w:rsid w:val="008C1762"/>
    <w:rsid w:val="008C239F"/>
    <w:rsid w:val="008C4C14"/>
    <w:rsid w:val="008C5388"/>
    <w:rsid w:val="008C5554"/>
    <w:rsid w:val="008C5653"/>
    <w:rsid w:val="008C5E9C"/>
    <w:rsid w:val="008D00CA"/>
    <w:rsid w:val="008D1496"/>
    <w:rsid w:val="008D16A9"/>
    <w:rsid w:val="008D2D11"/>
    <w:rsid w:val="008D31E1"/>
    <w:rsid w:val="008D4437"/>
    <w:rsid w:val="008D474D"/>
    <w:rsid w:val="008D4906"/>
    <w:rsid w:val="008D4E82"/>
    <w:rsid w:val="008D4EE9"/>
    <w:rsid w:val="008D52BC"/>
    <w:rsid w:val="008E4514"/>
    <w:rsid w:val="008E480C"/>
    <w:rsid w:val="008E71F5"/>
    <w:rsid w:val="008E7236"/>
    <w:rsid w:val="008F03FD"/>
    <w:rsid w:val="008F1838"/>
    <w:rsid w:val="008F575E"/>
    <w:rsid w:val="008F6416"/>
    <w:rsid w:val="008F648C"/>
    <w:rsid w:val="008F71EB"/>
    <w:rsid w:val="008F73F1"/>
    <w:rsid w:val="008F766B"/>
    <w:rsid w:val="00900EDD"/>
    <w:rsid w:val="00901200"/>
    <w:rsid w:val="009017B9"/>
    <w:rsid w:val="00901A08"/>
    <w:rsid w:val="0090544E"/>
    <w:rsid w:val="00907757"/>
    <w:rsid w:val="00910D6E"/>
    <w:rsid w:val="00911300"/>
    <w:rsid w:val="00911EA9"/>
    <w:rsid w:val="009126AA"/>
    <w:rsid w:val="009167E3"/>
    <w:rsid w:val="0091702A"/>
    <w:rsid w:val="00917BBA"/>
    <w:rsid w:val="009212B0"/>
    <w:rsid w:val="00921FA1"/>
    <w:rsid w:val="00922354"/>
    <w:rsid w:val="009234A5"/>
    <w:rsid w:val="00923F6D"/>
    <w:rsid w:val="0092582D"/>
    <w:rsid w:val="009258E8"/>
    <w:rsid w:val="009267BE"/>
    <w:rsid w:val="00927046"/>
    <w:rsid w:val="0093036E"/>
    <w:rsid w:val="0093180D"/>
    <w:rsid w:val="00933453"/>
    <w:rsid w:val="009336F7"/>
    <w:rsid w:val="0093636C"/>
    <w:rsid w:val="009374A7"/>
    <w:rsid w:val="0093767E"/>
    <w:rsid w:val="0094003B"/>
    <w:rsid w:val="00940D75"/>
    <w:rsid w:val="00940DB1"/>
    <w:rsid w:val="00944327"/>
    <w:rsid w:val="00944AAA"/>
    <w:rsid w:val="00945C25"/>
    <w:rsid w:val="0094788F"/>
    <w:rsid w:val="009503EC"/>
    <w:rsid w:val="00952710"/>
    <w:rsid w:val="00952DB3"/>
    <w:rsid w:val="00955F6D"/>
    <w:rsid w:val="009568F8"/>
    <w:rsid w:val="00961887"/>
    <w:rsid w:val="00962A6E"/>
    <w:rsid w:val="00963647"/>
    <w:rsid w:val="00963A47"/>
    <w:rsid w:val="00965AE8"/>
    <w:rsid w:val="00967594"/>
    <w:rsid w:val="00970566"/>
    <w:rsid w:val="0097313C"/>
    <w:rsid w:val="00974984"/>
    <w:rsid w:val="00974D72"/>
    <w:rsid w:val="0097561E"/>
    <w:rsid w:val="00975B68"/>
    <w:rsid w:val="00975E37"/>
    <w:rsid w:val="009805EC"/>
    <w:rsid w:val="00983561"/>
    <w:rsid w:val="00984A21"/>
    <w:rsid w:val="0098551D"/>
    <w:rsid w:val="00985A63"/>
    <w:rsid w:val="00986D1C"/>
    <w:rsid w:val="00987DEB"/>
    <w:rsid w:val="009908D6"/>
    <w:rsid w:val="0099196D"/>
    <w:rsid w:val="009929D8"/>
    <w:rsid w:val="00993171"/>
    <w:rsid w:val="00993E9C"/>
    <w:rsid w:val="00994AF3"/>
    <w:rsid w:val="0099518F"/>
    <w:rsid w:val="00995F85"/>
    <w:rsid w:val="009A0BDE"/>
    <w:rsid w:val="009A260C"/>
    <w:rsid w:val="009A3A3E"/>
    <w:rsid w:val="009A3F2F"/>
    <w:rsid w:val="009A523D"/>
    <w:rsid w:val="009A5454"/>
    <w:rsid w:val="009A705E"/>
    <w:rsid w:val="009A76B0"/>
    <w:rsid w:val="009A7E66"/>
    <w:rsid w:val="009B02A1"/>
    <w:rsid w:val="009B0E7F"/>
    <w:rsid w:val="009B419B"/>
    <w:rsid w:val="009B4FC0"/>
    <w:rsid w:val="009B5AEC"/>
    <w:rsid w:val="009B75F8"/>
    <w:rsid w:val="009C1564"/>
    <w:rsid w:val="009C1814"/>
    <w:rsid w:val="009C308E"/>
    <w:rsid w:val="009C438F"/>
    <w:rsid w:val="009C43F5"/>
    <w:rsid w:val="009D0F22"/>
    <w:rsid w:val="009D27A2"/>
    <w:rsid w:val="009D2D57"/>
    <w:rsid w:val="009D3057"/>
    <w:rsid w:val="009D3AF4"/>
    <w:rsid w:val="009D5CF9"/>
    <w:rsid w:val="009D7B7E"/>
    <w:rsid w:val="009E0814"/>
    <w:rsid w:val="009E2E3B"/>
    <w:rsid w:val="009E3028"/>
    <w:rsid w:val="009E4B34"/>
    <w:rsid w:val="009E5074"/>
    <w:rsid w:val="009E57D6"/>
    <w:rsid w:val="009E61A6"/>
    <w:rsid w:val="009E62FF"/>
    <w:rsid w:val="009F0C81"/>
    <w:rsid w:val="009F1A20"/>
    <w:rsid w:val="009F2ED2"/>
    <w:rsid w:val="009F3816"/>
    <w:rsid w:val="009F3DE9"/>
    <w:rsid w:val="009F3E9A"/>
    <w:rsid w:val="009F44BB"/>
    <w:rsid w:val="009F496B"/>
    <w:rsid w:val="009F52F5"/>
    <w:rsid w:val="009F6172"/>
    <w:rsid w:val="00A00F05"/>
    <w:rsid w:val="00A01439"/>
    <w:rsid w:val="00A02E61"/>
    <w:rsid w:val="00A030C5"/>
    <w:rsid w:val="00A03809"/>
    <w:rsid w:val="00A038B5"/>
    <w:rsid w:val="00A03F5F"/>
    <w:rsid w:val="00A048C2"/>
    <w:rsid w:val="00A05A75"/>
    <w:rsid w:val="00A05CFF"/>
    <w:rsid w:val="00A05F7C"/>
    <w:rsid w:val="00A071F2"/>
    <w:rsid w:val="00A0723B"/>
    <w:rsid w:val="00A115A0"/>
    <w:rsid w:val="00A13048"/>
    <w:rsid w:val="00A14B5E"/>
    <w:rsid w:val="00A152D8"/>
    <w:rsid w:val="00A200F0"/>
    <w:rsid w:val="00A202AC"/>
    <w:rsid w:val="00A21086"/>
    <w:rsid w:val="00A21991"/>
    <w:rsid w:val="00A2366E"/>
    <w:rsid w:val="00A27014"/>
    <w:rsid w:val="00A314FB"/>
    <w:rsid w:val="00A34054"/>
    <w:rsid w:val="00A35EF0"/>
    <w:rsid w:val="00A3674A"/>
    <w:rsid w:val="00A37300"/>
    <w:rsid w:val="00A4191A"/>
    <w:rsid w:val="00A42045"/>
    <w:rsid w:val="00A42795"/>
    <w:rsid w:val="00A43107"/>
    <w:rsid w:val="00A431F3"/>
    <w:rsid w:val="00A44312"/>
    <w:rsid w:val="00A45813"/>
    <w:rsid w:val="00A45A46"/>
    <w:rsid w:val="00A464EA"/>
    <w:rsid w:val="00A46843"/>
    <w:rsid w:val="00A46CF6"/>
    <w:rsid w:val="00A55FE4"/>
    <w:rsid w:val="00A564CF"/>
    <w:rsid w:val="00A56B97"/>
    <w:rsid w:val="00A56EAE"/>
    <w:rsid w:val="00A6093C"/>
    <w:rsid w:val="00A6093D"/>
    <w:rsid w:val="00A610AC"/>
    <w:rsid w:val="00A645FD"/>
    <w:rsid w:val="00A64D2A"/>
    <w:rsid w:val="00A65041"/>
    <w:rsid w:val="00A65833"/>
    <w:rsid w:val="00A66C06"/>
    <w:rsid w:val="00A70C0A"/>
    <w:rsid w:val="00A70E32"/>
    <w:rsid w:val="00A7116F"/>
    <w:rsid w:val="00A7265D"/>
    <w:rsid w:val="00A740D5"/>
    <w:rsid w:val="00A767DC"/>
    <w:rsid w:val="00A76A6D"/>
    <w:rsid w:val="00A80CFA"/>
    <w:rsid w:val="00A82ADA"/>
    <w:rsid w:val="00A83253"/>
    <w:rsid w:val="00A837FF"/>
    <w:rsid w:val="00A83E8A"/>
    <w:rsid w:val="00A90A1D"/>
    <w:rsid w:val="00A91053"/>
    <w:rsid w:val="00A91B2B"/>
    <w:rsid w:val="00A92792"/>
    <w:rsid w:val="00A92CE3"/>
    <w:rsid w:val="00A92DA6"/>
    <w:rsid w:val="00A93596"/>
    <w:rsid w:val="00A93E43"/>
    <w:rsid w:val="00A93F17"/>
    <w:rsid w:val="00A957CA"/>
    <w:rsid w:val="00AA0E4E"/>
    <w:rsid w:val="00AA191A"/>
    <w:rsid w:val="00AA27B8"/>
    <w:rsid w:val="00AA3353"/>
    <w:rsid w:val="00AA5684"/>
    <w:rsid w:val="00AA6E84"/>
    <w:rsid w:val="00AB32C6"/>
    <w:rsid w:val="00AB5BC2"/>
    <w:rsid w:val="00AB5C19"/>
    <w:rsid w:val="00AB7ACB"/>
    <w:rsid w:val="00AC4BDC"/>
    <w:rsid w:val="00AC54BF"/>
    <w:rsid w:val="00AC785D"/>
    <w:rsid w:val="00AD05A8"/>
    <w:rsid w:val="00AD05F7"/>
    <w:rsid w:val="00AD38D6"/>
    <w:rsid w:val="00AD3905"/>
    <w:rsid w:val="00AD39B0"/>
    <w:rsid w:val="00AD3FB7"/>
    <w:rsid w:val="00AD48A0"/>
    <w:rsid w:val="00AD71F4"/>
    <w:rsid w:val="00AD75BC"/>
    <w:rsid w:val="00AE0166"/>
    <w:rsid w:val="00AE047B"/>
    <w:rsid w:val="00AE2791"/>
    <w:rsid w:val="00AE2901"/>
    <w:rsid w:val="00AE2A7F"/>
    <w:rsid w:val="00AE341B"/>
    <w:rsid w:val="00AE3F80"/>
    <w:rsid w:val="00AE5D61"/>
    <w:rsid w:val="00AE6646"/>
    <w:rsid w:val="00AE7A03"/>
    <w:rsid w:val="00AE7EC3"/>
    <w:rsid w:val="00AF0EEB"/>
    <w:rsid w:val="00AF111C"/>
    <w:rsid w:val="00AF19AA"/>
    <w:rsid w:val="00AF321A"/>
    <w:rsid w:val="00AF4B59"/>
    <w:rsid w:val="00AF5F32"/>
    <w:rsid w:val="00AF75E5"/>
    <w:rsid w:val="00B00DCB"/>
    <w:rsid w:val="00B01D9D"/>
    <w:rsid w:val="00B03454"/>
    <w:rsid w:val="00B04495"/>
    <w:rsid w:val="00B045C8"/>
    <w:rsid w:val="00B049B6"/>
    <w:rsid w:val="00B04D6D"/>
    <w:rsid w:val="00B060E3"/>
    <w:rsid w:val="00B0657D"/>
    <w:rsid w:val="00B07CA7"/>
    <w:rsid w:val="00B1279A"/>
    <w:rsid w:val="00B13A6D"/>
    <w:rsid w:val="00B145C4"/>
    <w:rsid w:val="00B14976"/>
    <w:rsid w:val="00B15167"/>
    <w:rsid w:val="00B200FA"/>
    <w:rsid w:val="00B20C81"/>
    <w:rsid w:val="00B22B0A"/>
    <w:rsid w:val="00B24366"/>
    <w:rsid w:val="00B25189"/>
    <w:rsid w:val="00B314F8"/>
    <w:rsid w:val="00B325C2"/>
    <w:rsid w:val="00B32F94"/>
    <w:rsid w:val="00B34A6E"/>
    <w:rsid w:val="00B4194A"/>
    <w:rsid w:val="00B41E53"/>
    <w:rsid w:val="00B4247C"/>
    <w:rsid w:val="00B437C8"/>
    <w:rsid w:val="00B43E98"/>
    <w:rsid w:val="00B4756B"/>
    <w:rsid w:val="00B51060"/>
    <w:rsid w:val="00B51C91"/>
    <w:rsid w:val="00B5209F"/>
    <w:rsid w:val="00B5222E"/>
    <w:rsid w:val="00B522F3"/>
    <w:rsid w:val="00B52542"/>
    <w:rsid w:val="00B530B0"/>
    <w:rsid w:val="00B53179"/>
    <w:rsid w:val="00B53EE8"/>
    <w:rsid w:val="00B54797"/>
    <w:rsid w:val="00B56065"/>
    <w:rsid w:val="00B5677A"/>
    <w:rsid w:val="00B571D9"/>
    <w:rsid w:val="00B57F4F"/>
    <w:rsid w:val="00B600CD"/>
    <w:rsid w:val="00B60831"/>
    <w:rsid w:val="00B60F0F"/>
    <w:rsid w:val="00B61C96"/>
    <w:rsid w:val="00B62042"/>
    <w:rsid w:val="00B658C3"/>
    <w:rsid w:val="00B65CF3"/>
    <w:rsid w:val="00B67C46"/>
    <w:rsid w:val="00B73A2A"/>
    <w:rsid w:val="00B74A51"/>
    <w:rsid w:val="00B754A6"/>
    <w:rsid w:val="00B77422"/>
    <w:rsid w:val="00B80412"/>
    <w:rsid w:val="00B80BE8"/>
    <w:rsid w:val="00B8191A"/>
    <w:rsid w:val="00B820CE"/>
    <w:rsid w:val="00B8300F"/>
    <w:rsid w:val="00B86D5E"/>
    <w:rsid w:val="00B874B2"/>
    <w:rsid w:val="00B92F75"/>
    <w:rsid w:val="00B93C00"/>
    <w:rsid w:val="00B944F7"/>
    <w:rsid w:val="00B94B06"/>
    <w:rsid w:val="00B94C28"/>
    <w:rsid w:val="00B9579C"/>
    <w:rsid w:val="00B95980"/>
    <w:rsid w:val="00BA06BE"/>
    <w:rsid w:val="00BA33F2"/>
    <w:rsid w:val="00BA4A55"/>
    <w:rsid w:val="00BA4E8F"/>
    <w:rsid w:val="00BA6C9D"/>
    <w:rsid w:val="00BA6E28"/>
    <w:rsid w:val="00BB08A9"/>
    <w:rsid w:val="00BB18B6"/>
    <w:rsid w:val="00BB21FC"/>
    <w:rsid w:val="00BB2833"/>
    <w:rsid w:val="00BB3022"/>
    <w:rsid w:val="00BB3A8B"/>
    <w:rsid w:val="00BB5CC8"/>
    <w:rsid w:val="00BB6747"/>
    <w:rsid w:val="00BB7E09"/>
    <w:rsid w:val="00BC0597"/>
    <w:rsid w:val="00BC06E8"/>
    <w:rsid w:val="00BC10BA"/>
    <w:rsid w:val="00BC4381"/>
    <w:rsid w:val="00BC4F0C"/>
    <w:rsid w:val="00BC5AFD"/>
    <w:rsid w:val="00BC60BB"/>
    <w:rsid w:val="00BC6E06"/>
    <w:rsid w:val="00BC7253"/>
    <w:rsid w:val="00BC738D"/>
    <w:rsid w:val="00BC7787"/>
    <w:rsid w:val="00BD0793"/>
    <w:rsid w:val="00BD0D96"/>
    <w:rsid w:val="00BD2199"/>
    <w:rsid w:val="00BD2D49"/>
    <w:rsid w:val="00BD3B70"/>
    <w:rsid w:val="00BD48E7"/>
    <w:rsid w:val="00BD6553"/>
    <w:rsid w:val="00BD78BB"/>
    <w:rsid w:val="00BF1139"/>
    <w:rsid w:val="00BF1C1F"/>
    <w:rsid w:val="00BF3A20"/>
    <w:rsid w:val="00BF421D"/>
    <w:rsid w:val="00BF5159"/>
    <w:rsid w:val="00BF78AE"/>
    <w:rsid w:val="00BF7BBC"/>
    <w:rsid w:val="00C00A31"/>
    <w:rsid w:val="00C00E5C"/>
    <w:rsid w:val="00C01714"/>
    <w:rsid w:val="00C02400"/>
    <w:rsid w:val="00C0292E"/>
    <w:rsid w:val="00C0468F"/>
    <w:rsid w:val="00C04F43"/>
    <w:rsid w:val="00C05CB0"/>
    <w:rsid w:val="00C0609D"/>
    <w:rsid w:val="00C06E87"/>
    <w:rsid w:val="00C07EF6"/>
    <w:rsid w:val="00C113BF"/>
    <w:rsid w:val="00C115AB"/>
    <w:rsid w:val="00C12200"/>
    <w:rsid w:val="00C13DB8"/>
    <w:rsid w:val="00C1448F"/>
    <w:rsid w:val="00C15FC0"/>
    <w:rsid w:val="00C168CC"/>
    <w:rsid w:val="00C176D2"/>
    <w:rsid w:val="00C17F11"/>
    <w:rsid w:val="00C20F32"/>
    <w:rsid w:val="00C23B37"/>
    <w:rsid w:val="00C249D9"/>
    <w:rsid w:val="00C25E9E"/>
    <w:rsid w:val="00C263EE"/>
    <w:rsid w:val="00C26816"/>
    <w:rsid w:val="00C26CCB"/>
    <w:rsid w:val="00C26D8C"/>
    <w:rsid w:val="00C30249"/>
    <w:rsid w:val="00C30E90"/>
    <w:rsid w:val="00C31612"/>
    <w:rsid w:val="00C32B6E"/>
    <w:rsid w:val="00C331AD"/>
    <w:rsid w:val="00C33387"/>
    <w:rsid w:val="00C36D46"/>
    <w:rsid w:val="00C3723B"/>
    <w:rsid w:val="00C3785B"/>
    <w:rsid w:val="00C4128F"/>
    <w:rsid w:val="00C42466"/>
    <w:rsid w:val="00C430AF"/>
    <w:rsid w:val="00C4416E"/>
    <w:rsid w:val="00C46FF6"/>
    <w:rsid w:val="00C476C7"/>
    <w:rsid w:val="00C50948"/>
    <w:rsid w:val="00C5130C"/>
    <w:rsid w:val="00C54549"/>
    <w:rsid w:val="00C55471"/>
    <w:rsid w:val="00C5552C"/>
    <w:rsid w:val="00C56DA2"/>
    <w:rsid w:val="00C57094"/>
    <w:rsid w:val="00C60053"/>
    <w:rsid w:val="00C606C9"/>
    <w:rsid w:val="00C60868"/>
    <w:rsid w:val="00C60A8A"/>
    <w:rsid w:val="00C610D7"/>
    <w:rsid w:val="00C626FF"/>
    <w:rsid w:val="00C62873"/>
    <w:rsid w:val="00C64628"/>
    <w:rsid w:val="00C7047B"/>
    <w:rsid w:val="00C70F84"/>
    <w:rsid w:val="00C71224"/>
    <w:rsid w:val="00C714B5"/>
    <w:rsid w:val="00C729E1"/>
    <w:rsid w:val="00C74682"/>
    <w:rsid w:val="00C74802"/>
    <w:rsid w:val="00C75C95"/>
    <w:rsid w:val="00C77A5D"/>
    <w:rsid w:val="00C77B04"/>
    <w:rsid w:val="00C80288"/>
    <w:rsid w:val="00C81164"/>
    <w:rsid w:val="00C813A1"/>
    <w:rsid w:val="00C827E4"/>
    <w:rsid w:val="00C82873"/>
    <w:rsid w:val="00C84003"/>
    <w:rsid w:val="00C90650"/>
    <w:rsid w:val="00C9191F"/>
    <w:rsid w:val="00C941A4"/>
    <w:rsid w:val="00C955CE"/>
    <w:rsid w:val="00C955F6"/>
    <w:rsid w:val="00C96291"/>
    <w:rsid w:val="00C96390"/>
    <w:rsid w:val="00C9766F"/>
    <w:rsid w:val="00C97D78"/>
    <w:rsid w:val="00CA056A"/>
    <w:rsid w:val="00CA0EEA"/>
    <w:rsid w:val="00CA1FEA"/>
    <w:rsid w:val="00CA21F4"/>
    <w:rsid w:val="00CA22A0"/>
    <w:rsid w:val="00CA292A"/>
    <w:rsid w:val="00CA41C9"/>
    <w:rsid w:val="00CA6A6C"/>
    <w:rsid w:val="00CA79A4"/>
    <w:rsid w:val="00CB1084"/>
    <w:rsid w:val="00CB1566"/>
    <w:rsid w:val="00CB2382"/>
    <w:rsid w:val="00CB36D2"/>
    <w:rsid w:val="00CB40ED"/>
    <w:rsid w:val="00CB5639"/>
    <w:rsid w:val="00CC05A5"/>
    <w:rsid w:val="00CC0CD4"/>
    <w:rsid w:val="00CC10E1"/>
    <w:rsid w:val="00CC18E9"/>
    <w:rsid w:val="00CC218C"/>
    <w:rsid w:val="00CC2A3F"/>
    <w:rsid w:val="00CC2AAE"/>
    <w:rsid w:val="00CC3B4B"/>
    <w:rsid w:val="00CC46ED"/>
    <w:rsid w:val="00CC5A42"/>
    <w:rsid w:val="00CD012B"/>
    <w:rsid w:val="00CD013E"/>
    <w:rsid w:val="00CD0EAB"/>
    <w:rsid w:val="00CD20D2"/>
    <w:rsid w:val="00CD2EDF"/>
    <w:rsid w:val="00CD2F93"/>
    <w:rsid w:val="00CD3E94"/>
    <w:rsid w:val="00CD3F5A"/>
    <w:rsid w:val="00CD42CE"/>
    <w:rsid w:val="00CD59FD"/>
    <w:rsid w:val="00CD681E"/>
    <w:rsid w:val="00CD7218"/>
    <w:rsid w:val="00CD7A1A"/>
    <w:rsid w:val="00CE2AD6"/>
    <w:rsid w:val="00CE5241"/>
    <w:rsid w:val="00CE5A36"/>
    <w:rsid w:val="00CE5E02"/>
    <w:rsid w:val="00CE642D"/>
    <w:rsid w:val="00CE7B6B"/>
    <w:rsid w:val="00CF0257"/>
    <w:rsid w:val="00CF06F7"/>
    <w:rsid w:val="00CF2F05"/>
    <w:rsid w:val="00CF34DB"/>
    <w:rsid w:val="00CF5517"/>
    <w:rsid w:val="00CF558F"/>
    <w:rsid w:val="00CF6646"/>
    <w:rsid w:val="00CF68E1"/>
    <w:rsid w:val="00CF6B04"/>
    <w:rsid w:val="00D00906"/>
    <w:rsid w:val="00D010C0"/>
    <w:rsid w:val="00D02FA6"/>
    <w:rsid w:val="00D0360F"/>
    <w:rsid w:val="00D03FD5"/>
    <w:rsid w:val="00D0444F"/>
    <w:rsid w:val="00D04BE9"/>
    <w:rsid w:val="00D073E2"/>
    <w:rsid w:val="00D131A7"/>
    <w:rsid w:val="00D13800"/>
    <w:rsid w:val="00D14CCD"/>
    <w:rsid w:val="00D16661"/>
    <w:rsid w:val="00D17A2B"/>
    <w:rsid w:val="00D20CFA"/>
    <w:rsid w:val="00D21378"/>
    <w:rsid w:val="00D21F21"/>
    <w:rsid w:val="00D224B8"/>
    <w:rsid w:val="00D232DE"/>
    <w:rsid w:val="00D238FF"/>
    <w:rsid w:val="00D23946"/>
    <w:rsid w:val="00D30244"/>
    <w:rsid w:val="00D30A86"/>
    <w:rsid w:val="00D30C37"/>
    <w:rsid w:val="00D311C2"/>
    <w:rsid w:val="00D32A0D"/>
    <w:rsid w:val="00D32E36"/>
    <w:rsid w:val="00D34C53"/>
    <w:rsid w:val="00D34FB0"/>
    <w:rsid w:val="00D357BA"/>
    <w:rsid w:val="00D3631E"/>
    <w:rsid w:val="00D36E3D"/>
    <w:rsid w:val="00D406C6"/>
    <w:rsid w:val="00D446EC"/>
    <w:rsid w:val="00D44C7E"/>
    <w:rsid w:val="00D45A45"/>
    <w:rsid w:val="00D45E35"/>
    <w:rsid w:val="00D468E5"/>
    <w:rsid w:val="00D46C60"/>
    <w:rsid w:val="00D50919"/>
    <w:rsid w:val="00D5149D"/>
    <w:rsid w:val="00D516E3"/>
    <w:rsid w:val="00D51750"/>
    <w:rsid w:val="00D51BF0"/>
    <w:rsid w:val="00D525EB"/>
    <w:rsid w:val="00D52806"/>
    <w:rsid w:val="00D534E6"/>
    <w:rsid w:val="00D53677"/>
    <w:rsid w:val="00D53BE6"/>
    <w:rsid w:val="00D54221"/>
    <w:rsid w:val="00D542C7"/>
    <w:rsid w:val="00D54A3E"/>
    <w:rsid w:val="00D55942"/>
    <w:rsid w:val="00D5604C"/>
    <w:rsid w:val="00D56297"/>
    <w:rsid w:val="00D60B08"/>
    <w:rsid w:val="00D63BD5"/>
    <w:rsid w:val="00D64E01"/>
    <w:rsid w:val="00D65B64"/>
    <w:rsid w:val="00D67353"/>
    <w:rsid w:val="00D67400"/>
    <w:rsid w:val="00D715EC"/>
    <w:rsid w:val="00D736CD"/>
    <w:rsid w:val="00D74653"/>
    <w:rsid w:val="00D767AA"/>
    <w:rsid w:val="00D767E9"/>
    <w:rsid w:val="00D77F41"/>
    <w:rsid w:val="00D8063C"/>
    <w:rsid w:val="00D807BF"/>
    <w:rsid w:val="00D82FCC"/>
    <w:rsid w:val="00D82FDD"/>
    <w:rsid w:val="00D85277"/>
    <w:rsid w:val="00D86FC7"/>
    <w:rsid w:val="00D87120"/>
    <w:rsid w:val="00D873C1"/>
    <w:rsid w:val="00D9074C"/>
    <w:rsid w:val="00D92947"/>
    <w:rsid w:val="00D94566"/>
    <w:rsid w:val="00D94A3E"/>
    <w:rsid w:val="00D95F40"/>
    <w:rsid w:val="00D96C87"/>
    <w:rsid w:val="00D9760C"/>
    <w:rsid w:val="00DA17FC"/>
    <w:rsid w:val="00DA1A9C"/>
    <w:rsid w:val="00DA1AE3"/>
    <w:rsid w:val="00DA23FE"/>
    <w:rsid w:val="00DA3261"/>
    <w:rsid w:val="00DA5089"/>
    <w:rsid w:val="00DA5773"/>
    <w:rsid w:val="00DA6683"/>
    <w:rsid w:val="00DA6AC5"/>
    <w:rsid w:val="00DA7887"/>
    <w:rsid w:val="00DA7E75"/>
    <w:rsid w:val="00DB0DA5"/>
    <w:rsid w:val="00DB17BB"/>
    <w:rsid w:val="00DB24C9"/>
    <w:rsid w:val="00DB2C26"/>
    <w:rsid w:val="00DB3339"/>
    <w:rsid w:val="00DB3D21"/>
    <w:rsid w:val="00DB497D"/>
    <w:rsid w:val="00DB5AE0"/>
    <w:rsid w:val="00DB713F"/>
    <w:rsid w:val="00DB7FBE"/>
    <w:rsid w:val="00DC007D"/>
    <w:rsid w:val="00DC25FC"/>
    <w:rsid w:val="00DC26DC"/>
    <w:rsid w:val="00DC31D2"/>
    <w:rsid w:val="00DC3A3F"/>
    <w:rsid w:val="00DC3BE2"/>
    <w:rsid w:val="00DC45C0"/>
    <w:rsid w:val="00DC49F0"/>
    <w:rsid w:val="00DD02F4"/>
    <w:rsid w:val="00DD1E56"/>
    <w:rsid w:val="00DD2EDB"/>
    <w:rsid w:val="00DD68A9"/>
    <w:rsid w:val="00DE228F"/>
    <w:rsid w:val="00DE4EA4"/>
    <w:rsid w:val="00DE694C"/>
    <w:rsid w:val="00DE6B43"/>
    <w:rsid w:val="00DE6CD0"/>
    <w:rsid w:val="00DE7A7E"/>
    <w:rsid w:val="00DF1F5B"/>
    <w:rsid w:val="00DF26E5"/>
    <w:rsid w:val="00DF2AEE"/>
    <w:rsid w:val="00DF423B"/>
    <w:rsid w:val="00DF4E3F"/>
    <w:rsid w:val="00DF4F59"/>
    <w:rsid w:val="00DF5E7E"/>
    <w:rsid w:val="00DF6259"/>
    <w:rsid w:val="00DF65DD"/>
    <w:rsid w:val="00DF6836"/>
    <w:rsid w:val="00E00BAB"/>
    <w:rsid w:val="00E01D4B"/>
    <w:rsid w:val="00E04BF7"/>
    <w:rsid w:val="00E05463"/>
    <w:rsid w:val="00E10608"/>
    <w:rsid w:val="00E10A83"/>
    <w:rsid w:val="00E10C83"/>
    <w:rsid w:val="00E11539"/>
    <w:rsid w:val="00E11923"/>
    <w:rsid w:val="00E205B2"/>
    <w:rsid w:val="00E20A09"/>
    <w:rsid w:val="00E20CC2"/>
    <w:rsid w:val="00E2300F"/>
    <w:rsid w:val="00E262D4"/>
    <w:rsid w:val="00E26FFD"/>
    <w:rsid w:val="00E3083E"/>
    <w:rsid w:val="00E30E23"/>
    <w:rsid w:val="00E32FE6"/>
    <w:rsid w:val="00E33233"/>
    <w:rsid w:val="00E34FB9"/>
    <w:rsid w:val="00E357F3"/>
    <w:rsid w:val="00E358F5"/>
    <w:rsid w:val="00E35912"/>
    <w:rsid w:val="00E36250"/>
    <w:rsid w:val="00E372AA"/>
    <w:rsid w:val="00E4028C"/>
    <w:rsid w:val="00E4072B"/>
    <w:rsid w:val="00E40E99"/>
    <w:rsid w:val="00E437EB"/>
    <w:rsid w:val="00E4454D"/>
    <w:rsid w:val="00E44F62"/>
    <w:rsid w:val="00E4654B"/>
    <w:rsid w:val="00E5008D"/>
    <w:rsid w:val="00E50AB0"/>
    <w:rsid w:val="00E5129C"/>
    <w:rsid w:val="00E52E99"/>
    <w:rsid w:val="00E54511"/>
    <w:rsid w:val="00E55170"/>
    <w:rsid w:val="00E559FB"/>
    <w:rsid w:val="00E56323"/>
    <w:rsid w:val="00E57407"/>
    <w:rsid w:val="00E578B9"/>
    <w:rsid w:val="00E60218"/>
    <w:rsid w:val="00E60D00"/>
    <w:rsid w:val="00E61D07"/>
    <w:rsid w:val="00E61DAC"/>
    <w:rsid w:val="00E6256E"/>
    <w:rsid w:val="00E6371F"/>
    <w:rsid w:val="00E6775C"/>
    <w:rsid w:val="00E67DEC"/>
    <w:rsid w:val="00E71A77"/>
    <w:rsid w:val="00E72B80"/>
    <w:rsid w:val="00E72B9F"/>
    <w:rsid w:val="00E72C9C"/>
    <w:rsid w:val="00E72F51"/>
    <w:rsid w:val="00E75C93"/>
    <w:rsid w:val="00E75FBA"/>
    <w:rsid w:val="00E75FE3"/>
    <w:rsid w:val="00E80059"/>
    <w:rsid w:val="00E810AA"/>
    <w:rsid w:val="00E8235D"/>
    <w:rsid w:val="00E86C4C"/>
    <w:rsid w:val="00E907A3"/>
    <w:rsid w:val="00E92D7A"/>
    <w:rsid w:val="00E9323C"/>
    <w:rsid w:val="00E9368F"/>
    <w:rsid w:val="00E93717"/>
    <w:rsid w:val="00E948C3"/>
    <w:rsid w:val="00E963A2"/>
    <w:rsid w:val="00E97625"/>
    <w:rsid w:val="00EA1E30"/>
    <w:rsid w:val="00EA33DE"/>
    <w:rsid w:val="00EA4B86"/>
    <w:rsid w:val="00EA5546"/>
    <w:rsid w:val="00EA5782"/>
    <w:rsid w:val="00EA5AE0"/>
    <w:rsid w:val="00EA6099"/>
    <w:rsid w:val="00EB01EF"/>
    <w:rsid w:val="00EB08A7"/>
    <w:rsid w:val="00EB2D5C"/>
    <w:rsid w:val="00EB3EEE"/>
    <w:rsid w:val="00EB5209"/>
    <w:rsid w:val="00EB7AB1"/>
    <w:rsid w:val="00EC3CFA"/>
    <w:rsid w:val="00EC4A67"/>
    <w:rsid w:val="00EC4B2E"/>
    <w:rsid w:val="00EC68EF"/>
    <w:rsid w:val="00EC7205"/>
    <w:rsid w:val="00ED093E"/>
    <w:rsid w:val="00ED2462"/>
    <w:rsid w:val="00ED38A9"/>
    <w:rsid w:val="00ED5F07"/>
    <w:rsid w:val="00ED60BA"/>
    <w:rsid w:val="00EE0D22"/>
    <w:rsid w:val="00EE1211"/>
    <w:rsid w:val="00EE1C4A"/>
    <w:rsid w:val="00EE1D6B"/>
    <w:rsid w:val="00EE2FFF"/>
    <w:rsid w:val="00EE3B14"/>
    <w:rsid w:val="00EE45AB"/>
    <w:rsid w:val="00EE4935"/>
    <w:rsid w:val="00EE6CAB"/>
    <w:rsid w:val="00EE7CD8"/>
    <w:rsid w:val="00EF16B3"/>
    <w:rsid w:val="00EF3E81"/>
    <w:rsid w:val="00EF4057"/>
    <w:rsid w:val="00EF46F0"/>
    <w:rsid w:val="00EF48CC"/>
    <w:rsid w:val="00EF530F"/>
    <w:rsid w:val="00EF7C7C"/>
    <w:rsid w:val="00F00801"/>
    <w:rsid w:val="00F02411"/>
    <w:rsid w:val="00F029AA"/>
    <w:rsid w:val="00F037DC"/>
    <w:rsid w:val="00F03A48"/>
    <w:rsid w:val="00F0513F"/>
    <w:rsid w:val="00F05CB6"/>
    <w:rsid w:val="00F0615F"/>
    <w:rsid w:val="00F0772F"/>
    <w:rsid w:val="00F117BE"/>
    <w:rsid w:val="00F11B05"/>
    <w:rsid w:val="00F12F38"/>
    <w:rsid w:val="00F13525"/>
    <w:rsid w:val="00F14BFC"/>
    <w:rsid w:val="00F179D6"/>
    <w:rsid w:val="00F2035B"/>
    <w:rsid w:val="00F20F66"/>
    <w:rsid w:val="00F2319D"/>
    <w:rsid w:val="00F260C4"/>
    <w:rsid w:val="00F27C58"/>
    <w:rsid w:val="00F3090F"/>
    <w:rsid w:val="00F320B4"/>
    <w:rsid w:val="00F33D58"/>
    <w:rsid w:val="00F4452E"/>
    <w:rsid w:val="00F468DC"/>
    <w:rsid w:val="00F46B12"/>
    <w:rsid w:val="00F475B9"/>
    <w:rsid w:val="00F51897"/>
    <w:rsid w:val="00F51967"/>
    <w:rsid w:val="00F51F44"/>
    <w:rsid w:val="00F52001"/>
    <w:rsid w:val="00F52A2D"/>
    <w:rsid w:val="00F53617"/>
    <w:rsid w:val="00F6036D"/>
    <w:rsid w:val="00F6130F"/>
    <w:rsid w:val="00F63552"/>
    <w:rsid w:val="00F64E20"/>
    <w:rsid w:val="00F6639E"/>
    <w:rsid w:val="00F66FB3"/>
    <w:rsid w:val="00F672E2"/>
    <w:rsid w:val="00F67970"/>
    <w:rsid w:val="00F7236E"/>
    <w:rsid w:val="00F727A0"/>
    <w:rsid w:val="00F73032"/>
    <w:rsid w:val="00F73CCF"/>
    <w:rsid w:val="00F73D18"/>
    <w:rsid w:val="00F743DF"/>
    <w:rsid w:val="00F75573"/>
    <w:rsid w:val="00F75CB4"/>
    <w:rsid w:val="00F75DA5"/>
    <w:rsid w:val="00F7769A"/>
    <w:rsid w:val="00F80788"/>
    <w:rsid w:val="00F80A53"/>
    <w:rsid w:val="00F81A85"/>
    <w:rsid w:val="00F83B75"/>
    <w:rsid w:val="00F8415D"/>
    <w:rsid w:val="00F848FC"/>
    <w:rsid w:val="00F855FD"/>
    <w:rsid w:val="00F87249"/>
    <w:rsid w:val="00F90E40"/>
    <w:rsid w:val="00F9282A"/>
    <w:rsid w:val="00F95A68"/>
    <w:rsid w:val="00F968C4"/>
    <w:rsid w:val="00F96BAD"/>
    <w:rsid w:val="00F9780F"/>
    <w:rsid w:val="00FA02DF"/>
    <w:rsid w:val="00FA139D"/>
    <w:rsid w:val="00FA52B6"/>
    <w:rsid w:val="00FA6045"/>
    <w:rsid w:val="00FA64C8"/>
    <w:rsid w:val="00FA7515"/>
    <w:rsid w:val="00FB0C98"/>
    <w:rsid w:val="00FB0E84"/>
    <w:rsid w:val="00FB1397"/>
    <w:rsid w:val="00FB3244"/>
    <w:rsid w:val="00FB34C2"/>
    <w:rsid w:val="00FB630C"/>
    <w:rsid w:val="00FC3697"/>
    <w:rsid w:val="00FC4054"/>
    <w:rsid w:val="00FC43BD"/>
    <w:rsid w:val="00FD01C2"/>
    <w:rsid w:val="00FD12D8"/>
    <w:rsid w:val="00FD306C"/>
    <w:rsid w:val="00FD5228"/>
    <w:rsid w:val="00FE0015"/>
    <w:rsid w:val="00FE01CC"/>
    <w:rsid w:val="00FE0BD0"/>
    <w:rsid w:val="00FE15B8"/>
    <w:rsid w:val="00FE1691"/>
    <w:rsid w:val="00FE1BBB"/>
    <w:rsid w:val="00FE2F13"/>
    <w:rsid w:val="00FE4EE1"/>
    <w:rsid w:val="00FE595C"/>
    <w:rsid w:val="00FE7138"/>
    <w:rsid w:val="00FE713A"/>
    <w:rsid w:val="00FF0CE3"/>
    <w:rsid w:val="00FF129E"/>
    <w:rsid w:val="00FF1C36"/>
    <w:rsid w:val="00FF21BE"/>
    <w:rsid w:val="00FF229E"/>
    <w:rsid w:val="00FF37E3"/>
    <w:rsid w:val="00FF6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4F0BBA"/>
  <w15:docId w15:val="{4F886F2F-42D1-41BE-AC0B-1EDA2FB3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62"/>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D23946"/>
    <w:pPr>
      <w:tabs>
        <w:tab w:val="left" w:pos="792"/>
        <w:tab w:val="left" w:pos="1195"/>
        <w:tab w:val="left" w:pos="1584"/>
        <w:tab w:val="left" w:pos="1987"/>
        <w:tab w:val="left" w:pos="4853"/>
        <w:tab w:val="right" w:pos="9691"/>
      </w:tabs>
      <w:spacing w:before="136"/>
      <w:jc w:val="both"/>
    </w:pPr>
    <w:rPr>
      <w:rFonts w:eastAsia="MS Mincho"/>
      <w:sz w:val="20"/>
      <w:lang w:val="en-CA" w:eastAsia="ja-JP"/>
    </w:rPr>
  </w:style>
  <w:style w:type="paragraph" w:styleId="Heading1">
    <w:name w:val="heading 1"/>
    <w:basedOn w:val="Normal"/>
    <w:next w:val="Normal"/>
    <w:link w:val="Heading1Char"/>
    <w:qFormat/>
    <w:rsid w:val="003A22E3"/>
    <w:pPr>
      <w:keepNext/>
      <w:numPr>
        <w:numId w:val="6"/>
      </w:numPr>
      <w:spacing w:before="240" w:after="60"/>
      <w:outlineLvl w:val="0"/>
    </w:pPr>
    <w:rPr>
      <w:rFonts w:cs="Arial"/>
      <w:b/>
      <w:bCs/>
      <w:kern w:val="32"/>
      <w:sz w:val="24"/>
      <w:szCs w:val="32"/>
    </w:rPr>
  </w:style>
  <w:style w:type="paragraph" w:styleId="Heading2">
    <w:name w:val="heading 2"/>
    <w:basedOn w:val="Normal"/>
    <w:next w:val="Normal"/>
    <w:link w:val="Heading2Char"/>
    <w:uiPriority w:val="99"/>
    <w:qFormat/>
    <w:rsid w:val="003A22E3"/>
    <w:pPr>
      <w:keepNext/>
      <w:keepLines/>
      <w:numPr>
        <w:ilvl w:val="1"/>
        <w:numId w:val="6"/>
      </w:numPr>
      <w:spacing w:before="313"/>
      <w:ind w:left="0" w:firstLine="0"/>
      <w:outlineLvl w:val="1"/>
    </w:pPr>
    <w:rPr>
      <w:b/>
      <w:bCs/>
      <w:iCs/>
      <w:sz w:val="22"/>
      <w:szCs w:val="28"/>
    </w:rPr>
  </w:style>
  <w:style w:type="paragraph" w:styleId="Heading3">
    <w:name w:val="heading 3"/>
    <w:aliases w:val="H3,H31,h3"/>
    <w:basedOn w:val="Normal"/>
    <w:next w:val="Normal"/>
    <w:link w:val="Heading3Char"/>
    <w:uiPriority w:val="99"/>
    <w:qFormat/>
    <w:rsid w:val="003A22E3"/>
    <w:pPr>
      <w:keepNext/>
      <w:keepLines/>
      <w:numPr>
        <w:ilvl w:val="2"/>
        <w:numId w:val="6"/>
      </w:numPr>
      <w:tabs>
        <w:tab w:val="left" w:pos="720"/>
      </w:tabs>
      <w:spacing w:before="181"/>
      <w:outlineLvl w:val="2"/>
    </w:pPr>
    <w:rPr>
      <w:b/>
      <w:bCs/>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3A22E3"/>
    <w:pPr>
      <w:keepNext/>
      <w:numPr>
        <w:ilvl w:val="3"/>
        <w:numId w:val="6"/>
      </w:numPr>
      <w:spacing w:before="240" w:after="60"/>
      <w:ind w:right="1008"/>
      <w:outlineLvl w:val="3"/>
    </w:pPr>
    <w:rPr>
      <w:rFonts w:ascii="Times New Roman Bold" w:hAnsi="Times New Roman Bold"/>
      <w:b/>
      <w:bCs/>
      <w:szCs w:val="28"/>
    </w:rPr>
  </w:style>
  <w:style w:type="paragraph" w:styleId="Heading5">
    <w:name w:val="heading 5"/>
    <w:aliases w:val="H5,H51,h5"/>
    <w:basedOn w:val="Normal"/>
    <w:next w:val="Normal"/>
    <w:link w:val="Heading5Char"/>
    <w:uiPriority w:val="99"/>
    <w:qFormat/>
    <w:rsid w:val="003A22E3"/>
    <w:pPr>
      <w:keepNext/>
      <w:numPr>
        <w:ilvl w:val="4"/>
        <w:numId w:val="6"/>
      </w:numPr>
      <w:spacing w:before="240" w:after="60"/>
      <w:outlineLvl w:val="4"/>
    </w:pPr>
    <w:rPr>
      <w:b/>
      <w:bCs/>
      <w:iCs/>
      <w:szCs w:val="26"/>
    </w:rPr>
  </w:style>
  <w:style w:type="paragraph" w:styleId="Heading6">
    <w:name w:val="heading 6"/>
    <w:aliases w:val="H6,H61,h6"/>
    <w:basedOn w:val="Normal"/>
    <w:next w:val="Normal"/>
    <w:link w:val="Heading6Char"/>
    <w:uiPriority w:val="99"/>
    <w:qFormat/>
    <w:rsid w:val="003A22E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3A22E3"/>
    <w:pPr>
      <w:keepNext/>
      <w:numPr>
        <w:ilvl w:val="6"/>
        <w:numId w:val="6"/>
      </w:numPr>
      <w:spacing w:before="240" w:after="60"/>
      <w:outlineLvl w:val="6"/>
    </w:pPr>
  </w:style>
  <w:style w:type="paragraph" w:styleId="Heading8">
    <w:name w:val="heading 8"/>
    <w:basedOn w:val="Normal"/>
    <w:next w:val="Normal"/>
    <w:link w:val="Heading8Char"/>
    <w:qFormat/>
    <w:rsid w:val="003A22E3"/>
    <w:pPr>
      <w:keepNext/>
      <w:numPr>
        <w:ilvl w:val="7"/>
        <w:numId w:val="6"/>
      </w:numPr>
      <w:tabs>
        <w:tab w:val="left" w:pos="1800"/>
      </w:tabs>
      <w:spacing w:before="240" w:after="60"/>
      <w:outlineLvl w:val="7"/>
    </w:pPr>
    <w:rPr>
      <w:i/>
      <w:iCs/>
    </w:rPr>
  </w:style>
  <w:style w:type="paragraph" w:styleId="Heading9">
    <w:name w:val="heading 9"/>
    <w:basedOn w:val="Normal"/>
    <w:next w:val="Normal"/>
    <w:link w:val="Heading9Char"/>
    <w:qFormat/>
    <w:rsid w:val="003A22E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semiHidden/>
    <w:rsid w:val="009336F7"/>
    <w:rPr>
      <w:rFonts w:ascii="Tahoma" w:hAnsi="Tahoma" w:cs="Tahoma"/>
      <w:sz w:val="16"/>
      <w:szCs w:val="16"/>
    </w:rPr>
  </w:style>
  <w:style w:type="character" w:customStyle="1" w:styleId="Heading2Char">
    <w:name w:val="Heading 2 Char"/>
    <w:link w:val="Heading2"/>
    <w:uiPriority w:val="99"/>
    <w:rsid w:val="003A22E3"/>
    <w:rPr>
      <w:rFonts w:eastAsia="MS Mincho"/>
      <w:b/>
      <w:bCs/>
      <w:iCs/>
      <w:sz w:val="22"/>
      <w:szCs w:val="28"/>
      <w:lang w:val="en-CA" w:eastAsia="ja-JP"/>
    </w:rPr>
  </w:style>
  <w:style w:type="character" w:customStyle="1" w:styleId="Heading3Char">
    <w:name w:val="Heading 3 Char"/>
    <w:aliases w:val="H3 Char,H31 Char,h3 Char"/>
    <w:link w:val="Heading3"/>
    <w:uiPriority w:val="99"/>
    <w:rsid w:val="003A22E3"/>
    <w:rPr>
      <w:rFonts w:eastAsia="MS Mincho"/>
      <w:b/>
      <w:bCs/>
      <w:sz w:val="20"/>
      <w:szCs w:val="26"/>
      <w:lang w:val="en-CA" w:eastAsia="ja-JP"/>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rsid w:val="007E62E5"/>
    <w:rPr>
      <w:rFonts w:ascii="Times New Roman Bold" w:eastAsia="MS Mincho" w:hAnsi="Times New Roman Bold"/>
      <w:b/>
      <w:bCs/>
      <w:sz w:val="20"/>
      <w:szCs w:val="28"/>
      <w:lang w:val="en-CA" w:eastAsia="ja-JP"/>
    </w:rPr>
  </w:style>
  <w:style w:type="character" w:customStyle="1" w:styleId="Heading5Char">
    <w:name w:val="Heading 5 Char"/>
    <w:aliases w:val="H5 Char,H51 Char,h5 Char"/>
    <w:link w:val="Heading5"/>
    <w:uiPriority w:val="99"/>
    <w:rsid w:val="007E62E5"/>
    <w:rPr>
      <w:rFonts w:eastAsia="MS Mincho"/>
      <w:b/>
      <w:bCs/>
      <w:iCs/>
      <w:sz w:val="20"/>
      <w:szCs w:val="26"/>
      <w:lang w:val="en-CA" w:eastAsia="ja-JP"/>
    </w:rPr>
  </w:style>
  <w:style w:type="character" w:customStyle="1" w:styleId="Heading6Char">
    <w:name w:val="Heading 6 Char"/>
    <w:aliases w:val="H6 Char,H61 Char,h6 Char"/>
    <w:link w:val="Heading6"/>
    <w:uiPriority w:val="99"/>
    <w:rsid w:val="000E00F3"/>
    <w:rPr>
      <w:rFonts w:eastAsia="MS Mincho"/>
      <w:b/>
      <w:bCs/>
      <w:sz w:val="20"/>
      <w:szCs w:val="22"/>
      <w:lang w:val="en-CA" w:eastAsia="ja-JP"/>
    </w:rPr>
  </w:style>
  <w:style w:type="character" w:customStyle="1" w:styleId="Heading7Char">
    <w:name w:val="Heading 7 Char"/>
    <w:link w:val="Heading7"/>
    <w:rsid w:val="004234F0"/>
    <w:rPr>
      <w:rFonts w:eastAsia="MS Mincho"/>
      <w:sz w:val="20"/>
      <w:lang w:val="en-CA" w:eastAsia="ja-JP"/>
    </w:rPr>
  </w:style>
  <w:style w:type="character" w:customStyle="1" w:styleId="Heading8Char">
    <w:name w:val="Heading 8 Char"/>
    <w:link w:val="Heading8"/>
    <w:rsid w:val="004234F0"/>
    <w:rPr>
      <w:rFonts w:eastAsia="MS Mincho"/>
      <w:i/>
      <w:iCs/>
      <w:sz w:val="20"/>
      <w:lang w:val="en-CA" w:eastAsia="ja-JP"/>
    </w:rPr>
  </w:style>
  <w:style w:type="character" w:customStyle="1" w:styleId="Heading9Char">
    <w:name w:val="Heading 9 Char"/>
    <w:link w:val="Heading9"/>
    <w:rsid w:val="000E00F3"/>
    <w:rPr>
      <w:rFonts w:eastAsia="MS Mincho"/>
      <w:b/>
      <w:sz w:val="20"/>
      <w:szCs w:val="22"/>
      <w:lang w:val="en-CA" w:eastAsia="ja-JP"/>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BodyTextIndent">
    <w:name w:val="Body Text Indent"/>
    <w:basedOn w:val="Normal"/>
    <w:link w:val="BodyTextIndentChar"/>
    <w:rsid w:val="0028399C"/>
    <w:pPr>
      <w:spacing w:before="120"/>
      <w:ind w:left="360"/>
    </w:pPr>
    <w:rPr>
      <w:rFonts w:eastAsia="SimSun"/>
      <w:lang w:val="en-GB"/>
    </w:rPr>
  </w:style>
  <w:style w:type="character" w:customStyle="1" w:styleId="BodyTextIndentChar">
    <w:name w:val="Body Text Indent Char"/>
    <w:link w:val="BodyTextIndent"/>
    <w:rsid w:val="0028399C"/>
    <w:rPr>
      <w:rFonts w:eastAsia="SimSun"/>
      <w:szCs w:val="24"/>
      <w:lang w:val="en-GB" w:eastAsia="ja-JP"/>
    </w:rPr>
  </w:style>
  <w:style w:type="table" w:styleId="TableGrid">
    <w:name w:val="Table Grid"/>
    <w:basedOn w:val="TableNormal"/>
    <w:rsid w:val="0028399C"/>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uiPriority w:val="39"/>
    <w:qFormat/>
    <w:rsid w:val="00B74A51"/>
    <w:pPr>
      <w:tabs>
        <w:tab w:val="clear" w:pos="792"/>
        <w:tab w:val="clear" w:pos="1195"/>
        <w:tab w:val="clear" w:pos="1584"/>
        <w:tab w:val="clear" w:pos="1987"/>
        <w:tab w:val="clear" w:pos="4853"/>
        <w:tab w:val="right" w:leader="dot" w:pos="9691"/>
      </w:tabs>
      <w:spacing w:before="120"/>
      <w:jc w:val="left"/>
    </w:pPr>
    <w:rPr>
      <w:rFonts w:asciiTheme="minorHAnsi" w:hAnsiTheme="minorHAnsi"/>
      <w:b/>
      <w:caps/>
      <w:sz w:val="22"/>
      <w:szCs w:val="22"/>
    </w:rPr>
  </w:style>
  <w:style w:type="paragraph" w:styleId="TOC2">
    <w:name w:val="toc 2"/>
    <w:basedOn w:val="TOC1"/>
    <w:uiPriority w:val="39"/>
    <w:rsid w:val="0028399C"/>
    <w:pPr>
      <w:spacing w:before="0"/>
      <w:ind w:left="200"/>
    </w:pPr>
    <w:rPr>
      <w:b w:val="0"/>
      <w:caps w:val="0"/>
      <w:smallCaps/>
    </w:rPr>
  </w:style>
  <w:style w:type="paragraph" w:styleId="TOC3">
    <w:name w:val="toc 3"/>
    <w:basedOn w:val="TOC2"/>
    <w:uiPriority w:val="39"/>
    <w:rsid w:val="0028399C"/>
    <w:pPr>
      <w:ind w:left="400"/>
    </w:pPr>
    <w:rPr>
      <w:i/>
      <w:smallCaps w:val="0"/>
    </w:rPr>
  </w:style>
  <w:style w:type="paragraph" w:styleId="CommentText">
    <w:name w:val="annotation text"/>
    <w:basedOn w:val="Normal"/>
    <w:link w:val="CommentTextChar"/>
    <w:uiPriority w:val="99"/>
    <w:rsid w:val="0028399C"/>
    <w:pPr>
      <w:spacing w:before="120"/>
    </w:pPr>
    <w:rPr>
      <w:lang w:val="en-GB"/>
    </w:rPr>
  </w:style>
  <w:style w:type="character" w:customStyle="1" w:styleId="CommentTextChar">
    <w:name w:val="Comment Text Char"/>
    <w:link w:val="CommentText"/>
    <w:uiPriority w:val="99"/>
    <w:rsid w:val="0028399C"/>
    <w:rPr>
      <w:szCs w:val="24"/>
      <w:lang w:val="en-GB"/>
    </w:rPr>
  </w:style>
  <w:style w:type="character" w:styleId="CommentReference">
    <w:name w:val="annotation reference"/>
    <w:uiPriority w:val="99"/>
    <w:rsid w:val="0028399C"/>
    <w:rPr>
      <w:sz w:val="16"/>
    </w:rPr>
  </w:style>
  <w:style w:type="paragraph" w:customStyle="1" w:styleId="Rectitle">
    <w:name w:val="Rec_title"/>
    <w:basedOn w:val="Normal"/>
    <w:next w:val="Normal"/>
    <w:rsid w:val="0028399C"/>
    <w:pPr>
      <w:keepNext/>
      <w:keepLines/>
      <w:tabs>
        <w:tab w:val="clear" w:pos="792"/>
        <w:tab w:val="clear" w:pos="1195"/>
        <w:tab w:val="clear" w:pos="1584"/>
        <w:tab w:val="clear" w:pos="1987"/>
        <w:tab w:val="left" w:pos="794"/>
        <w:tab w:val="left" w:pos="1191"/>
        <w:tab w:val="left" w:pos="1588"/>
        <w:tab w:val="left" w:pos="1985"/>
      </w:tabs>
      <w:spacing w:before="360"/>
      <w:jc w:val="center"/>
    </w:pPr>
    <w:rPr>
      <w:rFonts w:eastAsia="SimSun"/>
      <w:b/>
      <w:sz w:val="28"/>
      <w:lang w:val="en-GB"/>
    </w:rPr>
  </w:style>
  <w:style w:type="paragraph" w:customStyle="1" w:styleId="RecNo">
    <w:name w:val="Rec_No"/>
    <w:basedOn w:val="Normal"/>
    <w:next w:val="Normal"/>
    <w:rsid w:val="0028399C"/>
    <w:pPr>
      <w:keepNext/>
      <w:keepLines/>
      <w:tabs>
        <w:tab w:val="clear" w:pos="792"/>
        <w:tab w:val="clear" w:pos="1195"/>
        <w:tab w:val="clear" w:pos="1584"/>
        <w:tab w:val="clear" w:pos="1987"/>
        <w:tab w:val="left" w:pos="794"/>
        <w:tab w:val="left" w:pos="1191"/>
        <w:tab w:val="left" w:pos="1588"/>
        <w:tab w:val="left" w:pos="1985"/>
      </w:tabs>
      <w:spacing w:before="0"/>
    </w:pPr>
    <w:rPr>
      <w:rFonts w:eastAsia="SimSun"/>
      <w:b/>
      <w:sz w:val="28"/>
      <w:lang w:val="en-GB"/>
    </w:rPr>
  </w:style>
  <w:style w:type="paragraph" w:styleId="TOC4">
    <w:name w:val="toc 4"/>
    <w:basedOn w:val="Normal"/>
    <w:next w:val="Normal"/>
    <w:autoRedefine/>
    <w:rsid w:val="0028399C"/>
    <w:pPr>
      <w:tabs>
        <w:tab w:val="clear" w:pos="792"/>
        <w:tab w:val="clear" w:pos="1195"/>
        <w:tab w:val="clear" w:pos="1584"/>
        <w:tab w:val="clear" w:pos="1987"/>
        <w:tab w:val="clear" w:pos="4853"/>
        <w:tab w:val="clear" w:pos="9691"/>
      </w:tabs>
      <w:spacing w:before="0"/>
      <w:ind w:left="600"/>
      <w:jc w:val="left"/>
    </w:pPr>
    <w:rPr>
      <w:rFonts w:asciiTheme="minorHAnsi" w:hAnsiTheme="minorHAnsi"/>
      <w:sz w:val="18"/>
      <w:szCs w:val="18"/>
    </w:rPr>
  </w:style>
  <w:style w:type="paragraph" w:styleId="TOC5">
    <w:name w:val="toc 5"/>
    <w:basedOn w:val="Normal"/>
    <w:next w:val="Normal"/>
    <w:autoRedefine/>
    <w:rsid w:val="0028399C"/>
    <w:pPr>
      <w:tabs>
        <w:tab w:val="clear" w:pos="792"/>
        <w:tab w:val="clear" w:pos="1195"/>
        <w:tab w:val="clear" w:pos="1584"/>
        <w:tab w:val="clear" w:pos="1987"/>
        <w:tab w:val="clear" w:pos="4853"/>
        <w:tab w:val="clear" w:pos="9691"/>
      </w:tabs>
      <w:spacing w:before="0"/>
      <w:ind w:left="800"/>
      <w:jc w:val="left"/>
    </w:pPr>
    <w:rPr>
      <w:rFonts w:asciiTheme="minorHAnsi" w:hAnsiTheme="minorHAnsi"/>
      <w:sz w:val="18"/>
      <w:szCs w:val="18"/>
    </w:rPr>
  </w:style>
  <w:style w:type="paragraph" w:styleId="TOC6">
    <w:name w:val="toc 6"/>
    <w:basedOn w:val="Normal"/>
    <w:next w:val="Normal"/>
    <w:autoRedefine/>
    <w:rsid w:val="0028399C"/>
    <w:pPr>
      <w:tabs>
        <w:tab w:val="clear" w:pos="792"/>
        <w:tab w:val="clear" w:pos="1195"/>
        <w:tab w:val="clear" w:pos="1584"/>
        <w:tab w:val="clear" w:pos="1987"/>
        <w:tab w:val="clear" w:pos="4853"/>
        <w:tab w:val="clear" w:pos="9691"/>
      </w:tabs>
      <w:spacing w:before="0"/>
      <w:ind w:left="1000"/>
      <w:jc w:val="left"/>
    </w:pPr>
    <w:rPr>
      <w:rFonts w:asciiTheme="minorHAnsi" w:hAnsiTheme="minorHAnsi"/>
      <w:sz w:val="18"/>
      <w:szCs w:val="18"/>
    </w:rPr>
  </w:style>
  <w:style w:type="paragraph" w:styleId="TOC7">
    <w:name w:val="toc 7"/>
    <w:basedOn w:val="Normal"/>
    <w:next w:val="Normal"/>
    <w:autoRedefine/>
    <w:rsid w:val="0028399C"/>
    <w:pPr>
      <w:tabs>
        <w:tab w:val="clear" w:pos="792"/>
        <w:tab w:val="clear" w:pos="1195"/>
        <w:tab w:val="clear" w:pos="1584"/>
        <w:tab w:val="clear" w:pos="1987"/>
        <w:tab w:val="clear" w:pos="4853"/>
        <w:tab w:val="clear" w:pos="9691"/>
      </w:tabs>
      <w:spacing w:before="0"/>
      <w:ind w:left="1200"/>
      <w:jc w:val="left"/>
    </w:pPr>
    <w:rPr>
      <w:rFonts w:asciiTheme="minorHAnsi" w:hAnsiTheme="minorHAnsi"/>
      <w:sz w:val="18"/>
      <w:szCs w:val="18"/>
    </w:rPr>
  </w:style>
  <w:style w:type="paragraph" w:styleId="TOC8">
    <w:name w:val="toc 8"/>
    <w:basedOn w:val="Normal"/>
    <w:next w:val="Normal"/>
    <w:autoRedefine/>
    <w:rsid w:val="0028399C"/>
    <w:pPr>
      <w:tabs>
        <w:tab w:val="clear" w:pos="792"/>
        <w:tab w:val="clear" w:pos="1195"/>
        <w:tab w:val="clear" w:pos="1584"/>
        <w:tab w:val="clear" w:pos="1987"/>
        <w:tab w:val="clear" w:pos="4853"/>
        <w:tab w:val="clear" w:pos="9691"/>
      </w:tabs>
      <w:spacing w:before="0"/>
      <w:ind w:left="1400"/>
      <w:jc w:val="left"/>
    </w:pPr>
    <w:rPr>
      <w:rFonts w:asciiTheme="minorHAnsi" w:hAnsiTheme="minorHAnsi"/>
      <w:sz w:val="18"/>
      <w:szCs w:val="18"/>
    </w:rPr>
  </w:style>
  <w:style w:type="paragraph" w:styleId="TOC9">
    <w:name w:val="toc 9"/>
    <w:basedOn w:val="Normal"/>
    <w:next w:val="Normal"/>
    <w:autoRedefine/>
    <w:rsid w:val="0028399C"/>
    <w:pPr>
      <w:tabs>
        <w:tab w:val="clear" w:pos="792"/>
        <w:tab w:val="clear" w:pos="1195"/>
        <w:tab w:val="clear" w:pos="1584"/>
        <w:tab w:val="clear" w:pos="1987"/>
        <w:tab w:val="clear" w:pos="4853"/>
        <w:tab w:val="clear" w:pos="9691"/>
      </w:tabs>
      <w:spacing w:before="0"/>
      <w:ind w:left="1600"/>
      <w:jc w:val="left"/>
    </w:pPr>
    <w:rPr>
      <w:rFonts w:asciiTheme="minorHAnsi" w:hAnsiTheme="minorHAnsi"/>
      <w:sz w:val="18"/>
      <w:szCs w:val="18"/>
    </w:rPr>
  </w:style>
  <w:style w:type="paragraph" w:customStyle="1" w:styleId="FigureNotitle">
    <w:name w:val="Figure_No &amp; title"/>
    <w:basedOn w:val="Normal"/>
    <w:next w:val="Normal"/>
    <w:link w:val="FigureNotitleCar"/>
    <w:qFormat/>
    <w:rsid w:val="0028399C"/>
    <w:pPr>
      <w:keepLines/>
      <w:tabs>
        <w:tab w:val="clear" w:pos="792"/>
        <w:tab w:val="clear" w:pos="1195"/>
        <w:tab w:val="clear" w:pos="1584"/>
        <w:tab w:val="clear" w:pos="1987"/>
        <w:tab w:val="left" w:pos="794"/>
        <w:tab w:val="left" w:pos="1191"/>
        <w:tab w:val="left" w:pos="1588"/>
        <w:tab w:val="left" w:pos="1985"/>
      </w:tabs>
      <w:spacing w:before="240" w:after="120"/>
      <w:jc w:val="center"/>
    </w:pPr>
    <w:rPr>
      <w:rFonts w:eastAsia="SimSun"/>
      <w:b/>
      <w:lang w:val="en-GB"/>
    </w:rPr>
  </w:style>
  <w:style w:type="paragraph" w:styleId="CommentSubject">
    <w:name w:val="annotation subject"/>
    <w:basedOn w:val="CommentText"/>
    <w:next w:val="CommentText"/>
    <w:link w:val="CommentSubjectChar"/>
    <w:rsid w:val="0028399C"/>
    <w:rPr>
      <w:b/>
      <w:bCs/>
      <w:lang w:eastAsia="zh-CN"/>
    </w:rPr>
  </w:style>
  <w:style w:type="character" w:customStyle="1" w:styleId="CommentSubjectChar">
    <w:name w:val="Comment Subject Char"/>
    <w:link w:val="CommentSubject"/>
    <w:rsid w:val="0028399C"/>
    <w:rPr>
      <w:rFonts w:eastAsia="MS Mincho"/>
      <w:b/>
      <w:bCs/>
      <w:szCs w:val="24"/>
      <w:lang w:val="en-GB" w:eastAsia="zh-CN"/>
    </w:rPr>
  </w:style>
  <w:style w:type="paragraph" w:customStyle="1" w:styleId="TableNotitle">
    <w:name w:val="Table_No &amp; title"/>
    <w:basedOn w:val="Normal"/>
    <w:next w:val="Normal"/>
    <w:link w:val="TableNotitleCar"/>
    <w:qFormat/>
    <w:rsid w:val="0028399C"/>
    <w:pPr>
      <w:keepNext/>
      <w:keepLines/>
      <w:tabs>
        <w:tab w:val="clear" w:pos="792"/>
        <w:tab w:val="clear" w:pos="1195"/>
        <w:tab w:val="clear" w:pos="1584"/>
        <w:tab w:val="clear" w:pos="1987"/>
        <w:tab w:val="left" w:pos="794"/>
        <w:tab w:val="left" w:pos="1191"/>
        <w:tab w:val="left" w:pos="1588"/>
        <w:tab w:val="left" w:pos="1985"/>
      </w:tabs>
      <w:spacing w:before="360" w:after="120"/>
      <w:jc w:val="center"/>
    </w:pPr>
    <w:rPr>
      <w:rFonts w:eastAsia="SimSun"/>
      <w:b/>
      <w:lang w:val="en-GB"/>
    </w:rPr>
  </w:style>
  <w:style w:type="paragraph" w:customStyle="1" w:styleId="Headingb">
    <w:name w:val="Heading_b"/>
    <w:basedOn w:val="Normal"/>
    <w:next w:val="Normal"/>
    <w:qFormat/>
    <w:rsid w:val="0028399C"/>
    <w:pPr>
      <w:keepNext/>
      <w:tabs>
        <w:tab w:val="clear" w:pos="792"/>
        <w:tab w:val="clear" w:pos="1195"/>
        <w:tab w:val="clear" w:pos="1584"/>
        <w:tab w:val="clear" w:pos="1987"/>
        <w:tab w:val="left" w:pos="794"/>
        <w:tab w:val="left" w:pos="1191"/>
        <w:tab w:val="left" w:pos="1588"/>
        <w:tab w:val="left" w:pos="1985"/>
      </w:tabs>
      <w:spacing w:before="160"/>
    </w:pPr>
    <w:rPr>
      <w:rFonts w:eastAsia="SimSun"/>
      <w:b/>
      <w:lang w:val="en-GB"/>
    </w:rPr>
  </w:style>
  <w:style w:type="paragraph" w:customStyle="1" w:styleId="AppendixNotitle">
    <w:name w:val="Appendix_No &amp; title"/>
    <w:basedOn w:val="Normal"/>
    <w:next w:val="Normal"/>
    <w:link w:val="AppendixNotitleChar"/>
    <w:rsid w:val="0028399C"/>
    <w:pPr>
      <w:keepNext/>
      <w:keepLines/>
      <w:tabs>
        <w:tab w:val="clear" w:pos="792"/>
        <w:tab w:val="clear" w:pos="1195"/>
        <w:tab w:val="clear" w:pos="1584"/>
        <w:tab w:val="clear" w:pos="1987"/>
        <w:tab w:val="left" w:pos="794"/>
        <w:tab w:val="left" w:pos="1191"/>
        <w:tab w:val="left" w:pos="1588"/>
        <w:tab w:val="left" w:pos="1985"/>
      </w:tabs>
      <w:spacing w:before="480"/>
      <w:jc w:val="center"/>
    </w:pPr>
    <w:rPr>
      <w:b/>
      <w:sz w:val="28"/>
      <w:lang w:val="en-GB"/>
    </w:rPr>
  </w:style>
  <w:style w:type="paragraph" w:styleId="Caption">
    <w:name w:val="caption"/>
    <w:basedOn w:val="Normal"/>
    <w:next w:val="Normal"/>
    <w:link w:val="CaptionChar"/>
    <w:qFormat/>
    <w:rsid w:val="0028399C"/>
    <w:pPr>
      <w:spacing w:before="120" w:after="120"/>
      <w:jc w:val="center"/>
    </w:pPr>
    <w:rPr>
      <w:rFonts w:eastAsia="SimSun"/>
      <w:b/>
      <w:bCs/>
      <w:lang w:val="fr-FR"/>
    </w:rPr>
  </w:style>
  <w:style w:type="character" w:customStyle="1" w:styleId="Heading1Char">
    <w:name w:val="Heading 1 Char"/>
    <w:link w:val="Heading1"/>
    <w:rsid w:val="00285002"/>
    <w:rPr>
      <w:rFonts w:eastAsia="MS Mincho" w:cs="Arial"/>
      <w:b/>
      <w:bCs/>
      <w:kern w:val="32"/>
      <w:szCs w:val="32"/>
      <w:lang w:val="en-CA" w:eastAsia="ja-JP"/>
    </w:rPr>
  </w:style>
  <w:style w:type="paragraph" w:styleId="List2">
    <w:name w:val="List 2"/>
    <w:basedOn w:val="Normal"/>
    <w:rsid w:val="0028399C"/>
    <w:pPr>
      <w:tabs>
        <w:tab w:val="clear" w:pos="792"/>
        <w:tab w:val="clear" w:pos="1195"/>
        <w:tab w:val="clear" w:pos="1584"/>
        <w:tab w:val="clear" w:pos="1987"/>
        <w:tab w:val="left" w:pos="794"/>
        <w:tab w:val="left" w:pos="1191"/>
        <w:tab w:val="left" w:pos="1588"/>
        <w:tab w:val="left" w:pos="1985"/>
      </w:tabs>
      <w:spacing w:before="120"/>
      <w:ind w:left="566" w:hanging="283"/>
    </w:pPr>
    <w:rPr>
      <w:lang w:val="en-GB"/>
    </w:rPr>
  </w:style>
  <w:style w:type="paragraph" w:styleId="List3">
    <w:name w:val="List 3"/>
    <w:basedOn w:val="Normal"/>
    <w:rsid w:val="0028399C"/>
    <w:pPr>
      <w:tabs>
        <w:tab w:val="clear" w:pos="792"/>
        <w:tab w:val="clear" w:pos="1195"/>
        <w:tab w:val="clear" w:pos="1584"/>
        <w:tab w:val="clear" w:pos="1987"/>
        <w:tab w:val="left" w:pos="794"/>
        <w:tab w:val="left" w:pos="1191"/>
        <w:tab w:val="left" w:pos="1588"/>
        <w:tab w:val="left" w:pos="1985"/>
      </w:tabs>
      <w:spacing w:before="120"/>
      <w:ind w:left="849" w:hanging="283"/>
    </w:pPr>
    <w:rPr>
      <w:lang w:val="en-GB"/>
    </w:rPr>
  </w:style>
  <w:style w:type="paragraph" w:styleId="List4">
    <w:name w:val="List 4"/>
    <w:basedOn w:val="Normal"/>
    <w:rsid w:val="0028399C"/>
    <w:pPr>
      <w:tabs>
        <w:tab w:val="clear" w:pos="792"/>
        <w:tab w:val="clear" w:pos="1195"/>
        <w:tab w:val="clear" w:pos="1584"/>
        <w:tab w:val="clear" w:pos="1987"/>
        <w:tab w:val="left" w:pos="794"/>
        <w:tab w:val="left" w:pos="1191"/>
        <w:tab w:val="left" w:pos="1588"/>
        <w:tab w:val="left" w:pos="1985"/>
      </w:tabs>
      <w:spacing w:before="120"/>
      <w:ind w:left="1132" w:hanging="283"/>
    </w:pPr>
    <w:rPr>
      <w:lang w:val="en-GB"/>
    </w:rPr>
  </w:style>
  <w:style w:type="paragraph" w:styleId="List5">
    <w:name w:val="List 5"/>
    <w:basedOn w:val="Normal"/>
    <w:rsid w:val="0028399C"/>
    <w:pPr>
      <w:tabs>
        <w:tab w:val="clear" w:pos="792"/>
        <w:tab w:val="clear" w:pos="1195"/>
        <w:tab w:val="clear" w:pos="1584"/>
        <w:tab w:val="clear" w:pos="1987"/>
        <w:tab w:val="left" w:pos="794"/>
        <w:tab w:val="left" w:pos="1191"/>
        <w:tab w:val="left" w:pos="1588"/>
        <w:tab w:val="left" w:pos="1985"/>
      </w:tabs>
      <w:spacing w:before="120"/>
      <w:ind w:left="1415" w:hanging="283"/>
    </w:pPr>
    <w:rPr>
      <w:lang w:val="en-GB"/>
    </w:rPr>
  </w:style>
  <w:style w:type="paragraph" w:customStyle="1" w:styleId="Tablehead">
    <w:name w:val="Table_head"/>
    <w:basedOn w:val="Normal"/>
    <w:next w:val="Normal"/>
    <w:rsid w:val="0028399C"/>
    <w:pPr>
      <w:keepNext/>
      <w:tabs>
        <w:tab w:val="clear" w:pos="1987"/>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80" w:after="80"/>
      <w:ind w:left="-57" w:right="-57"/>
      <w:jc w:val="center"/>
    </w:pPr>
    <w:rPr>
      <w:b/>
      <w:lang w:val="en-GB"/>
    </w:rPr>
  </w:style>
  <w:style w:type="paragraph" w:customStyle="1" w:styleId="Tabletext">
    <w:name w:val="Table_text"/>
    <w:basedOn w:val="Normal"/>
    <w:uiPriority w:val="99"/>
    <w:rsid w:val="0028399C"/>
    <w:pPr>
      <w:tabs>
        <w:tab w:val="clear" w:pos="1987"/>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lang w:val="en-GB"/>
    </w:rPr>
  </w:style>
  <w:style w:type="paragraph" w:styleId="BodyTextIndent2">
    <w:name w:val="Body Text Indent 2"/>
    <w:basedOn w:val="Normal"/>
    <w:link w:val="BodyTextIndent2Char"/>
    <w:rsid w:val="0028399C"/>
    <w:pPr>
      <w:widowControl w:val="0"/>
      <w:tabs>
        <w:tab w:val="clear" w:pos="1584"/>
        <w:tab w:val="left" w:pos="1560"/>
        <w:tab w:val="left" w:pos="6379"/>
      </w:tabs>
      <w:spacing w:before="0" w:line="240" w:lineRule="atLeast"/>
      <w:ind w:left="6379" w:hanging="4820"/>
    </w:pPr>
    <w:rPr>
      <w:rFonts w:ascii="Arial" w:hAnsi="Arial"/>
      <w:bCs/>
      <w:color w:val="000000"/>
      <w:sz w:val="18"/>
      <w:lang w:val="en-GB"/>
    </w:rPr>
  </w:style>
  <w:style w:type="character" w:customStyle="1" w:styleId="BodyTextIndent2Char">
    <w:name w:val="Body Text Indent 2 Char"/>
    <w:link w:val="BodyTextIndent2"/>
    <w:rsid w:val="0028399C"/>
    <w:rPr>
      <w:rFonts w:ascii="Arial" w:hAnsi="Arial"/>
      <w:bCs/>
      <w:color w:val="000000"/>
      <w:sz w:val="18"/>
      <w:szCs w:val="24"/>
      <w:lang w:val="en-GB"/>
    </w:rPr>
  </w:style>
  <w:style w:type="paragraph" w:styleId="BodyTextIndent3">
    <w:name w:val="Body Text Indent 3"/>
    <w:basedOn w:val="Normal"/>
    <w:link w:val="BodyTextIndent3Char"/>
    <w:rsid w:val="0028399C"/>
    <w:pPr>
      <w:widowControl w:val="0"/>
      <w:tabs>
        <w:tab w:val="clear" w:pos="1584"/>
        <w:tab w:val="left" w:pos="1560"/>
        <w:tab w:val="left" w:pos="6379"/>
      </w:tabs>
      <w:spacing w:before="0" w:line="240" w:lineRule="atLeast"/>
      <w:ind w:left="6379" w:hanging="4820"/>
    </w:pPr>
    <w:rPr>
      <w:rFonts w:ascii="Arial" w:hAnsi="Arial"/>
      <w:bCs/>
      <w:color w:val="FF0000"/>
      <w:sz w:val="18"/>
      <w:lang w:val="en-GB"/>
    </w:rPr>
  </w:style>
  <w:style w:type="character" w:customStyle="1" w:styleId="BodyTextIndent3Char">
    <w:name w:val="Body Text Indent 3 Char"/>
    <w:link w:val="BodyTextIndent3"/>
    <w:rsid w:val="0028399C"/>
    <w:rPr>
      <w:rFonts w:ascii="Arial" w:hAnsi="Arial"/>
      <w:bCs/>
      <w:color w:val="FF0000"/>
      <w:sz w:val="18"/>
      <w:szCs w:val="24"/>
      <w:lang w:val="en-GB"/>
    </w:rPr>
  </w:style>
  <w:style w:type="paragraph" w:styleId="NormalIndent">
    <w:name w:val="Normal Indent"/>
    <w:basedOn w:val="Normal"/>
    <w:rsid w:val="0028399C"/>
    <w:pPr>
      <w:tabs>
        <w:tab w:val="clear" w:pos="792"/>
        <w:tab w:val="clear" w:pos="1195"/>
        <w:tab w:val="clear" w:pos="1584"/>
        <w:tab w:val="clear" w:pos="1987"/>
        <w:tab w:val="left" w:pos="794"/>
        <w:tab w:val="left" w:pos="1191"/>
        <w:tab w:val="left" w:pos="1588"/>
        <w:tab w:val="left" w:pos="1985"/>
      </w:tabs>
      <w:spacing w:before="120"/>
      <w:ind w:left="708"/>
    </w:pPr>
    <w:rPr>
      <w:lang w:val="en-GB"/>
    </w:rPr>
  </w:style>
  <w:style w:type="paragraph" w:customStyle="1" w:styleId="Figure">
    <w:name w:val="Figure"/>
    <w:basedOn w:val="Normal"/>
    <w:next w:val="Normal"/>
    <w:rsid w:val="0028399C"/>
    <w:pPr>
      <w:keepNext/>
      <w:keepLines/>
      <w:tabs>
        <w:tab w:val="clear" w:pos="792"/>
        <w:tab w:val="clear" w:pos="1195"/>
        <w:tab w:val="clear" w:pos="1584"/>
        <w:tab w:val="clear" w:pos="1987"/>
        <w:tab w:val="left" w:pos="794"/>
        <w:tab w:val="left" w:pos="1191"/>
        <w:tab w:val="left" w:pos="1588"/>
        <w:tab w:val="left" w:pos="1985"/>
      </w:tabs>
      <w:spacing w:before="240" w:after="120"/>
      <w:jc w:val="center"/>
    </w:pPr>
    <w:rPr>
      <w:lang w:val="en-GB"/>
    </w:rPr>
  </w:style>
  <w:style w:type="character" w:customStyle="1" w:styleId="TableNotitleCar">
    <w:name w:val="Table_No &amp; title Car"/>
    <w:link w:val="TableNotitle"/>
    <w:rsid w:val="0028399C"/>
    <w:rPr>
      <w:rFonts w:eastAsia="SimSun"/>
      <w:b/>
      <w:lang w:val="en-GB" w:eastAsia="ja-JP"/>
    </w:rPr>
  </w:style>
  <w:style w:type="character" w:styleId="EndnoteReference">
    <w:name w:val="endnote reference"/>
    <w:rsid w:val="0028399C"/>
    <w:rPr>
      <w:vertAlign w:val="superscript"/>
    </w:rPr>
  </w:style>
  <w:style w:type="paragraph" w:customStyle="1" w:styleId="Note">
    <w:name w:val="Note"/>
    <w:basedOn w:val="Normal"/>
    <w:link w:val="NoteChar"/>
    <w:rsid w:val="0028399C"/>
    <w:pPr>
      <w:tabs>
        <w:tab w:val="clear" w:pos="792"/>
        <w:tab w:val="clear" w:pos="1195"/>
        <w:tab w:val="clear" w:pos="1584"/>
        <w:tab w:val="clear" w:pos="1987"/>
        <w:tab w:val="left" w:pos="794"/>
        <w:tab w:val="left" w:pos="1191"/>
        <w:tab w:val="left" w:pos="1588"/>
        <w:tab w:val="left" w:pos="1985"/>
      </w:tabs>
      <w:spacing w:before="80"/>
    </w:pPr>
    <w:rPr>
      <w:rFonts w:eastAsia="SimSun"/>
      <w:szCs w:val="18"/>
      <w:lang w:val="en-GB"/>
    </w:rPr>
  </w:style>
  <w:style w:type="paragraph" w:styleId="FootnoteText">
    <w:name w:val="footnote text"/>
    <w:aliases w:val="TesePUC - Texto da Nota"/>
    <w:basedOn w:val="Note"/>
    <w:link w:val="FootnoteTextChar"/>
    <w:rsid w:val="0028399C"/>
    <w:pPr>
      <w:keepLines/>
      <w:tabs>
        <w:tab w:val="left" w:pos="255"/>
      </w:tabs>
      <w:ind w:left="255" w:hanging="255"/>
    </w:pPr>
  </w:style>
  <w:style w:type="character" w:customStyle="1" w:styleId="FootnoteTextChar">
    <w:name w:val="Footnote Text Char"/>
    <w:aliases w:val="TesePUC - Texto da Nota Char"/>
    <w:link w:val="FootnoteText"/>
    <w:rsid w:val="0028399C"/>
    <w:rPr>
      <w:rFonts w:eastAsia="SimSun"/>
      <w:sz w:val="22"/>
      <w:szCs w:val="18"/>
      <w:lang w:val="en-GB"/>
    </w:rPr>
  </w:style>
  <w:style w:type="paragraph" w:styleId="Index1">
    <w:name w:val="index 1"/>
    <w:basedOn w:val="Normal"/>
    <w:next w:val="Normal"/>
    <w:rsid w:val="0028399C"/>
    <w:pPr>
      <w:tabs>
        <w:tab w:val="clear" w:pos="792"/>
        <w:tab w:val="clear" w:pos="1195"/>
        <w:tab w:val="clear" w:pos="1584"/>
        <w:tab w:val="clear" w:pos="1987"/>
        <w:tab w:val="left" w:pos="794"/>
        <w:tab w:val="left" w:pos="1191"/>
        <w:tab w:val="left" w:pos="1588"/>
        <w:tab w:val="left" w:pos="1985"/>
      </w:tabs>
      <w:spacing w:before="120"/>
    </w:pPr>
    <w:rPr>
      <w:rFonts w:eastAsia="SimSun"/>
      <w:lang w:val="en-GB"/>
    </w:rPr>
  </w:style>
  <w:style w:type="paragraph" w:styleId="Index2">
    <w:name w:val="index 2"/>
    <w:basedOn w:val="Normal"/>
    <w:next w:val="Normal"/>
    <w:rsid w:val="0028399C"/>
    <w:pPr>
      <w:tabs>
        <w:tab w:val="clear" w:pos="792"/>
        <w:tab w:val="clear" w:pos="1195"/>
        <w:tab w:val="clear" w:pos="1584"/>
        <w:tab w:val="clear" w:pos="1987"/>
        <w:tab w:val="left" w:pos="794"/>
        <w:tab w:val="left" w:pos="1191"/>
        <w:tab w:val="left" w:pos="1588"/>
        <w:tab w:val="left" w:pos="1985"/>
      </w:tabs>
      <w:spacing w:before="120"/>
      <w:ind w:left="283"/>
    </w:pPr>
    <w:rPr>
      <w:rFonts w:eastAsia="SimSun"/>
      <w:lang w:val="en-GB"/>
    </w:rPr>
  </w:style>
  <w:style w:type="paragraph" w:styleId="Index3">
    <w:name w:val="index 3"/>
    <w:basedOn w:val="Normal"/>
    <w:next w:val="Normal"/>
    <w:rsid w:val="0028399C"/>
    <w:pPr>
      <w:tabs>
        <w:tab w:val="clear" w:pos="792"/>
        <w:tab w:val="clear" w:pos="1195"/>
        <w:tab w:val="clear" w:pos="1584"/>
        <w:tab w:val="clear" w:pos="1987"/>
        <w:tab w:val="left" w:pos="794"/>
        <w:tab w:val="left" w:pos="1191"/>
        <w:tab w:val="left" w:pos="1588"/>
        <w:tab w:val="left" w:pos="1985"/>
      </w:tabs>
      <w:spacing w:before="120"/>
      <w:ind w:left="566"/>
    </w:pPr>
    <w:rPr>
      <w:rFonts w:eastAsia="SimSun"/>
      <w:lang w:val="en-GB"/>
    </w:rPr>
  </w:style>
  <w:style w:type="paragraph" w:customStyle="1" w:styleId="Reftext">
    <w:name w:val="Ref_text"/>
    <w:basedOn w:val="Normal"/>
    <w:rsid w:val="0028399C"/>
    <w:pPr>
      <w:spacing w:before="120"/>
      <w:ind w:left="2268" w:hanging="2268"/>
    </w:pPr>
    <w:rPr>
      <w:lang w:val="en-GB"/>
    </w:rPr>
  </w:style>
  <w:style w:type="character" w:customStyle="1" w:styleId="FigureNotitleCar">
    <w:name w:val="Figure_No &amp; title Car"/>
    <w:link w:val="FigureNotitle"/>
    <w:rsid w:val="0028399C"/>
    <w:rPr>
      <w:rFonts w:eastAsia="SimSun"/>
      <w:b/>
      <w:lang w:val="en-GB" w:eastAsia="ja-JP"/>
    </w:rPr>
  </w:style>
  <w:style w:type="paragraph" w:customStyle="1" w:styleId="toc0">
    <w:name w:val="toc 0"/>
    <w:basedOn w:val="Normal"/>
    <w:next w:val="TOC1"/>
    <w:rsid w:val="0028399C"/>
    <w:pPr>
      <w:tabs>
        <w:tab w:val="right" w:pos="9639"/>
      </w:tabs>
      <w:spacing w:before="120"/>
      <w:jc w:val="right"/>
    </w:pPr>
    <w:rPr>
      <w:rFonts w:eastAsia="SimSun"/>
      <w:b/>
      <w:lang w:val="en-GB"/>
    </w:rPr>
  </w:style>
  <w:style w:type="paragraph" w:styleId="PlainText">
    <w:name w:val="Plain Text"/>
    <w:basedOn w:val="Normal"/>
    <w:link w:val="PlainTextChar"/>
    <w:rsid w:val="0028399C"/>
    <w:pPr>
      <w:spacing w:before="0"/>
    </w:pPr>
    <w:rPr>
      <w:rFonts w:ascii="Courier New" w:eastAsia="SimSun" w:hAnsi="Courier New" w:cs="Courier New"/>
      <w:lang w:val="fr-FR"/>
    </w:rPr>
  </w:style>
  <w:style w:type="character" w:customStyle="1" w:styleId="PlainTextChar">
    <w:name w:val="Plain Text Char"/>
    <w:link w:val="PlainText"/>
    <w:rsid w:val="0028399C"/>
    <w:rPr>
      <w:rFonts w:ascii="Courier New" w:eastAsia="SimSun" w:hAnsi="Courier New" w:cs="Courier New"/>
      <w:szCs w:val="24"/>
      <w:lang w:val="fr-FR"/>
    </w:rPr>
  </w:style>
  <w:style w:type="paragraph" w:styleId="BodyText3">
    <w:name w:val="Body Text 3"/>
    <w:basedOn w:val="Normal"/>
    <w:link w:val="BodyText3Char"/>
    <w:rsid w:val="0028399C"/>
    <w:pPr>
      <w:spacing w:before="0" w:after="120"/>
    </w:pPr>
    <w:rPr>
      <w:rFonts w:eastAsia="SimSun"/>
      <w:sz w:val="16"/>
      <w:szCs w:val="16"/>
      <w:lang w:val="fr-FR"/>
    </w:rPr>
  </w:style>
  <w:style w:type="character" w:customStyle="1" w:styleId="BodyText3Char">
    <w:name w:val="Body Text 3 Char"/>
    <w:link w:val="BodyText3"/>
    <w:rsid w:val="0028399C"/>
    <w:rPr>
      <w:rFonts w:eastAsia="SimSun"/>
      <w:sz w:val="16"/>
      <w:szCs w:val="16"/>
      <w:lang w:val="fr-FR" w:eastAsia="ja-JP"/>
    </w:rPr>
  </w:style>
  <w:style w:type="paragraph" w:styleId="TableofFigures">
    <w:name w:val="table of figures"/>
    <w:basedOn w:val="Normal"/>
    <w:next w:val="Normal"/>
    <w:uiPriority w:val="99"/>
    <w:rsid w:val="0028399C"/>
    <w:pPr>
      <w:tabs>
        <w:tab w:val="right" w:leader="dot" w:pos="9639"/>
      </w:tabs>
      <w:spacing w:before="120"/>
    </w:pPr>
    <w:rPr>
      <w:lang w:val="en-GB"/>
    </w:rPr>
  </w:style>
  <w:style w:type="character" w:styleId="Strong">
    <w:name w:val="Strong"/>
    <w:qFormat/>
    <w:rsid w:val="0028399C"/>
    <w:rPr>
      <w:b/>
      <w:bCs/>
    </w:rPr>
  </w:style>
  <w:style w:type="numbering" w:styleId="ArticleSection">
    <w:name w:val="Outline List 3"/>
    <w:basedOn w:val="NoList"/>
    <w:rsid w:val="0028399C"/>
    <w:pPr>
      <w:numPr>
        <w:numId w:val="2"/>
      </w:numPr>
    </w:pPr>
  </w:style>
  <w:style w:type="character" w:customStyle="1" w:styleId="HeaderChar">
    <w:name w:val="Header Char"/>
    <w:link w:val="Header"/>
    <w:uiPriority w:val="99"/>
    <w:rsid w:val="0028399C"/>
    <w:rPr>
      <w:sz w:val="22"/>
    </w:rPr>
  </w:style>
  <w:style w:type="character" w:customStyle="1" w:styleId="FooterChar">
    <w:name w:val="Footer Char"/>
    <w:link w:val="Footer"/>
    <w:rsid w:val="0028399C"/>
    <w:rPr>
      <w:sz w:val="22"/>
    </w:rPr>
  </w:style>
  <w:style w:type="paragraph" w:styleId="TOCHeading">
    <w:name w:val="TOC Heading"/>
    <w:basedOn w:val="Heading1"/>
    <w:next w:val="Normal"/>
    <w:uiPriority w:val="39"/>
    <w:unhideWhenUsed/>
    <w:qFormat/>
    <w:rsid w:val="0028399C"/>
    <w:pPr>
      <w:keepLines/>
      <w:numPr>
        <w:numId w:val="0"/>
      </w:numPr>
      <w:spacing w:before="480" w:after="0" w:line="276" w:lineRule="auto"/>
      <w:outlineLvl w:val="9"/>
    </w:pPr>
    <w:rPr>
      <w:rFonts w:ascii="Cambria" w:hAnsi="Cambria" w:cs="Times New Roman"/>
      <w:color w:val="365F91"/>
      <w:kern w:val="0"/>
      <w:sz w:val="28"/>
      <w:szCs w:val="28"/>
    </w:rPr>
  </w:style>
  <w:style w:type="paragraph" w:customStyle="1" w:styleId="Tablelegend">
    <w:name w:val="Table_legend"/>
    <w:basedOn w:val="Normal"/>
    <w:rsid w:val="0028399C"/>
    <w:pPr>
      <w:tabs>
        <w:tab w:val="clear" w:pos="1987"/>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120" w:after="40"/>
    </w:pPr>
    <w:rPr>
      <w:lang w:val="en-GB"/>
    </w:rPr>
  </w:style>
  <w:style w:type="paragraph" w:styleId="Date">
    <w:name w:val="Date"/>
    <w:basedOn w:val="Normal"/>
    <w:next w:val="Normal"/>
    <w:link w:val="DateChar"/>
    <w:rsid w:val="0028399C"/>
    <w:pPr>
      <w:spacing w:before="60"/>
    </w:pPr>
    <w:rPr>
      <w:rFonts w:ascii="Palatino" w:eastAsia="Batang" w:hAnsi="Palatino"/>
      <w:lang w:val="en-GB"/>
    </w:rPr>
  </w:style>
  <w:style w:type="character" w:customStyle="1" w:styleId="DateChar">
    <w:name w:val="Date Char"/>
    <w:link w:val="Date"/>
    <w:rsid w:val="0028399C"/>
    <w:rPr>
      <w:rFonts w:ascii="Palatino" w:eastAsia="Batang" w:hAnsi="Palatino"/>
      <w:szCs w:val="24"/>
      <w:lang w:val="en-GB"/>
    </w:rPr>
  </w:style>
  <w:style w:type="paragraph" w:styleId="Title">
    <w:name w:val="Title"/>
    <w:basedOn w:val="Normal"/>
    <w:link w:val="TitleChar"/>
    <w:qFormat/>
    <w:rsid w:val="0028399C"/>
    <w:pPr>
      <w:numPr>
        <w:numId w:val="3"/>
      </w:numPr>
      <w:tabs>
        <w:tab w:val="clear" w:pos="936"/>
      </w:tabs>
      <w:spacing w:before="60" w:after="120"/>
      <w:ind w:left="0" w:firstLine="0"/>
      <w:jc w:val="center"/>
    </w:pPr>
    <w:rPr>
      <w:rFonts w:ascii="Book Antiqua" w:eastAsia="Batang" w:hAnsi="Book Antiqua"/>
      <w:b/>
      <w:sz w:val="40"/>
      <w:lang w:val="en-GB"/>
    </w:rPr>
  </w:style>
  <w:style w:type="character" w:customStyle="1" w:styleId="TitleChar">
    <w:name w:val="Title Char"/>
    <w:link w:val="Title"/>
    <w:rsid w:val="0028399C"/>
    <w:rPr>
      <w:rFonts w:ascii="Book Antiqua" w:eastAsia="Batang" w:hAnsi="Book Antiqua"/>
      <w:b/>
      <w:sz w:val="40"/>
      <w:lang w:val="en-GB" w:eastAsia="ja-JP"/>
    </w:rPr>
  </w:style>
  <w:style w:type="paragraph" w:styleId="EndnoteText">
    <w:name w:val="endnote text"/>
    <w:basedOn w:val="Normal"/>
    <w:link w:val="EndnoteTextChar"/>
    <w:rsid w:val="0028399C"/>
    <w:pPr>
      <w:tabs>
        <w:tab w:val="clear" w:pos="792"/>
        <w:tab w:val="clear" w:pos="1195"/>
        <w:tab w:val="clear" w:pos="1584"/>
        <w:tab w:val="clear" w:pos="1987"/>
        <w:tab w:val="left" w:pos="794"/>
        <w:tab w:val="left" w:pos="1191"/>
        <w:tab w:val="left" w:pos="1588"/>
        <w:tab w:val="left" w:pos="1985"/>
      </w:tabs>
      <w:spacing w:before="120"/>
    </w:pPr>
    <w:rPr>
      <w:rFonts w:eastAsia="SimSun"/>
      <w:lang w:val="en-GB"/>
    </w:rPr>
  </w:style>
  <w:style w:type="character" w:customStyle="1" w:styleId="EndnoteTextChar">
    <w:name w:val="Endnote Text Char"/>
    <w:link w:val="EndnoteText"/>
    <w:rsid w:val="0028399C"/>
    <w:rPr>
      <w:rFonts w:eastAsia="SimSun"/>
      <w:szCs w:val="24"/>
      <w:lang w:val="en-GB"/>
    </w:rPr>
  </w:style>
  <w:style w:type="character" w:styleId="Emphasis">
    <w:name w:val="Emphasis"/>
    <w:qFormat/>
    <w:rsid w:val="0028399C"/>
    <w:rPr>
      <w:i/>
      <w:iCs/>
    </w:rPr>
  </w:style>
  <w:style w:type="character" w:styleId="HTMLCode">
    <w:name w:val="HTML Code"/>
    <w:rsid w:val="0028399C"/>
    <w:rPr>
      <w:rFonts w:ascii="Courier New" w:eastAsia="Times New Roman" w:hAnsi="Courier New" w:cs="Courier New" w:hint="default"/>
      <w:color w:val="800000"/>
      <w:sz w:val="20"/>
      <w:szCs w:val="20"/>
    </w:rPr>
  </w:style>
  <w:style w:type="character" w:customStyle="1" w:styleId="NoteChar">
    <w:name w:val="Note Char"/>
    <w:link w:val="Note"/>
    <w:locked/>
    <w:rsid w:val="0028399C"/>
    <w:rPr>
      <w:rFonts w:eastAsia="SimSun"/>
      <w:sz w:val="22"/>
      <w:szCs w:val="18"/>
      <w:lang w:val="en-GB"/>
    </w:rPr>
  </w:style>
  <w:style w:type="paragraph" w:styleId="Subtitle">
    <w:name w:val="Subtitle"/>
    <w:basedOn w:val="Normal"/>
    <w:next w:val="Normal"/>
    <w:link w:val="SubtitleChar"/>
    <w:qFormat/>
    <w:rsid w:val="0028399C"/>
    <w:pPr>
      <w:numPr>
        <w:ilvl w:val="1"/>
      </w:numPr>
      <w:spacing w:before="120" w:after="160"/>
    </w:pPr>
    <w:rPr>
      <w:rFonts w:ascii="Calibri" w:eastAsia="SimSun" w:hAnsi="Calibri" w:cs="Arial"/>
      <w:color w:val="5A5A5A"/>
      <w:spacing w:val="15"/>
      <w:szCs w:val="22"/>
      <w:lang w:val="en-GB"/>
    </w:rPr>
  </w:style>
  <w:style w:type="character" w:customStyle="1" w:styleId="SubtitleChar">
    <w:name w:val="Subtitle Char"/>
    <w:link w:val="Subtitle"/>
    <w:rsid w:val="0028399C"/>
    <w:rPr>
      <w:rFonts w:ascii="Calibri" w:eastAsia="SimSun" w:hAnsi="Calibri" w:cs="Arial"/>
      <w:color w:val="5A5A5A"/>
      <w:spacing w:val="15"/>
      <w:sz w:val="22"/>
      <w:szCs w:val="22"/>
      <w:lang w:val="en-GB" w:eastAsia="ja-JP"/>
    </w:rPr>
  </w:style>
  <w:style w:type="paragraph" w:customStyle="1" w:styleId="ColorfulGrid-Accent11">
    <w:name w:val="Colorful Grid - Accent 11"/>
    <w:basedOn w:val="Normal"/>
    <w:next w:val="Normal"/>
    <w:link w:val="ColorfulGrid-Accent1Char"/>
    <w:uiPriority w:val="29"/>
    <w:rsid w:val="0028399C"/>
    <w:pPr>
      <w:spacing w:before="200" w:after="160"/>
      <w:ind w:left="864" w:right="864"/>
      <w:jc w:val="center"/>
    </w:pPr>
    <w:rPr>
      <w:rFonts w:eastAsia="SimSun"/>
      <w:i/>
      <w:iCs/>
      <w:color w:val="404040"/>
      <w:lang w:val="en-GB"/>
    </w:rPr>
  </w:style>
  <w:style w:type="character" w:customStyle="1" w:styleId="ColorfulGrid-Accent1Char">
    <w:name w:val="Colorful Grid - Accent 1 Char"/>
    <w:link w:val="ColorfulGrid-Accent11"/>
    <w:uiPriority w:val="29"/>
    <w:rsid w:val="0028399C"/>
    <w:rPr>
      <w:rFonts w:eastAsia="SimSun"/>
      <w:i/>
      <w:iCs/>
      <w:color w:val="404040"/>
      <w:szCs w:val="24"/>
      <w:lang w:val="en-GB" w:eastAsia="ja-JP"/>
    </w:rPr>
  </w:style>
  <w:style w:type="paragraph" w:customStyle="1" w:styleId="ColorfulList-Accent11">
    <w:name w:val="Colorful List - Accent 11"/>
    <w:basedOn w:val="Normal"/>
    <w:uiPriority w:val="34"/>
    <w:qFormat/>
    <w:rsid w:val="008C0E70"/>
    <w:pPr>
      <w:spacing w:before="120"/>
      <w:ind w:leftChars="400" w:left="840"/>
    </w:pPr>
    <w:rPr>
      <w:rFonts w:eastAsia="SimSun"/>
      <w:lang w:val="en-GB"/>
    </w:rPr>
  </w:style>
  <w:style w:type="paragraph" w:customStyle="1" w:styleId="ColorfulShading-Accent11">
    <w:name w:val="Colorful Shading - Accent 11"/>
    <w:hidden/>
    <w:uiPriority w:val="99"/>
    <w:rsid w:val="0028399C"/>
    <w:rPr>
      <w:rFonts w:eastAsia="SimSun"/>
      <w:lang w:val="en-GB" w:eastAsia="ja-JP"/>
    </w:rPr>
  </w:style>
  <w:style w:type="character" w:customStyle="1" w:styleId="BalloonTextChar">
    <w:name w:val="Balloon Text Char"/>
    <w:link w:val="BalloonText"/>
    <w:semiHidden/>
    <w:rsid w:val="0028399C"/>
    <w:rPr>
      <w:rFonts w:ascii="Tahoma" w:hAnsi="Tahoma" w:cs="Tahoma"/>
      <w:sz w:val="16"/>
      <w:szCs w:val="16"/>
    </w:rPr>
  </w:style>
  <w:style w:type="paragraph" w:customStyle="1" w:styleId="AVCBulletlevel1CharChar">
    <w:name w:val="AVC Bullet level 1 Char Char"/>
    <w:basedOn w:val="Normal"/>
    <w:link w:val="AVCBulletlevel1CharCharChar"/>
    <w:uiPriority w:val="99"/>
    <w:rsid w:val="0028399C"/>
    <w:pPr>
      <w:numPr>
        <w:numId w:val="4"/>
      </w:numPr>
      <w:tabs>
        <w:tab w:val="clear" w:pos="1584"/>
        <w:tab w:val="clear" w:pos="1987"/>
        <w:tab w:val="left" w:pos="1588"/>
        <w:tab w:val="left" w:pos="1985"/>
        <w:tab w:val="left" w:pos="2376"/>
        <w:tab w:val="left" w:pos="2779"/>
      </w:tabs>
    </w:pPr>
    <w:rPr>
      <w:rFonts w:ascii="Times" w:eastAsia="Malgun Gothic" w:hAnsi="Times"/>
      <w:sz w:val="24"/>
      <w:lang w:val="en-GB"/>
    </w:rPr>
  </w:style>
  <w:style w:type="character" w:customStyle="1" w:styleId="AVCBulletlevel1CharCharChar">
    <w:name w:val="AVC Bullet level 1 Char Char Char"/>
    <w:link w:val="AVCBulletlevel1CharChar"/>
    <w:uiPriority w:val="99"/>
    <w:locked/>
    <w:rsid w:val="0028399C"/>
    <w:rPr>
      <w:rFonts w:ascii="Times" w:eastAsia="Malgun Gothic" w:hAnsi="Times"/>
      <w:lang w:val="en-GB" w:eastAsia="ja-JP"/>
    </w:rPr>
  </w:style>
  <w:style w:type="character" w:customStyle="1" w:styleId="CaptionChar">
    <w:name w:val="Caption Char"/>
    <w:link w:val="Caption"/>
    <w:locked/>
    <w:rsid w:val="0028399C"/>
    <w:rPr>
      <w:rFonts w:eastAsia="SimSun"/>
      <w:b/>
      <w:bCs/>
      <w:szCs w:val="24"/>
      <w:lang w:val="fr-FR" w:eastAsia="ja-JP"/>
    </w:rPr>
  </w:style>
  <w:style w:type="paragraph" w:customStyle="1" w:styleId="Equationsmallertabs">
    <w:name w:val="Equation smaller tabs"/>
    <w:basedOn w:val="Normal"/>
    <w:qFormat/>
    <w:rsid w:val="008C0E70"/>
    <w:pPr>
      <w:tabs>
        <w:tab w:val="clear" w:pos="792"/>
        <w:tab w:val="clear" w:pos="1195"/>
        <w:tab w:val="clear" w:pos="1584"/>
        <w:tab w:val="clear" w:pos="4853"/>
        <w:tab w:val="clear" w:pos="9691"/>
        <w:tab w:val="left" w:pos="794"/>
        <w:tab w:val="left" w:pos="1170"/>
        <w:tab w:val="left" w:pos="1588"/>
        <w:tab w:val="left" w:pos="1890"/>
        <w:tab w:val="left" w:pos="2160"/>
        <w:tab w:val="left" w:pos="2430"/>
        <w:tab w:val="center" w:pos="4849"/>
        <w:tab w:val="right" w:pos="9696"/>
      </w:tabs>
      <w:ind w:left="794"/>
    </w:pPr>
    <w:rPr>
      <w:rFonts w:eastAsia="Malgun Gothic"/>
      <w:szCs w:val="22"/>
      <w:lang w:eastAsia="ko-KR"/>
    </w:rPr>
  </w:style>
  <w:style w:type="character" w:customStyle="1" w:styleId="CaptionChar1">
    <w:name w:val="Caption Char1"/>
    <w:locked/>
    <w:rsid w:val="0028399C"/>
    <w:rPr>
      <w:rFonts w:ascii="Times New Roman" w:eastAsia="Malgun Gothic" w:hAnsi="Times New Roman"/>
      <w:b/>
      <w:bCs/>
      <w:lang w:eastAsia="en-US"/>
    </w:rPr>
  </w:style>
  <w:style w:type="paragraph" w:customStyle="1" w:styleId="enumlev1">
    <w:name w:val="enumlev1"/>
    <w:basedOn w:val="Normal"/>
    <w:rsid w:val="0028399C"/>
    <w:pPr>
      <w:tabs>
        <w:tab w:val="clear" w:pos="792"/>
        <w:tab w:val="clear" w:pos="1195"/>
        <w:tab w:val="clear" w:pos="1584"/>
        <w:tab w:val="clear" w:pos="1987"/>
        <w:tab w:val="left" w:pos="794"/>
        <w:tab w:val="left" w:pos="1191"/>
        <w:tab w:val="left" w:pos="1588"/>
        <w:tab w:val="left" w:pos="1985"/>
      </w:tabs>
      <w:spacing w:before="86"/>
      <w:ind w:left="1191" w:hanging="397"/>
    </w:pPr>
    <w:rPr>
      <w:lang w:val="en-GB"/>
    </w:rPr>
  </w:style>
  <w:style w:type="paragraph" w:customStyle="1" w:styleId="Equation">
    <w:name w:val="Equation"/>
    <w:basedOn w:val="Normal"/>
    <w:qFormat/>
    <w:rsid w:val="0028399C"/>
    <w:pPr>
      <w:tabs>
        <w:tab w:val="clear" w:pos="792"/>
        <w:tab w:val="clear" w:pos="1584"/>
        <w:tab w:val="clear" w:pos="4853"/>
        <w:tab w:val="clear" w:pos="9691"/>
        <w:tab w:val="left" w:pos="794"/>
        <w:tab w:val="left" w:pos="1588"/>
        <w:tab w:val="center" w:pos="4849"/>
        <w:tab w:val="right" w:pos="9696"/>
      </w:tabs>
      <w:spacing w:before="193" w:after="240"/>
    </w:pPr>
    <w:rPr>
      <w:lang w:val="en-GB"/>
    </w:rPr>
  </w:style>
  <w:style w:type="paragraph" w:styleId="Revision">
    <w:name w:val="Revision"/>
    <w:hidden/>
    <w:uiPriority w:val="99"/>
    <w:semiHidden/>
    <w:rsid w:val="008D474D"/>
    <w:rPr>
      <w:sz w:val="22"/>
    </w:rPr>
  </w:style>
  <w:style w:type="character" w:styleId="PlaceholderText">
    <w:name w:val="Placeholder Text"/>
    <w:basedOn w:val="DefaultParagraphFont"/>
    <w:uiPriority w:val="67"/>
    <w:rsid w:val="00B8300F"/>
    <w:rPr>
      <w:color w:val="808080"/>
    </w:rPr>
  </w:style>
  <w:style w:type="character" w:styleId="FootnoteReference">
    <w:name w:val="footnote reference"/>
    <w:basedOn w:val="DefaultParagraphFont"/>
    <w:rsid w:val="008F1838"/>
    <w:rPr>
      <w:vertAlign w:val="superscript"/>
    </w:rPr>
  </w:style>
  <w:style w:type="paragraph" w:styleId="ListParagraph">
    <w:name w:val="List Paragraph"/>
    <w:basedOn w:val="Normal"/>
    <w:uiPriority w:val="34"/>
    <w:qFormat/>
    <w:rsid w:val="00B65CF3"/>
    <w:pPr>
      <w:ind w:left="720"/>
      <w:contextualSpacing/>
    </w:pPr>
  </w:style>
  <w:style w:type="character" w:customStyle="1" w:styleId="Note1Char">
    <w:name w:val="Note 1 Char"/>
    <w:link w:val="Note1"/>
    <w:locked/>
    <w:rsid w:val="009017B9"/>
    <w:rPr>
      <w:sz w:val="18"/>
      <w:szCs w:val="18"/>
      <w:lang w:val="en-GB"/>
    </w:rPr>
  </w:style>
  <w:style w:type="paragraph" w:customStyle="1" w:styleId="Note1">
    <w:name w:val="Note 1"/>
    <w:basedOn w:val="Normal"/>
    <w:link w:val="Note1Char"/>
    <w:qFormat/>
    <w:rsid w:val="009017B9"/>
    <w:pPr>
      <w:overflowPunct w:val="0"/>
      <w:autoSpaceDE w:val="0"/>
      <w:autoSpaceDN w:val="0"/>
      <w:adjustRightInd w:val="0"/>
      <w:spacing w:before="60"/>
      <w:ind w:left="288"/>
    </w:pPr>
    <w:rPr>
      <w:rFonts w:eastAsia="Times New Roman"/>
      <w:sz w:val="18"/>
      <w:szCs w:val="18"/>
      <w:lang w:val="en-GB" w:eastAsia="en-US"/>
    </w:rPr>
  </w:style>
  <w:style w:type="character" w:customStyle="1" w:styleId="Annex2Char">
    <w:name w:val="Annex 2 Char"/>
    <w:link w:val="Annex2"/>
    <w:uiPriority w:val="99"/>
    <w:locked/>
    <w:rsid w:val="00D60B08"/>
    <w:rPr>
      <w:b/>
      <w:bCs/>
      <w:sz w:val="22"/>
      <w:szCs w:val="22"/>
      <w:lang w:val="en-GB"/>
    </w:rPr>
  </w:style>
  <w:style w:type="paragraph" w:customStyle="1" w:styleId="NormalH2">
    <w:name w:val="Normal + H2"/>
    <w:basedOn w:val="Heading2"/>
    <w:link w:val="NormalH2Char"/>
    <w:qFormat/>
    <w:rsid w:val="00D34FB0"/>
    <w:pPr>
      <w:numPr>
        <w:numId w:val="1"/>
      </w:numPr>
      <w:spacing w:before="136"/>
      <w:outlineLvl w:val="9"/>
    </w:pPr>
    <w:rPr>
      <w:b w:val="0"/>
      <w:sz w:val="20"/>
      <w:lang w:val="en-GB"/>
    </w:rPr>
  </w:style>
  <w:style w:type="character" w:customStyle="1" w:styleId="NormalH2Char">
    <w:name w:val="Normal + H2 Char"/>
    <w:basedOn w:val="Heading2Char"/>
    <w:link w:val="NormalH2"/>
    <w:rsid w:val="00377C0A"/>
    <w:rPr>
      <w:rFonts w:eastAsia="MS Mincho"/>
      <w:b w:val="0"/>
      <w:bCs/>
      <w:iCs/>
      <w:sz w:val="20"/>
      <w:szCs w:val="28"/>
      <w:lang w:val="en-GB" w:eastAsia="ja-JP"/>
    </w:rPr>
  </w:style>
  <w:style w:type="paragraph" w:customStyle="1" w:styleId="Annex2">
    <w:name w:val="Annex 2"/>
    <w:basedOn w:val="Normal"/>
    <w:next w:val="Normal"/>
    <w:link w:val="Annex2Char"/>
    <w:uiPriority w:val="99"/>
    <w:qFormat/>
    <w:rsid w:val="00D60B08"/>
    <w:pPr>
      <w:keepNext/>
      <w:keepLines/>
      <w:tabs>
        <w:tab w:val="clear" w:pos="792"/>
        <w:tab w:val="clear" w:pos="1195"/>
        <w:tab w:val="clear" w:pos="1584"/>
        <w:tab w:val="clear" w:pos="1987"/>
        <w:tab w:val="left" w:pos="794"/>
        <w:tab w:val="num" w:pos="1020"/>
        <w:tab w:val="left" w:pos="1191"/>
        <w:tab w:val="num" w:pos="1440"/>
        <w:tab w:val="left" w:pos="1588"/>
        <w:tab w:val="left" w:pos="1985"/>
      </w:tabs>
      <w:overflowPunct w:val="0"/>
      <w:autoSpaceDE w:val="0"/>
      <w:autoSpaceDN w:val="0"/>
      <w:adjustRightInd w:val="0"/>
      <w:spacing w:before="313"/>
      <w:ind w:left="1440" w:hanging="360"/>
      <w:outlineLvl w:val="1"/>
    </w:pPr>
    <w:rPr>
      <w:rFonts w:eastAsia="Times New Roman"/>
      <w:b/>
      <w:bCs/>
      <w:sz w:val="22"/>
      <w:szCs w:val="22"/>
      <w:lang w:val="en-GB" w:eastAsia="en-US"/>
    </w:rPr>
  </w:style>
  <w:style w:type="paragraph" w:customStyle="1" w:styleId="Annex1">
    <w:name w:val="Annex 1"/>
    <w:basedOn w:val="AppendixNotitle"/>
    <w:next w:val="Normal"/>
    <w:link w:val="Annex1Char"/>
    <w:qFormat/>
    <w:rsid w:val="00516987"/>
    <w:pPr>
      <w:outlineLvl w:val="0"/>
    </w:pPr>
    <w:rPr>
      <w:sz w:val="32"/>
      <w:lang w:val="en-CA"/>
    </w:rPr>
  </w:style>
  <w:style w:type="character" w:customStyle="1" w:styleId="AppendixNotitleChar">
    <w:name w:val="Appendix_No &amp; title Char"/>
    <w:basedOn w:val="DefaultParagraphFont"/>
    <w:link w:val="AppendixNotitle"/>
    <w:rsid w:val="00516987"/>
    <w:rPr>
      <w:rFonts w:eastAsia="MS Mincho"/>
      <w:b/>
      <w:sz w:val="28"/>
      <w:lang w:val="en-GB" w:eastAsia="ja-JP"/>
    </w:rPr>
  </w:style>
  <w:style w:type="character" w:customStyle="1" w:styleId="Annex1Char">
    <w:name w:val="Annex 1 Char"/>
    <w:basedOn w:val="AppendixNotitleChar"/>
    <w:link w:val="Annex1"/>
    <w:rsid w:val="00516987"/>
    <w:rPr>
      <w:rFonts w:eastAsia="MS Mincho"/>
      <w:b/>
      <w:sz w:val="32"/>
      <w:lang w:val="en-CA" w:eastAsia="ja-JP"/>
    </w:rPr>
  </w:style>
  <w:style w:type="paragraph" w:styleId="BodyText">
    <w:name w:val="Body Text"/>
    <w:basedOn w:val="Normal"/>
    <w:link w:val="BodyTextChar"/>
    <w:unhideWhenUsed/>
    <w:rsid w:val="007B6848"/>
    <w:pPr>
      <w:spacing w:after="120"/>
    </w:pPr>
    <w:rPr>
      <w:szCs w:val="20"/>
      <w:lang w:val="en-US"/>
    </w:rPr>
  </w:style>
  <w:style w:type="character" w:customStyle="1" w:styleId="BodyTextChar">
    <w:name w:val="Body Text Char"/>
    <w:basedOn w:val="DefaultParagraphFont"/>
    <w:link w:val="BodyText"/>
    <w:rsid w:val="007B6848"/>
    <w:rPr>
      <w:rFonts w:eastAsia="MS Mincho"/>
      <w:sz w:val="20"/>
      <w:szCs w:val="20"/>
      <w:lang w:eastAsia="ja-JP"/>
    </w:rPr>
  </w:style>
  <w:style w:type="paragraph" w:customStyle="1" w:styleId="BodyTextfirstgraph">
    <w:name w:val="Body Text (first graph)"/>
    <w:basedOn w:val="BodyText"/>
    <w:next w:val="BodyText"/>
    <w:link w:val="BodyTextfirstgraphChar"/>
    <w:uiPriority w:val="99"/>
    <w:qFormat/>
    <w:rsid w:val="007B6848"/>
    <w:pPr>
      <w:tabs>
        <w:tab w:val="clear" w:pos="792"/>
        <w:tab w:val="clear" w:pos="1195"/>
        <w:tab w:val="clear" w:pos="1584"/>
        <w:tab w:val="clear" w:pos="1987"/>
        <w:tab w:val="clear" w:pos="4853"/>
        <w:tab w:val="clear" w:pos="9691"/>
      </w:tabs>
      <w:spacing w:before="30" w:after="30"/>
    </w:pPr>
    <w:rPr>
      <w:rFonts w:eastAsia="Times New Roman"/>
      <w:sz w:val="24"/>
      <w:szCs w:val="24"/>
      <w:lang w:eastAsia="en-US"/>
    </w:rPr>
  </w:style>
  <w:style w:type="character" w:customStyle="1" w:styleId="BodyTextfirstgraphChar">
    <w:name w:val="Body Text (first graph) Char"/>
    <w:link w:val="BodyTextfirstgraph"/>
    <w:uiPriority w:val="99"/>
    <w:locked/>
    <w:rsid w:val="007B6848"/>
  </w:style>
  <w:style w:type="paragraph" w:styleId="NormalWeb">
    <w:name w:val="Normal (Web)"/>
    <w:basedOn w:val="Normal"/>
    <w:uiPriority w:val="99"/>
    <w:unhideWhenUsed/>
    <w:rsid w:val="007B6848"/>
    <w:pPr>
      <w:tabs>
        <w:tab w:val="clear" w:pos="792"/>
        <w:tab w:val="clear" w:pos="1195"/>
        <w:tab w:val="clear" w:pos="1584"/>
        <w:tab w:val="clear" w:pos="1987"/>
        <w:tab w:val="clear" w:pos="4853"/>
        <w:tab w:val="clear" w:pos="9691"/>
      </w:tabs>
      <w:spacing w:before="100" w:beforeAutospacing="1" w:after="100" w:afterAutospacing="1"/>
      <w:jc w:val="left"/>
    </w:pPr>
    <w:rPr>
      <w:rFonts w:eastAsiaTheme="minorEastAsia"/>
      <w:sz w:val="24"/>
      <w:lang w:val="en-US" w:eastAsia="en-US"/>
    </w:rPr>
  </w:style>
  <w:style w:type="paragraph" w:customStyle="1" w:styleId="SPIEbodytext">
    <w:name w:val="SPIE body text"/>
    <w:basedOn w:val="Normal"/>
    <w:link w:val="SPIEbodytextCharChar"/>
    <w:qFormat/>
    <w:rsid w:val="007B6848"/>
    <w:pPr>
      <w:tabs>
        <w:tab w:val="clear" w:pos="792"/>
        <w:tab w:val="clear" w:pos="1195"/>
        <w:tab w:val="clear" w:pos="1584"/>
        <w:tab w:val="clear" w:pos="1987"/>
        <w:tab w:val="clear" w:pos="4853"/>
        <w:tab w:val="clear" w:pos="9691"/>
      </w:tabs>
      <w:spacing w:before="0" w:after="120"/>
    </w:pPr>
    <w:rPr>
      <w:rFonts w:eastAsia="Times New Roman"/>
      <w:lang w:val="en-US" w:eastAsia="en-US"/>
    </w:rPr>
  </w:style>
  <w:style w:type="character" w:customStyle="1" w:styleId="SPIEbodytextCharChar">
    <w:name w:val="SPIE body text Char Char"/>
    <w:link w:val="SPIEbodytext"/>
    <w:rsid w:val="007B6848"/>
    <w:rPr>
      <w:sz w:val="20"/>
    </w:rPr>
  </w:style>
  <w:style w:type="paragraph" w:customStyle="1" w:styleId="Text">
    <w:name w:val="Text"/>
    <w:basedOn w:val="Normal"/>
    <w:rsid w:val="007B6848"/>
    <w:pPr>
      <w:widowControl w:val="0"/>
      <w:tabs>
        <w:tab w:val="clear" w:pos="792"/>
        <w:tab w:val="clear" w:pos="1195"/>
        <w:tab w:val="clear" w:pos="1584"/>
        <w:tab w:val="clear" w:pos="1987"/>
        <w:tab w:val="clear" w:pos="4853"/>
        <w:tab w:val="clear" w:pos="9691"/>
      </w:tabs>
      <w:spacing w:before="0" w:line="252" w:lineRule="auto"/>
      <w:ind w:firstLine="202"/>
    </w:pPr>
    <w:rPr>
      <w:rFonts w:eastAsia="Times New Roman"/>
      <w:szCs w:val="20"/>
      <w:lang w:val="en-US" w:eastAsia="en-US"/>
    </w:rPr>
  </w:style>
  <w:style w:type="table" w:styleId="LightGrid">
    <w:name w:val="Light Grid"/>
    <w:basedOn w:val="TableNormal"/>
    <w:uiPriority w:val="62"/>
    <w:rsid w:val="00D357BA"/>
    <w:rPr>
      <w:rFonts w:eastAsia="MS Mincho"/>
      <w:sz w:val="20"/>
      <w:szCs w:val="20"/>
      <w:lang w:eastAsia="ko-K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856">
      <w:bodyDiv w:val="1"/>
      <w:marLeft w:val="0"/>
      <w:marRight w:val="0"/>
      <w:marTop w:val="0"/>
      <w:marBottom w:val="0"/>
      <w:divBdr>
        <w:top w:val="none" w:sz="0" w:space="0" w:color="auto"/>
        <w:left w:val="none" w:sz="0" w:space="0" w:color="auto"/>
        <w:bottom w:val="none" w:sz="0" w:space="0" w:color="auto"/>
        <w:right w:val="none" w:sz="0" w:space="0" w:color="auto"/>
      </w:divBdr>
    </w:div>
    <w:div w:id="83230776">
      <w:bodyDiv w:val="1"/>
      <w:marLeft w:val="0"/>
      <w:marRight w:val="0"/>
      <w:marTop w:val="0"/>
      <w:marBottom w:val="0"/>
      <w:divBdr>
        <w:top w:val="none" w:sz="0" w:space="0" w:color="auto"/>
        <w:left w:val="none" w:sz="0" w:space="0" w:color="auto"/>
        <w:bottom w:val="none" w:sz="0" w:space="0" w:color="auto"/>
        <w:right w:val="none" w:sz="0" w:space="0" w:color="auto"/>
      </w:divBdr>
    </w:div>
    <w:div w:id="108862674">
      <w:bodyDiv w:val="1"/>
      <w:marLeft w:val="0"/>
      <w:marRight w:val="0"/>
      <w:marTop w:val="0"/>
      <w:marBottom w:val="0"/>
      <w:divBdr>
        <w:top w:val="none" w:sz="0" w:space="0" w:color="auto"/>
        <w:left w:val="none" w:sz="0" w:space="0" w:color="auto"/>
        <w:bottom w:val="none" w:sz="0" w:space="0" w:color="auto"/>
        <w:right w:val="none" w:sz="0" w:space="0" w:color="auto"/>
      </w:divBdr>
    </w:div>
    <w:div w:id="127167860">
      <w:bodyDiv w:val="1"/>
      <w:marLeft w:val="0"/>
      <w:marRight w:val="0"/>
      <w:marTop w:val="0"/>
      <w:marBottom w:val="0"/>
      <w:divBdr>
        <w:top w:val="none" w:sz="0" w:space="0" w:color="auto"/>
        <w:left w:val="none" w:sz="0" w:space="0" w:color="auto"/>
        <w:bottom w:val="none" w:sz="0" w:space="0" w:color="auto"/>
        <w:right w:val="none" w:sz="0" w:space="0" w:color="auto"/>
      </w:divBdr>
    </w:div>
    <w:div w:id="535894013">
      <w:bodyDiv w:val="1"/>
      <w:marLeft w:val="0"/>
      <w:marRight w:val="0"/>
      <w:marTop w:val="0"/>
      <w:marBottom w:val="0"/>
      <w:divBdr>
        <w:top w:val="none" w:sz="0" w:space="0" w:color="auto"/>
        <w:left w:val="none" w:sz="0" w:space="0" w:color="auto"/>
        <w:bottom w:val="none" w:sz="0" w:space="0" w:color="auto"/>
        <w:right w:val="none" w:sz="0" w:space="0" w:color="auto"/>
      </w:divBdr>
    </w:div>
    <w:div w:id="553933854">
      <w:bodyDiv w:val="1"/>
      <w:marLeft w:val="0"/>
      <w:marRight w:val="0"/>
      <w:marTop w:val="0"/>
      <w:marBottom w:val="0"/>
      <w:divBdr>
        <w:top w:val="none" w:sz="0" w:space="0" w:color="auto"/>
        <w:left w:val="none" w:sz="0" w:space="0" w:color="auto"/>
        <w:bottom w:val="none" w:sz="0" w:space="0" w:color="auto"/>
        <w:right w:val="none" w:sz="0" w:space="0" w:color="auto"/>
      </w:divBdr>
    </w:div>
    <w:div w:id="600455169">
      <w:bodyDiv w:val="1"/>
      <w:marLeft w:val="0"/>
      <w:marRight w:val="0"/>
      <w:marTop w:val="0"/>
      <w:marBottom w:val="0"/>
      <w:divBdr>
        <w:top w:val="none" w:sz="0" w:space="0" w:color="auto"/>
        <w:left w:val="none" w:sz="0" w:space="0" w:color="auto"/>
        <w:bottom w:val="none" w:sz="0" w:space="0" w:color="auto"/>
        <w:right w:val="none" w:sz="0" w:space="0" w:color="auto"/>
      </w:divBdr>
    </w:div>
    <w:div w:id="623273494">
      <w:bodyDiv w:val="1"/>
      <w:marLeft w:val="0"/>
      <w:marRight w:val="0"/>
      <w:marTop w:val="0"/>
      <w:marBottom w:val="0"/>
      <w:divBdr>
        <w:top w:val="none" w:sz="0" w:space="0" w:color="auto"/>
        <w:left w:val="none" w:sz="0" w:space="0" w:color="auto"/>
        <w:bottom w:val="none" w:sz="0" w:space="0" w:color="auto"/>
        <w:right w:val="none" w:sz="0" w:space="0" w:color="auto"/>
      </w:divBdr>
    </w:div>
    <w:div w:id="629477847">
      <w:bodyDiv w:val="1"/>
      <w:marLeft w:val="0"/>
      <w:marRight w:val="0"/>
      <w:marTop w:val="0"/>
      <w:marBottom w:val="0"/>
      <w:divBdr>
        <w:top w:val="none" w:sz="0" w:space="0" w:color="auto"/>
        <w:left w:val="none" w:sz="0" w:space="0" w:color="auto"/>
        <w:bottom w:val="none" w:sz="0" w:space="0" w:color="auto"/>
        <w:right w:val="none" w:sz="0" w:space="0" w:color="auto"/>
      </w:divBdr>
    </w:div>
    <w:div w:id="654146877">
      <w:bodyDiv w:val="1"/>
      <w:marLeft w:val="0"/>
      <w:marRight w:val="0"/>
      <w:marTop w:val="0"/>
      <w:marBottom w:val="0"/>
      <w:divBdr>
        <w:top w:val="none" w:sz="0" w:space="0" w:color="auto"/>
        <w:left w:val="none" w:sz="0" w:space="0" w:color="auto"/>
        <w:bottom w:val="none" w:sz="0" w:space="0" w:color="auto"/>
        <w:right w:val="none" w:sz="0" w:space="0" w:color="auto"/>
      </w:divBdr>
    </w:div>
    <w:div w:id="658580583">
      <w:bodyDiv w:val="1"/>
      <w:marLeft w:val="0"/>
      <w:marRight w:val="0"/>
      <w:marTop w:val="0"/>
      <w:marBottom w:val="0"/>
      <w:divBdr>
        <w:top w:val="none" w:sz="0" w:space="0" w:color="auto"/>
        <w:left w:val="none" w:sz="0" w:space="0" w:color="auto"/>
        <w:bottom w:val="none" w:sz="0" w:space="0" w:color="auto"/>
        <w:right w:val="none" w:sz="0" w:space="0" w:color="auto"/>
      </w:divBdr>
    </w:div>
    <w:div w:id="761726539">
      <w:bodyDiv w:val="1"/>
      <w:marLeft w:val="0"/>
      <w:marRight w:val="0"/>
      <w:marTop w:val="0"/>
      <w:marBottom w:val="0"/>
      <w:divBdr>
        <w:top w:val="none" w:sz="0" w:space="0" w:color="auto"/>
        <w:left w:val="none" w:sz="0" w:space="0" w:color="auto"/>
        <w:bottom w:val="none" w:sz="0" w:space="0" w:color="auto"/>
        <w:right w:val="none" w:sz="0" w:space="0" w:color="auto"/>
      </w:divBdr>
    </w:div>
    <w:div w:id="799762811">
      <w:bodyDiv w:val="1"/>
      <w:marLeft w:val="0"/>
      <w:marRight w:val="0"/>
      <w:marTop w:val="0"/>
      <w:marBottom w:val="0"/>
      <w:divBdr>
        <w:top w:val="none" w:sz="0" w:space="0" w:color="auto"/>
        <w:left w:val="none" w:sz="0" w:space="0" w:color="auto"/>
        <w:bottom w:val="none" w:sz="0" w:space="0" w:color="auto"/>
        <w:right w:val="none" w:sz="0" w:space="0" w:color="auto"/>
      </w:divBdr>
    </w:div>
    <w:div w:id="840310898">
      <w:bodyDiv w:val="1"/>
      <w:marLeft w:val="0"/>
      <w:marRight w:val="0"/>
      <w:marTop w:val="0"/>
      <w:marBottom w:val="0"/>
      <w:divBdr>
        <w:top w:val="none" w:sz="0" w:space="0" w:color="auto"/>
        <w:left w:val="none" w:sz="0" w:space="0" w:color="auto"/>
        <w:bottom w:val="none" w:sz="0" w:space="0" w:color="auto"/>
        <w:right w:val="none" w:sz="0" w:space="0" w:color="auto"/>
      </w:divBdr>
    </w:div>
    <w:div w:id="850531573">
      <w:bodyDiv w:val="1"/>
      <w:marLeft w:val="0"/>
      <w:marRight w:val="0"/>
      <w:marTop w:val="0"/>
      <w:marBottom w:val="0"/>
      <w:divBdr>
        <w:top w:val="none" w:sz="0" w:space="0" w:color="auto"/>
        <w:left w:val="none" w:sz="0" w:space="0" w:color="auto"/>
        <w:bottom w:val="none" w:sz="0" w:space="0" w:color="auto"/>
        <w:right w:val="none" w:sz="0" w:space="0" w:color="auto"/>
      </w:divBdr>
    </w:div>
    <w:div w:id="945964049">
      <w:bodyDiv w:val="1"/>
      <w:marLeft w:val="0"/>
      <w:marRight w:val="0"/>
      <w:marTop w:val="0"/>
      <w:marBottom w:val="0"/>
      <w:divBdr>
        <w:top w:val="none" w:sz="0" w:space="0" w:color="auto"/>
        <w:left w:val="none" w:sz="0" w:space="0" w:color="auto"/>
        <w:bottom w:val="none" w:sz="0" w:space="0" w:color="auto"/>
        <w:right w:val="none" w:sz="0" w:space="0" w:color="auto"/>
      </w:divBdr>
    </w:div>
    <w:div w:id="981232490">
      <w:bodyDiv w:val="1"/>
      <w:marLeft w:val="0"/>
      <w:marRight w:val="0"/>
      <w:marTop w:val="0"/>
      <w:marBottom w:val="0"/>
      <w:divBdr>
        <w:top w:val="none" w:sz="0" w:space="0" w:color="auto"/>
        <w:left w:val="none" w:sz="0" w:space="0" w:color="auto"/>
        <w:bottom w:val="none" w:sz="0" w:space="0" w:color="auto"/>
        <w:right w:val="none" w:sz="0" w:space="0" w:color="auto"/>
      </w:divBdr>
    </w:div>
    <w:div w:id="1011221068">
      <w:bodyDiv w:val="1"/>
      <w:marLeft w:val="0"/>
      <w:marRight w:val="0"/>
      <w:marTop w:val="0"/>
      <w:marBottom w:val="0"/>
      <w:divBdr>
        <w:top w:val="none" w:sz="0" w:space="0" w:color="auto"/>
        <w:left w:val="none" w:sz="0" w:space="0" w:color="auto"/>
        <w:bottom w:val="none" w:sz="0" w:space="0" w:color="auto"/>
        <w:right w:val="none" w:sz="0" w:space="0" w:color="auto"/>
      </w:divBdr>
    </w:div>
    <w:div w:id="1055352820">
      <w:bodyDiv w:val="1"/>
      <w:marLeft w:val="0"/>
      <w:marRight w:val="0"/>
      <w:marTop w:val="0"/>
      <w:marBottom w:val="0"/>
      <w:divBdr>
        <w:top w:val="none" w:sz="0" w:space="0" w:color="auto"/>
        <w:left w:val="none" w:sz="0" w:space="0" w:color="auto"/>
        <w:bottom w:val="none" w:sz="0" w:space="0" w:color="auto"/>
        <w:right w:val="none" w:sz="0" w:space="0" w:color="auto"/>
      </w:divBdr>
    </w:div>
    <w:div w:id="1074090179">
      <w:bodyDiv w:val="1"/>
      <w:marLeft w:val="0"/>
      <w:marRight w:val="0"/>
      <w:marTop w:val="0"/>
      <w:marBottom w:val="0"/>
      <w:divBdr>
        <w:top w:val="none" w:sz="0" w:space="0" w:color="auto"/>
        <w:left w:val="none" w:sz="0" w:space="0" w:color="auto"/>
        <w:bottom w:val="none" w:sz="0" w:space="0" w:color="auto"/>
        <w:right w:val="none" w:sz="0" w:space="0" w:color="auto"/>
      </w:divBdr>
    </w:div>
    <w:div w:id="1213275164">
      <w:bodyDiv w:val="1"/>
      <w:marLeft w:val="0"/>
      <w:marRight w:val="0"/>
      <w:marTop w:val="0"/>
      <w:marBottom w:val="0"/>
      <w:divBdr>
        <w:top w:val="none" w:sz="0" w:space="0" w:color="auto"/>
        <w:left w:val="none" w:sz="0" w:space="0" w:color="auto"/>
        <w:bottom w:val="none" w:sz="0" w:space="0" w:color="auto"/>
        <w:right w:val="none" w:sz="0" w:space="0" w:color="auto"/>
      </w:divBdr>
    </w:div>
    <w:div w:id="1236091942">
      <w:bodyDiv w:val="1"/>
      <w:marLeft w:val="0"/>
      <w:marRight w:val="0"/>
      <w:marTop w:val="0"/>
      <w:marBottom w:val="0"/>
      <w:divBdr>
        <w:top w:val="none" w:sz="0" w:space="0" w:color="auto"/>
        <w:left w:val="none" w:sz="0" w:space="0" w:color="auto"/>
        <w:bottom w:val="none" w:sz="0" w:space="0" w:color="auto"/>
        <w:right w:val="none" w:sz="0" w:space="0" w:color="auto"/>
      </w:divBdr>
    </w:div>
    <w:div w:id="1311326010">
      <w:bodyDiv w:val="1"/>
      <w:marLeft w:val="0"/>
      <w:marRight w:val="0"/>
      <w:marTop w:val="0"/>
      <w:marBottom w:val="0"/>
      <w:divBdr>
        <w:top w:val="none" w:sz="0" w:space="0" w:color="auto"/>
        <w:left w:val="none" w:sz="0" w:space="0" w:color="auto"/>
        <w:bottom w:val="none" w:sz="0" w:space="0" w:color="auto"/>
        <w:right w:val="none" w:sz="0" w:space="0" w:color="auto"/>
      </w:divBdr>
    </w:div>
    <w:div w:id="1377240691">
      <w:bodyDiv w:val="1"/>
      <w:marLeft w:val="0"/>
      <w:marRight w:val="0"/>
      <w:marTop w:val="0"/>
      <w:marBottom w:val="0"/>
      <w:divBdr>
        <w:top w:val="none" w:sz="0" w:space="0" w:color="auto"/>
        <w:left w:val="none" w:sz="0" w:space="0" w:color="auto"/>
        <w:bottom w:val="none" w:sz="0" w:space="0" w:color="auto"/>
        <w:right w:val="none" w:sz="0" w:space="0" w:color="auto"/>
      </w:divBdr>
    </w:div>
    <w:div w:id="1388533170">
      <w:bodyDiv w:val="1"/>
      <w:marLeft w:val="0"/>
      <w:marRight w:val="0"/>
      <w:marTop w:val="0"/>
      <w:marBottom w:val="0"/>
      <w:divBdr>
        <w:top w:val="none" w:sz="0" w:space="0" w:color="auto"/>
        <w:left w:val="none" w:sz="0" w:space="0" w:color="auto"/>
        <w:bottom w:val="none" w:sz="0" w:space="0" w:color="auto"/>
        <w:right w:val="none" w:sz="0" w:space="0" w:color="auto"/>
      </w:divBdr>
    </w:div>
    <w:div w:id="1433084575">
      <w:bodyDiv w:val="1"/>
      <w:marLeft w:val="0"/>
      <w:marRight w:val="0"/>
      <w:marTop w:val="0"/>
      <w:marBottom w:val="0"/>
      <w:divBdr>
        <w:top w:val="none" w:sz="0" w:space="0" w:color="auto"/>
        <w:left w:val="none" w:sz="0" w:space="0" w:color="auto"/>
        <w:bottom w:val="none" w:sz="0" w:space="0" w:color="auto"/>
        <w:right w:val="none" w:sz="0" w:space="0" w:color="auto"/>
      </w:divBdr>
    </w:div>
    <w:div w:id="1621690371">
      <w:bodyDiv w:val="1"/>
      <w:marLeft w:val="0"/>
      <w:marRight w:val="0"/>
      <w:marTop w:val="0"/>
      <w:marBottom w:val="0"/>
      <w:divBdr>
        <w:top w:val="none" w:sz="0" w:space="0" w:color="auto"/>
        <w:left w:val="none" w:sz="0" w:space="0" w:color="auto"/>
        <w:bottom w:val="none" w:sz="0" w:space="0" w:color="auto"/>
        <w:right w:val="none" w:sz="0" w:space="0" w:color="auto"/>
      </w:divBdr>
    </w:div>
    <w:div w:id="1621759974">
      <w:bodyDiv w:val="1"/>
      <w:marLeft w:val="0"/>
      <w:marRight w:val="0"/>
      <w:marTop w:val="0"/>
      <w:marBottom w:val="0"/>
      <w:divBdr>
        <w:top w:val="none" w:sz="0" w:space="0" w:color="auto"/>
        <w:left w:val="none" w:sz="0" w:space="0" w:color="auto"/>
        <w:bottom w:val="none" w:sz="0" w:space="0" w:color="auto"/>
        <w:right w:val="none" w:sz="0" w:space="0" w:color="auto"/>
      </w:divBdr>
    </w:div>
    <w:div w:id="1626620515">
      <w:bodyDiv w:val="1"/>
      <w:marLeft w:val="0"/>
      <w:marRight w:val="0"/>
      <w:marTop w:val="0"/>
      <w:marBottom w:val="0"/>
      <w:divBdr>
        <w:top w:val="none" w:sz="0" w:space="0" w:color="auto"/>
        <w:left w:val="none" w:sz="0" w:space="0" w:color="auto"/>
        <w:bottom w:val="none" w:sz="0" w:space="0" w:color="auto"/>
        <w:right w:val="none" w:sz="0" w:space="0" w:color="auto"/>
      </w:divBdr>
    </w:div>
    <w:div w:id="1627077485">
      <w:bodyDiv w:val="1"/>
      <w:marLeft w:val="0"/>
      <w:marRight w:val="0"/>
      <w:marTop w:val="0"/>
      <w:marBottom w:val="0"/>
      <w:divBdr>
        <w:top w:val="none" w:sz="0" w:space="0" w:color="auto"/>
        <w:left w:val="none" w:sz="0" w:space="0" w:color="auto"/>
        <w:bottom w:val="none" w:sz="0" w:space="0" w:color="auto"/>
        <w:right w:val="none" w:sz="0" w:space="0" w:color="auto"/>
      </w:divBdr>
    </w:div>
    <w:div w:id="16797686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68174116">
      <w:bodyDiv w:val="1"/>
      <w:marLeft w:val="0"/>
      <w:marRight w:val="0"/>
      <w:marTop w:val="0"/>
      <w:marBottom w:val="0"/>
      <w:divBdr>
        <w:top w:val="none" w:sz="0" w:space="0" w:color="auto"/>
        <w:left w:val="none" w:sz="0" w:space="0" w:color="auto"/>
        <w:bottom w:val="none" w:sz="0" w:space="0" w:color="auto"/>
        <w:right w:val="none" w:sz="0" w:space="0" w:color="auto"/>
      </w:divBdr>
    </w:div>
    <w:div w:id="1892959594">
      <w:bodyDiv w:val="1"/>
      <w:marLeft w:val="0"/>
      <w:marRight w:val="0"/>
      <w:marTop w:val="0"/>
      <w:marBottom w:val="0"/>
      <w:divBdr>
        <w:top w:val="none" w:sz="0" w:space="0" w:color="auto"/>
        <w:left w:val="none" w:sz="0" w:space="0" w:color="auto"/>
        <w:bottom w:val="none" w:sz="0" w:space="0" w:color="auto"/>
        <w:right w:val="none" w:sz="0" w:space="0" w:color="auto"/>
      </w:divBdr>
    </w:div>
    <w:div w:id="1976526377">
      <w:bodyDiv w:val="1"/>
      <w:marLeft w:val="0"/>
      <w:marRight w:val="0"/>
      <w:marTop w:val="0"/>
      <w:marBottom w:val="0"/>
      <w:divBdr>
        <w:top w:val="none" w:sz="0" w:space="0" w:color="auto"/>
        <w:left w:val="none" w:sz="0" w:space="0" w:color="auto"/>
        <w:bottom w:val="none" w:sz="0" w:space="0" w:color="auto"/>
        <w:right w:val="none" w:sz="0" w:space="0" w:color="auto"/>
      </w:divBdr>
    </w:div>
    <w:div w:id="20215401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uard.francois@technicolor.com" TargetMode="Externa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oleObject" Target="embeddings/oleObject4.bin"/><Relationship Id="rId39" Type="http://schemas.openxmlformats.org/officeDocument/2006/relationships/image" Target="media/image24.png"/><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image" Target="media/image19.png"/><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2.emf"/><Relationship Id="rId33" Type="http://schemas.openxmlformats.org/officeDocument/2006/relationships/image" Target="media/image18.png"/><Relationship Id="rId38" Type="http://schemas.openxmlformats.org/officeDocument/2006/relationships/image" Target="media/image23.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oleObject" Target="embeddings/oleObject1.bin"/><Relationship Id="rId29" Type="http://schemas.openxmlformats.org/officeDocument/2006/relationships/image" Target="media/image14.png"/><Relationship Id="rId41" Type="http://schemas.openxmlformats.org/officeDocument/2006/relationships/image" Target="media/image2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oleObject" Target="embeddings/oleObject3.bin"/><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5.pn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1.emf"/><Relationship Id="rId28" Type="http://schemas.openxmlformats.org/officeDocument/2006/relationships/oleObject" Target="embeddings/oleObject5.bin"/><Relationship Id="rId36" Type="http://schemas.openxmlformats.org/officeDocument/2006/relationships/image" Target="media/image21.png"/><Relationship Id="rId10" Type="http://schemas.openxmlformats.org/officeDocument/2006/relationships/hyperlink" Target="mailto:christophe.chevance@technicolor.com" TargetMode="External"/><Relationship Id="rId19" Type="http://schemas.openxmlformats.org/officeDocument/2006/relationships/image" Target="media/image9.emf"/><Relationship Id="rId31" Type="http://schemas.openxmlformats.org/officeDocument/2006/relationships/image" Target="media/image16.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ranck.hiron@technicolor.com" TargetMode="External"/><Relationship Id="rId14" Type="http://schemas.openxmlformats.org/officeDocument/2006/relationships/image" Target="media/image4.jpeg"/><Relationship Id="rId22" Type="http://schemas.openxmlformats.org/officeDocument/2006/relationships/oleObject" Target="embeddings/oleObject2.bin"/><Relationship Id="rId27" Type="http://schemas.openxmlformats.org/officeDocument/2006/relationships/image" Target="media/image13.emf"/><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DC34B1A-C405-4339-AB94-8B52FB29E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3344</TotalTime>
  <Pages>10</Pages>
  <Words>2582</Words>
  <Characters>14720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17268</CharactersWithSpaces>
  <SharedDoc>false</SharedDoc>
  <HLinks>
    <vt:vector size="174" baseType="variant">
      <vt:variant>
        <vt:i4>1048581</vt:i4>
      </vt:variant>
      <vt:variant>
        <vt:i4>170</vt:i4>
      </vt:variant>
      <vt:variant>
        <vt:i4>0</vt:i4>
      </vt:variant>
      <vt:variant>
        <vt:i4>5</vt:i4>
      </vt:variant>
      <vt:variant>
        <vt:lpwstr/>
      </vt:variant>
      <vt:variant>
        <vt:lpwstr>_Toc444304144</vt:lpwstr>
      </vt:variant>
      <vt:variant>
        <vt:i4>1048578</vt:i4>
      </vt:variant>
      <vt:variant>
        <vt:i4>164</vt:i4>
      </vt:variant>
      <vt:variant>
        <vt:i4>0</vt:i4>
      </vt:variant>
      <vt:variant>
        <vt:i4>5</vt:i4>
      </vt:variant>
      <vt:variant>
        <vt:lpwstr/>
      </vt:variant>
      <vt:variant>
        <vt:lpwstr>_Toc444304143</vt:lpwstr>
      </vt:variant>
      <vt:variant>
        <vt:i4>1048579</vt:i4>
      </vt:variant>
      <vt:variant>
        <vt:i4>158</vt:i4>
      </vt:variant>
      <vt:variant>
        <vt:i4>0</vt:i4>
      </vt:variant>
      <vt:variant>
        <vt:i4>5</vt:i4>
      </vt:variant>
      <vt:variant>
        <vt:lpwstr/>
      </vt:variant>
      <vt:variant>
        <vt:lpwstr>_Toc444304142</vt:lpwstr>
      </vt:variant>
      <vt:variant>
        <vt:i4>1048576</vt:i4>
      </vt:variant>
      <vt:variant>
        <vt:i4>152</vt:i4>
      </vt:variant>
      <vt:variant>
        <vt:i4>0</vt:i4>
      </vt:variant>
      <vt:variant>
        <vt:i4>5</vt:i4>
      </vt:variant>
      <vt:variant>
        <vt:lpwstr/>
      </vt:variant>
      <vt:variant>
        <vt:lpwstr>_Toc444304141</vt:lpwstr>
      </vt:variant>
      <vt:variant>
        <vt:i4>1048577</vt:i4>
      </vt:variant>
      <vt:variant>
        <vt:i4>146</vt:i4>
      </vt:variant>
      <vt:variant>
        <vt:i4>0</vt:i4>
      </vt:variant>
      <vt:variant>
        <vt:i4>5</vt:i4>
      </vt:variant>
      <vt:variant>
        <vt:lpwstr/>
      </vt:variant>
      <vt:variant>
        <vt:lpwstr>_Toc444304140</vt:lpwstr>
      </vt:variant>
      <vt:variant>
        <vt:i4>1507336</vt:i4>
      </vt:variant>
      <vt:variant>
        <vt:i4>140</vt:i4>
      </vt:variant>
      <vt:variant>
        <vt:i4>0</vt:i4>
      </vt:variant>
      <vt:variant>
        <vt:i4>5</vt:i4>
      </vt:variant>
      <vt:variant>
        <vt:lpwstr/>
      </vt:variant>
      <vt:variant>
        <vt:lpwstr>_Toc444304139</vt:lpwstr>
      </vt:variant>
      <vt:variant>
        <vt:i4>1507337</vt:i4>
      </vt:variant>
      <vt:variant>
        <vt:i4>134</vt:i4>
      </vt:variant>
      <vt:variant>
        <vt:i4>0</vt:i4>
      </vt:variant>
      <vt:variant>
        <vt:i4>5</vt:i4>
      </vt:variant>
      <vt:variant>
        <vt:lpwstr/>
      </vt:variant>
      <vt:variant>
        <vt:lpwstr>_Toc444304138</vt:lpwstr>
      </vt:variant>
      <vt:variant>
        <vt:i4>1507334</vt:i4>
      </vt:variant>
      <vt:variant>
        <vt:i4>128</vt:i4>
      </vt:variant>
      <vt:variant>
        <vt:i4>0</vt:i4>
      </vt:variant>
      <vt:variant>
        <vt:i4>5</vt:i4>
      </vt:variant>
      <vt:variant>
        <vt:lpwstr/>
      </vt:variant>
      <vt:variant>
        <vt:lpwstr>_Toc444304137</vt:lpwstr>
      </vt:variant>
      <vt:variant>
        <vt:i4>1507335</vt:i4>
      </vt:variant>
      <vt:variant>
        <vt:i4>122</vt:i4>
      </vt:variant>
      <vt:variant>
        <vt:i4>0</vt:i4>
      </vt:variant>
      <vt:variant>
        <vt:i4>5</vt:i4>
      </vt:variant>
      <vt:variant>
        <vt:lpwstr/>
      </vt:variant>
      <vt:variant>
        <vt:lpwstr>_Toc444304136</vt:lpwstr>
      </vt:variant>
      <vt:variant>
        <vt:i4>1507332</vt:i4>
      </vt:variant>
      <vt:variant>
        <vt:i4>116</vt:i4>
      </vt:variant>
      <vt:variant>
        <vt:i4>0</vt:i4>
      </vt:variant>
      <vt:variant>
        <vt:i4>5</vt:i4>
      </vt:variant>
      <vt:variant>
        <vt:lpwstr/>
      </vt:variant>
      <vt:variant>
        <vt:lpwstr>_Toc444304135</vt:lpwstr>
      </vt:variant>
      <vt:variant>
        <vt:i4>1507333</vt:i4>
      </vt:variant>
      <vt:variant>
        <vt:i4>110</vt:i4>
      </vt:variant>
      <vt:variant>
        <vt:i4>0</vt:i4>
      </vt:variant>
      <vt:variant>
        <vt:i4>5</vt:i4>
      </vt:variant>
      <vt:variant>
        <vt:lpwstr/>
      </vt:variant>
      <vt:variant>
        <vt:lpwstr>_Toc444304134</vt:lpwstr>
      </vt:variant>
      <vt:variant>
        <vt:i4>1507330</vt:i4>
      </vt:variant>
      <vt:variant>
        <vt:i4>104</vt:i4>
      </vt:variant>
      <vt:variant>
        <vt:i4>0</vt:i4>
      </vt:variant>
      <vt:variant>
        <vt:i4>5</vt:i4>
      </vt:variant>
      <vt:variant>
        <vt:lpwstr/>
      </vt:variant>
      <vt:variant>
        <vt:lpwstr>_Toc444304133</vt:lpwstr>
      </vt:variant>
      <vt:variant>
        <vt:i4>1507331</vt:i4>
      </vt:variant>
      <vt:variant>
        <vt:i4>98</vt:i4>
      </vt:variant>
      <vt:variant>
        <vt:i4>0</vt:i4>
      </vt:variant>
      <vt:variant>
        <vt:i4>5</vt:i4>
      </vt:variant>
      <vt:variant>
        <vt:lpwstr/>
      </vt:variant>
      <vt:variant>
        <vt:lpwstr>_Toc444304132</vt:lpwstr>
      </vt:variant>
      <vt:variant>
        <vt:i4>1507328</vt:i4>
      </vt:variant>
      <vt:variant>
        <vt:i4>92</vt:i4>
      </vt:variant>
      <vt:variant>
        <vt:i4>0</vt:i4>
      </vt:variant>
      <vt:variant>
        <vt:i4>5</vt:i4>
      </vt:variant>
      <vt:variant>
        <vt:lpwstr/>
      </vt:variant>
      <vt:variant>
        <vt:lpwstr>_Toc444304131</vt:lpwstr>
      </vt:variant>
      <vt:variant>
        <vt:i4>1507329</vt:i4>
      </vt:variant>
      <vt:variant>
        <vt:i4>86</vt:i4>
      </vt:variant>
      <vt:variant>
        <vt:i4>0</vt:i4>
      </vt:variant>
      <vt:variant>
        <vt:i4>5</vt:i4>
      </vt:variant>
      <vt:variant>
        <vt:lpwstr/>
      </vt:variant>
      <vt:variant>
        <vt:lpwstr>_Toc444304130</vt:lpwstr>
      </vt:variant>
      <vt:variant>
        <vt:i4>1441800</vt:i4>
      </vt:variant>
      <vt:variant>
        <vt:i4>80</vt:i4>
      </vt:variant>
      <vt:variant>
        <vt:i4>0</vt:i4>
      </vt:variant>
      <vt:variant>
        <vt:i4>5</vt:i4>
      </vt:variant>
      <vt:variant>
        <vt:lpwstr/>
      </vt:variant>
      <vt:variant>
        <vt:lpwstr>_Toc444304129</vt:lpwstr>
      </vt:variant>
      <vt:variant>
        <vt:i4>1441801</vt:i4>
      </vt:variant>
      <vt:variant>
        <vt:i4>74</vt:i4>
      </vt:variant>
      <vt:variant>
        <vt:i4>0</vt:i4>
      </vt:variant>
      <vt:variant>
        <vt:i4>5</vt:i4>
      </vt:variant>
      <vt:variant>
        <vt:lpwstr/>
      </vt:variant>
      <vt:variant>
        <vt:lpwstr>_Toc444304128</vt:lpwstr>
      </vt:variant>
      <vt:variant>
        <vt:i4>1441798</vt:i4>
      </vt:variant>
      <vt:variant>
        <vt:i4>68</vt:i4>
      </vt:variant>
      <vt:variant>
        <vt:i4>0</vt:i4>
      </vt:variant>
      <vt:variant>
        <vt:i4>5</vt:i4>
      </vt:variant>
      <vt:variant>
        <vt:lpwstr/>
      </vt:variant>
      <vt:variant>
        <vt:lpwstr>_Toc444304127</vt:lpwstr>
      </vt:variant>
      <vt:variant>
        <vt:i4>1441799</vt:i4>
      </vt:variant>
      <vt:variant>
        <vt:i4>62</vt:i4>
      </vt:variant>
      <vt:variant>
        <vt:i4>0</vt:i4>
      </vt:variant>
      <vt:variant>
        <vt:i4>5</vt:i4>
      </vt:variant>
      <vt:variant>
        <vt:lpwstr/>
      </vt:variant>
      <vt:variant>
        <vt:lpwstr>_Toc444304126</vt:lpwstr>
      </vt:variant>
      <vt:variant>
        <vt:i4>1441796</vt:i4>
      </vt:variant>
      <vt:variant>
        <vt:i4>56</vt:i4>
      </vt:variant>
      <vt:variant>
        <vt:i4>0</vt:i4>
      </vt:variant>
      <vt:variant>
        <vt:i4>5</vt:i4>
      </vt:variant>
      <vt:variant>
        <vt:lpwstr/>
      </vt:variant>
      <vt:variant>
        <vt:lpwstr>_Toc444304125</vt:lpwstr>
      </vt:variant>
      <vt:variant>
        <vt:i4>1441797</vt:i4>
      </vt:variant>
      <vt:variant>
        <vt:i4>50</vt:i4>
      </vt:variant>
      <vt:variant>
        <vt:i4>0</vt:i4>
      </vt:variant>
      <vt:variant>
        <vt:i4>5</vt:i4>
      </vt:variant>
      <vt:variant>
        <vt:lpwstr/>
      </vt:variant>
      <vt:variant>
        <vt:lpwstr>_Toc444304124</vt:lpwstr>
      </vt:variant>
      <vt:variant>
        <vt:i4>1441794</vt:i4>
      </vt:variant>
      <vt:variant>
        <vt:i4>44</vt:i4>
      </vt:variant>
      <vt:variant>
        <vt:i4>0</vt:i4>
      </vt:variant>
      <vt:variant>
        <vt:i4>5</vt:i4>
      </vt:variant>
      <vt:variant>
        <vt:lpwstr/>
      </vt:variant>
      <vt:variant>
        <vt:lpwstr>_Toc444304123</vt:lpwstr>
      </vt:variant>
      <vt:variant>
        <vt:i4>1441795</vt:i4>
      </vt:variant>
      <vt:variant>
        <vt:i4>38</vt:i4>
      </vt:variant>
      <vt:variant>
        <vt:i4>0</vt:i4>
      </vt:variant>
      <vt:variant>
        <vt:i4>5</vt:i4>
      </vt:variant>
      <vt:variant>
        <vt:lpwstr/>
      </vt:variant>
      <vt:variant>
        <vt:lpwstr>_Toc444304122</vt:lpwstr>
      </vt:variant>
      <vt:variant>
        <vt:i4>1441792</vt:i4>
      </vt:variant>
      <vt:variant>
        <vt:i4>32</vt:i4>
      </vt:variant>
      <vt:variant>
        <vt:i4>0</vt:i4>
      </vt:variant>
      <vt:variant>
        <vt:i4>5</vt:i4>
      </vt:variant>
      <vt:variant>
        <vt:lpwstr/>
      </vt:variant>
      <vt:variant>
        <vt:lpwstr>_Toc444304121</vt:lpwstr>
      </vt:variant>
      <vt:variant>
        <vt:i4>1441793</vt:i4>
      </vt:variant>
      <vt:variant>
        <vt:i4>26</vt:i4>
      </vt:variant>
      <vt:variant>
        <vt:i4>0</vt:i4>
      </vt:variant>
      <vt:variant>
        <vt:i4>5</vt:i4>
      </vt:variant>
      <vt:variant>
        <vt:lpwstr/>
      </vt:variant>
      <vt:variant>
        <vt:lpwstr>_Toc444304120</vt:lpwstr>
      </vt:variant>
      <vt:variant>
        <vt:i4>1376264</vt:i4>
      </vt:variant>
      <vt:variant>
        <vt:i4>20</vt:i4>
      </vt:variant>
      <vt:variant>
        <vt:i4>0</vt:i4>
      </vt:variant>
      <vt:variant>
        <vt:i4>5</vt:i4>
      </vt:variant>
      <vt:variant>
        <vt:lpwstr/>
      </vt:variant>
      <vt:variant>
        <vt:lpwstr>_Toc444304119</vt:lpwstr>
      </vt:variant>
      <vt:variant>
        <vt:i4>1376265</vt:i4>
      </vt:variant>
      <vt:variant>
        <vt:i4>14</vt:i4>
      </vt:variant>
      <vt:variant>
        <vt:i4>0</vt:i4>
      </vt:variant>
      <vt:variant>
        <vt:i4>5</vt:i4>
      </vt:variant>
      <vt:variant>
        <vt:lpwstr/>
      </vt:variant>
      <vt:variant>
        <vt:lpwstr>_Toc444304118</vt:lpwstr>
      </vt:variant>
      <vt:variant>
        <vt:i4>1376262</vt:i4>
      </vt:variant>
      <vt:variant>
        <vt:i4>8</vt:i4>
      </vt:variant>
      <vt:variant>
        <vt:i4>0</vt:i4>
      </vt:variant>
      <vt:variant>
        <vt:i4>5</vt:i4>
      </vt:variant>
      <vt:variant>
        <vt:lpwstr/>
      </vt:variant>
      <vt:variant>
        <vt:lpwstr>_Toc444304117</vt:lpwstr>
      </vt:variant>
      <vt:variant>
        <vt:i4>1376263</vt:i4>
      </vt:variant>
      <vt:variant>
        <vt:i4>2</vt:i4>
      </vt:variant>
      <vt:variant>
        <vt:i4>0</vt:i4>
      </vt:variant>
      <vt:variant>
        <vt:i4>5</vt:i4>
      </vt:variant>
      <vt:variant>
        <vt:lpwstr/>
      </vt:variant>
      <vt:variant>
        <vt:lpwstr>_Toc444304116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Francois Edouard</cp:lastModifiedBy>
  <cp:revision>167</cp:revision>
  <cp:lastPrinted>2016-05-18T22:24:00Z</cp:lastPrinted>
  <dcterms:created xsi:type="dcterms:W3CDTF">2016-10-11T13:18:00Z</dcterms:created>
  <dcterms:modified xsi:type="dcterms:W3CDTF">2017-01-03T21:36:00Z</dcterms:modified>
</cp:coreProperties>
</file>