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A61E6" w:rsidRPr="006D14C3" w:rsidTr="00EA61E6">
        <w:tc>
          <w:tcPr>
            <w:tcW w:w="6408" w:type="dxa"/>
          </w:tcPr>
          <w:p w:rsidR="00EA61E6" w:rsidRPr="005B217D" w:rsidRDefault="00146E12" w:rsidP="00EA61E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2203CEAA">
                <v:group id="_x0000_s1040" style="position:absolute;margin-left:-4.15pt;margin-top:-27.5pt;width:23.3pt;height:24.6pt;z-index:251656704" coordorigin="9,2" coordsize="466,492">
                  <v:line id="_x0000_s1041" style="position:absolute" from="9,9" to="10,489" strokecolor="white" strokeweight="36e-5mm"/>
                  <v:line id="_x0000_s1042" style="position:absolute" from="9,493" to="474,494" strokecolor="white" strokeweight="36e-5mm"/>
                  <v:line id="_x0000_s1043" style="position:absolute;flip:y" from="474,9" to="475,493" strokecolor="white" strokeweight="36e-5mm"/>
                  <v:line id="_x0000_s1044" style="position:absolute;flip:x" from="9,9" to="471,10" strokecolor="white" strokeweight="36e-5mm"/>
                  <v:line id="_x0000_s1045" style="position:absolute" from="9,9" to="10,10" strokecolor="white" strokeweight="36e-5mm"/>
                  <v:shape id="_x0000_s1046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47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48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49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50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51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52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53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54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55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56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57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58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59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60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61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62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63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071C270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5" type="#_x0000_t75" style="position:absolute;margin-left:48.05pt;margin-top:-25.1pt;width:23.1pt;height:21.05pt;z-index:251657728">
                  <v:imagedata r:id="rId7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5E12E8A6">
                <v:shape id="_x0000_s1064" type="#_x0000_t75" style="position:absolute;margin-left:21.15pt;margin-top:-25.1pt;width:23.2pt;height:21.05pt;z-index:251658752">
                  <v:imagedata r:id="rId8" o:title=""/>
                </v:shape>
              </w:pict>
            </w:r>
            <w:r w:rsidR="00EA61E6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EA61E6" w:rsidRPr="005B217D" w:rsidRDefault="00EA61E6" w:rsidP="00EA61E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EA61E6" w:rsidRPr="005B217D" w:rsidRDefault="00EA61E6" w:rsidP="00EA61E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25th</w:t>
            </w:r>
            <w:r w:rsidRPr="00B648F1">
              <w:t xml:space="preserve"> Meeting: </w:t>
            </w:r>
            <w:r>
              <w:rPr>
                <w:lang w:val="en-CA"/>
              </w:rPr>
              <w:t>Chengdu</w:t>
            </w:r>
            <w:r w:rsidRPr="00657F7E">
              <w:rPr>
                <w:lang w:val="en-CA"/>
              </w:rPr>
              <w:t xml:space="preserve">, </w:t>
            </w:r>
            <w:r>
              <w:rPr>
                <w:lang w:val="en-CA"/>
              </w:rPr>
              <w:t>CN</w:t>
            </w:r>
            <w:r w:rsidRPr="00657F7E">
              <w:rPr>
                <w:lang w:val="en-CA"/>
              </w:rPr>
              <w:t xml:space="preserve">, </w:t>
            </w:r>
            <w:r>
              <w:rPr>
                <w:lang w:val="en-CA"/>
              </w:rPr>
              <w:t>14</w:t>
            </w:r>
            <w:r w:rsidRPr="00657F7E">
              <w:rPr>
                <w:lang w:val="en-CA"/>
              </w:rPr>
              <w:t>–</w:t>
            </w:r>
            <w:r>
              <w:rPr>
                <w:lang w:val="en-CA"/>
              </w:rPr>
              <w:t>21</w:t>
            </w:r>
            <w:r w:rsidRPr="00657F7E">
              <w:rPr>
                <w:lang w:val="en-CA"/>
              </w:rPr>
              <w:t xml:space="preserve"> </w:t>
            </w:r>
            <w:r>
              <w:rPr>
                <w:lang w:val="en-CA"/>
              </w:rPr>
              <w:t>October</w:t>
            </w:r>
            <w:r w:rsidRPr="00657F7E">
              <w:rPr>
                <w:lang w:val="en-CA"/>
              </w:rPr>
              <w:t xml:space="preserve"> 2016</w:t>
            </w:r>
          </w:p>
        </w:tc>
        <w:tc>
          <w:tcPr>
            <w:tcW w:w="3168" w:type="dxa"/>
          </w:tcPr>
          <w:p w:rsidR="00EA61E6" w:rsidRPr="005B217D" w:rsidRDefault="00EA61E6" w:rsidP="00EA61E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5D5CB3">
              <w:rPr>
                <w:lang w:val="en-CA"/>
              </w:rPr>
              <w:t>Y0026</w:t>
            </w:r>
          </w:p>
        </w:tc>
      </w:tr>
    </w:tbl>
    <w:p w:rsidR="00E61DAC" w:rsidRPr="006D14C3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6D14C3">
        <w:tc>
          <w:tcPr>
            <w:tcW w:w="1458" w:type="dxa"/>
          </w:tcPr>
          <w:p w:rsidR="00E61DAC" w:rsidRPr="006D14C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D14C3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83E33" w:rsidRDefault="00B71F7E" w:rsidP="00D520C3">
            <w:pPr>
              <w:spacing w:before="60" w:after="60"/>
              <w:rPr>
                <w:b/>
                <w:szCs w:val="22"/>
                <w:highlight w:val="yellow"/>
                <w:lang w:val="en-CA"/>
              </w:rPr>
            </w:pPr>
            <w:r w:rsidRPr="00F16DDA">
              <w:rPr>
                <w:lang w:val="en-CA" w:eastAsia="ko-KR"/>
              </w:rPr>
              <w:t xml:space="preserve">Tile-Level Rate Control for </w:t>
            </w:r>
            <w:r w:rsidR="00574C29" w:rsidRPr="00F16DDA">
              <w:rPr>
                <w:lang w:val="en-CA" w:eastAsia="ko-KR"/>
              </w:rPr>
              <w:t>Multi-</w:t>
            </w:r>
            <w:proofErr w:type="gramStart"/>
            <w:r w:rsidR="00574C29" w:rsidRPr="00F16DDA">
              <w:rPr>
                <w:lang w:val="en-CA" w:eastAsia="ko-KR"/>
              </w:rPr>
              <w:t>core</w:t>
            </w:r>
            <w:proofErr w:type="gramEnd"/>
            <w:r w:rsidR="00574C29" w:rsidRPr="00F16DDA">
              <w:rPr>
                <w:lang w:val="en-CA" w:eastAsia="ko-KR"/>
              </w:rPr>
              <w:t xml:space="preserve"> Platform on HM</w:t>
            </w:r>
          </w:p>
        </w:tc>
      </w:tr>
      <w:tr w:rsidR="00E61DAC" w:rsidRPr="006D14C3">
        <w:tc>
          <w:tcPr>
            <w:tcW w:w="1458" w:type="dxa"/>
          </w:tcPr>
          <w:p w:rsidR="00E61DAC" w:rsidRPr="006D14C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D14C3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D14C3" w:rsidRDefault="00E61DAC" w:rsidP="00823DF9">
            <w:pPr>
              <w:spacing w:before="60" w:after="60"/>
              <w:rPr>
                <w:szCs w:val="22"/>
                <w:lang w:val="en-CA"/>
              </w:rPr>
            </w:pPr>
            <w:r w:rsidRPr="006D14C3">
              <w:rPr>
                <w:szCs w:val="22"/>
                <w:lang w:val="en-CA"/>
              </w:rPr>
              <w:t xml:space="preserve">Input Document to </w:t>
            </w:r>
            <w:r w:rsidR="00AE341B" w:rsidRPr="006D14C3">
              <w:rPr>
                <w:szCs w:val="22"/>
                <w:lang w:val="en-CA"/>
              </w:rPr>
              <w:t>JCT-VC</w:t>
            </w:r>
          </w:p>
        </w:tc>
      </w:tr>
      <w:tr w:rsidR="00E61DAC" w:rsidRPr="006D14C3">
        <w:tc>
          <w:tcPr>
            <w:tcW w:w="1458" w:type="dxa"/>
          </w:tcPr>
          <w:p w:rsidR="00E61DAC" w:rsidRPr="006D14C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D14C3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D14C3" w:rsidRDefault="00E61DAC" w:rsidP="00823DF9">
            <w:pPr>
              <w:spacing w:before="60" w:after="60"/>
              <w:rPr>
                <w:szCs w:val="22"/>
                <w:lang w:val="en-CA"/>
              </w:rPr>
            </w:pPr>
            <w:r w:rsidRPr="006D14C3">
              <w:rPr>
                <w:szCs w:val="22"/>
                <w:lang w:val="en-CA"/>
              </w:rPr>
              <w:t>Proposal</w:t>
            </w:r>
          </w:p>
        </w:tc>
      </w:tr>
      <w:tr w:rsidR="00E61DAC" w:rsidRPr="006D14C3">
        <w:tc>
          <w:tcPr>
            <w:tcW w:w="1458" w:type="dxa"/>
          </w:tcPr>
          <w:p w:rsidR="00E61DAC" w:rsidRPr="006D14C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D14C3">
              <w:rPr>
                <w:i/>
                <w:szCs w:val="22"/>
                <w:lang w:val="en-CA"/>
              </w:rPr>
              <w:t>Author(s) or</w:t>
            </w:r>
            <w:r w:rsidRPr="006D14C3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81277" w:rsidRDefault="00897B88">
            <w:pPr>
              <w:spacing w:before="60" w:after="60"/>
              <w:rPr>
                <w:szCs w:val="22"/>
                <w:lang w:val="en-CA"/>
              </w:rPr>
            </w:pPr>
            <w:r w:rsidRPr="006D14C3">
              <w:rPr>
                <w:szCs w:val="22"/>
                <w:lang w:val="en-CA"/>
              </w:rPr>
              <w:t xml:space="preserve">Ismail </w:t>
            </w:r>
            <w:proofErr w:type="spellStart"/>
            <w:r w:rsidRPr="006D14C3">
              <w:rPr>
                <w:szCs w:val="22"/>
                <w:lang w:val="en-CA"/>
              </w:rPr>
              <w:t>Markuki</w:t>
            </w:r>
            <w:proofErr w:type="spellEnd"/>
            <w:r w:rsidRPr="006D14C3">
              <w:rPr>
                <w:szCs w:val="22"/>
                <w:lang w:val="en-CA"/>
              </w:rPr>
              <w:br/>
            </w:r>
            <w:r w:rsidR="00A2171E" w:rsidRPr="006D14C3">
              <w:rPr>
                <w:szCs w:val="22"/>
                <w:lang w:val="en-CA"/>
              </w:rPr>
              <w:t>Yong-Jo Ahn</w:t>
            </w:r>
          </w:p>
          <w:p w:rsidR="00823DF9" w:rsidRPr="006D14C3" w:rsidRDefault="0028127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Wahyu Wiratama</w:t>
            </w:r>
            <w:r w:rsidR="00823DF9" w:rsidRPr="006D14C3">
              <w:rPr>
                <w:szCs w:val="22"/>
                <w:lang w:val="en-CA"/>
              </w:rPr>
              <w:br/>
              <w:t>Donggyu Sim</w:t>
            </w:r>
          </w:p>
          <w:p w:rsidR="00E61DAC" w:rsidRPr="006D14C3" w:rsidRDefault="00E61DAC" w:rsidP="00823DF9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6D14C3" w:rsidRDefault="00E61DAC">
            <w:pPr>
              <w:spacing w:before="60" w:after="60"/>
              <w:rPr>
                <w:szCs w:val="22"/>
                <w:lang w:val="en-CA"/>
              </w:rPr>
            </w:pPr>
            <w:r w:rsidRPr="006D14C3">
              <w:rPr>
                <w:szCs w:val="22"/>
                <w:lang w:val="en-CA"/>
              </w:rPr>
              <w:t>Tel:</w:t>
            </w:r>
            <w:r w:rsidRPr="006D14C3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81277" w:rsidRDefault="00823DF9" w:rsidP="001E57C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6D14C3">
              <w:rPr>
                <w:szCs w:val="22"/>
                <w:lang w:val="en-CA"/>
              </w:rPr>
              <w:t>+82-2-940-5470</w:t>
            </w:r>
            <w:r w:rsidR="00897B88" w:rsidRPr="006D14C3">
              <w:rPr>
                <w:szCs w:val="22"/>
                <w:lang w:val="en-CA"/>
              </w:rPr>
              <w:br/>
            </w:r>
            <w:hyperlink r:id="rId9" w:history="1">
              <w:r w:rsidR="00897B88" w:rsidRPr="006D14C3">
                <w:rPr>
                  <w:rStyle w:val="Hyperlink"/>
                  <w:szCs w:val="22"/>
                  <w:lang w:val="en-CA"/>
                </w:rPr>
                <w:t>ismail@kw.ac.kr</w:t>
              </w:r>
            </w:hyperlink>
            <w:r w:rsidR="00E61DAC" w:rsidRPr="006D14C3">
              <w:rPr>
                <w:szCs w:val="22"/>
                <w:lang w:val="en-CA"/>
              </w:rPr>
              <w:br/>
            </w:r>
            <w:hyperlink r:id="rId10" w:history="1">
              <w:r w:rsidRPr="006D14C3">
                <w:rPr>
                  <w:rStyle w:val="Hyperlink"/>
                  <w:szCs w:val="22"/>
                  <w:lang w:val="en-CA"/>
                </w:rPr>
                <w:t>yongjoahn@kw.ac.kr</w:t>
              </w:r>
            </w:hyperlink>
          </w:p>
          <w:p w:rsidR="00E149D1" w:rsidRPr="006D14C3" w:rsidRDefault="005C196E" w:rsidP="001E57C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Style w:val="Hyperlink"/>
                <w:szCs w:val="22"/>
                <w:lang w:val="en-CA"/>
              </w:rPr>
              <w:t>wiratama</w:t>
            </w:r>
            <w:r w:rsidR="00281277">
              <w:rPr>
                <w:rStyle w:val="Hyperlink"/>
                <w:szCs w:val="22"/>
                <w:lang w:val="en-CA"/>
              </w:rPr>
              <w:t>@kw.ac.kr</w:t>
            </w:r>
            <w:r w:rsidR="004338A9" w:rsidRPr="006D14C3">
              <w:rPr>
                <w:szCs w:val="22"/>
                <w:lang w:val="en-CA"/>
              </w:rPr>
              <w:br/>
            </w:r>
            <w:hyperlink r:id="rId11" w:history="1">
              <w:r w:rsidR="00E149D1" w:rsidRPr="006D14C3">
                <w:rPr>
                  <w:rStyle w:val="Hyperlink"/>
                  <w:szCs w:val="22"/>
                  <w:lang w:val="en-CA"/>
                </w:rPr>
                <w:t>dgsim@kw.ac.kr</w:t>
              </w:r>
            </w:hyperlink>
          </w:p>
        </w:tc>
      </w:tr>
      <w:tr w:rsidR="00E61DAC" w:rsidRPr="006D14C3">
        <w:tc>
          <w:tcPr>
            <w:tcW w:w="1458" w:type="dxa"/>
          </w:tcPr>
          <w:p w:rsidR="00E61DAC" w:rsidRPr="006D14C3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D14C3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D14C3" w:rsidRDefault="00823DF9" w:rsidP="00E149D1">
            <w:pPr>
              <w:spacing w:before="60" w:after="60"/>
              <w:rPr>
                <w:szCs w:val="22"/>
                <w:lang w:val="en-CA"/>
              </w:rPr>
            </w:pPr>
            <w:r w:rsidRPr="006D14C3">
              <w:rPr>
                <w:szCs w:val="22"/>
                <w:lang w:val="en-CA"/>
              </w:rPr>
              <w:t>KWU (</w:t>
            </w:r>
            <w:proofErr w:type="spellStart"/>
            <w:r w:rsidRPr="006D14C3">
              <w:rPr>
                <w:szCs w:val="22"/>
                <w:lang w:val="en-CA"/>
              </w:rPr>
              <w:t>Kwangwoon</w:t>
            </w:r>
            <w:proofErr w:type="spellEnd"/>
            <w:r w:rsidRPr="006D14C3">
              <w:rPr>
                <w:szCs w:val="22"/>
                <w:lang w:val="en-CA"/>
              </w:rPr>
              <w:t xml:space="preserve"> University)</w:t>
            </w:r>
          </w:p>
        </w:tc>
      </w:tr>
    </w:tbl>
    <w:p w:rsidR="00E61DAC" w:rsidRPr="006D14C3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6D14C3">
        <w:rPr>
          <w:szCs w:val="22"/>
          <w:u w:val="single"/>
          <w:lang w:val="en-CA"/>
        </w:rPr>
        <w:t>_____________________________</w:t>
      </w:r>
    </w:p>
    <w:p w:rsidR="00275BCF" w:rsidRPr="006D14C3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6D14C3">
        <w:rPr>
          <w:lang w:val="en-CA"/>
        </w:rPr>
        <w:t>Abstract</w:t>
      </w:r>
    </w:p>
    <w:p w:rsidR="000D70A7" w:rsidRDefault="00897B88" w:rsidP="005E004E">
      <w:pPr>
        <w:jc w:val="both"/>
        <w:rPr>
          <w:lang w:val="en-CA"/>
        </w:rPr>
      </w:pPr>
      <w:r w:rsidRPr="00D03BE4">
        <w:rPr>
          <w:rFonts w:hint="eastAsia"/>
          <w:lang w:val="en-CA" w:eastAsia="ko-KR"/>
        </w:rPr>
        <w:t xml:space="preserve">This contribution proposes </w:t>
      </w:r>
      <w:r w:rsidRPr="00D03BE4">
        <w:rPr>
          <w:lang w:val="en-CA" w:eastAsia="ko-KR"/>
        </w:rPr>
        <w:t>a tile</w:t>
      </w:r>
      <w:r w:rsidR="004338A9" w:rsidRPr="00D03BE4">
        <w:rPr>
          <w:lang w:val="en-CA" w:eastAsia="ko-KR"/>
        </w:rPr>
        <w:t xml:space="preserve"> </w:t>
      </w:r>
      <w:r w:rsidR="00C30D8A" w:rsidRPr="00D03BE4">
        <w:rPr>
          <w:lang w:val="en-CA" w:eastAsia="ko-KR"/>
        </w:rPr>
        <w:t xml:space="preserve">level rate control for multi-core platform on HEVC. </w:t>
      </w:r>
      <w:r w:rsidR="007D6283" w:rsidRPr="00D03BE4">
        <w:rPr>
          <w:lang w:val="en-CA" w:eastAsia="ko-KR"/>
        </w:rPr>
        <w:t xml:space="preserve">The proposed tile-level rate control algorithm is </w:t>
      </w:r>
      <w:r w:rsidR="00AC1AED" w:rsidRPr="00D03BE4">
        <w:rPr>
          <w:lang w:val="en-CA" w:eastAsia="ko-KR"/>
        </w:rPr>
        <w:t>integrated</w:t>
      </w:r>
      <w:r w:rsidR="007D6283" w:rsidRPr="00D03BE4">
        <w:rPr>
          <w:lang w:val="en-CA" w:eastAsia="ko-KR"/>
        </w:rPr>
        <w:t xml:space="preserve"> on HM-16.</w:t>
      </w:r>
      <w:r w:rsidR="00AC1AED" w:rsidRPr="00D03BE4">
        <w:rPr>
          <w:lang w:val="en-CA" w:eastAsia="ko-KR"/>
        </w:rPr>
        <w:t>12</w:t>
      </w:r>
      <w:r w:rsidR="007D6283" w:rsidRPr="00D03BE4">
        <w:rPr>
          <w:lang w:val="en-CA" w:eastAsia="ko-KR"/>
        </w:rPr>
        <w:t xml:space="preserve">. </w:t>
      </w:r>
      <w:r w:rsidR="00B67D82" w:rsidRPr="00D03BE4">
        <w:rPr>
          <w:lang w:val="en-CA" w:eastAsia="ko-KR"/>
        </w:rPr>
        <w:t xml:space="preserve">This contribution is proposed to favor </w:t>
      </w:r>
      <w:r w:rsidR="00C30D8A" w:rsidRPr="00D03BE4">
        <w:rPr>
          <w:lang w:val="en-CA" w:eastAsia="ko-KR"/>
        </w:rPr>
        <w:t>multi-core platform</w:t>
      </w:r>
      <w:r w:rsidR="00B67D82" w:rsidRPr="00D03BE4">
        <w:rPr>
          <w:lang w:val="en-CA" w:eastAsia="ko-KR"/>
        </w:rPr>
        <w:t xml:space="preserve"> in tile-level. The proposed algorithm is evaluated with three different tile configurations (4, 6, and 8 tile partitions). Compared with the existing rate control algorithm in HM-16.12 (without tile-level rate control as an anchor), the proposed algorithm yields similar Y PSNR and BD-rate performance. The bitrate accuracy is also slightly improved fo</w:t>
      </w:r>
      <w:r w:rsidR="00945603" w:rsidRPr="00D03BE4">
        <w:rPr>
          <w:lang w:val="en-CA" w:eastAsia="ko-KR"/>
        </w:rPr>
        <w:t>r all tile configuration tests.</w:t>
      </w:r>
      <w:r w:rsidR="00945603">
        <w:rPr>
          <w:lang w:val="en-CA" w:eastAsia="ko-KR"/>
        </w:rPr>
        <w:t xml:space="preserve"> </w:t>
      </w:r>
    </w:p>
    <w:p w:rsidR="008C47C3" w:rsidRDefault="008C47C3" w:rsidP="005E004E">
      <w:pPr>
        <w:jc w:val="both"/>
        <w:rPr>
          <w:lang w:val="en-CA"/>
        </w:rPr>
      </w:pPr>
    </w:p>
    <w:p w:rsidR="0082428D" w:rsidRDefault="0082428D" w:rsidP="005E004E">
      <w:pPr>
        <w:jc w:val="both"/>
        <w:rPr>
          <w:lang w:val="en-CA"/>
        </w:rPr>
      </w:pPr>
    </w:p>
    <w:p w:rsidR="00745F6B" w:rsidRPr="006D14C3" w:rsidRDefault="00745F6B" w:rsidP="00E11923">
      <w:pPr>
        <w:pStyle w:val="Heading1"/>
        <w:rPr>
          <w:lang w:val="en-CA"/>
        </w:rPr>
      </w:pPr>
      <w:r w:rsidRPr="006D14C3">
        <w:rPr>
          <w:lang w:val="en-CA"/>
        </w:rPr>
        <w:t>Introduction</w:t>
      </w:r>
    </w:p>
    <w:p w:rsidR="00A04889" w:rsidRPr="009B3C13" w:rsidRDefault="00871916" w:rsidP="00871916">
      <w:pPr>
        <w:jc w:val="both"/>
      </w:pPr>
      <w:r>
        <w:rPr>
          <w:lang w:val="en-CA"/>
        </w:rPr>
        <w:t xml:space="preserve">The </w:t>
      </w:r>
      <w:r w:rsidR="00651509">
        <w:rPr>
          <w:lang w:val="en-CA"/>
        </w:rPr>
        <w:t>idea of Tile-level rate control for HEVC was introduced and suggested as a further study contribution [</w:t>
      </w:r>
      <w:r w:rsidR="00CF7A67">
        <w:rPr>
          <w:lang w:val="en-CA"/>
        </w:rPr>
        <w:t>1</w:t>
      </w:r>
      <w:r w:rsidR="00651509">
        <w:rPr>
          <w:lang w:val="en-CA"/>
        </w:rPr>
        <w:t>]</w:t>
      </w:r>
      <w:r>
        <w:rPr>
          <w:lang w:val="en-CA"/>
        </w:rPr>
        <w:t xml:space="preserve"> in the </w:t>
      </w:r>
      <w:r w:rsidR="00CF7A67">
        <w:rPr>
          <w:lang w:eastAsia="ja-JP"/>
        </w:rPr>
        <w:t>22</w:t>
      </w:r>
      <w:r w:rsidR="00CF7A67" w:rsidRPr="00592050">
        <w:rPr>
          <w:vertAlign w:val="superscript"/>
          <w:lang w:eastAsia="ja-JP"/>
        </w:rPr>
        <w:t>nd</w:t>
      </w:r>
      <w:r w:rsidR="00CF7A67">
        <w:rPr>
          <w:lang w:eastAsia="ja-JP"/>
        </w:rPr>
        <w:t xml:space="preserve"> JCT-VC meeting, Geneva</w:t>
      </w:r>
      <w:r w:rsidR="00651509">
        <w:rPr>
          <w:lang w:val="en-CA"/>
        </w:rPr>
        <w:t xml:space="preserve">. It is proposed due to tile parallelism is practically </w:t>
      </w:r>
      <w:r w:rsidR="001F543F">
        <w:rPr>
          <w:lang w:val="en-CA"/>
        </w:rPr>
        <w:t>more considerable</w:t>
      </w:r>
      <w:r w:rsidR="00651509">
        <w:rPr>
          <w:lang w:val="en-CA"/>
        </w:rPr>
        <w:t xml:space="preserve"> </w:t>
      </w:r>
      <w:r w:rsidR="001F543F">
        <w:rPr>
          <w:lang w:val="en-CA"/>
        </w:rPr>
        <w:t>for a</w:t>
      </w:r>
      <w:r w:rsidR="00651509">
        <w:rPr>
          <w:lang w:val="en-CA"/>
        </w:rPr>
        <w:t xml:space="preserve"> fast encoding </w:t>
      </w:r>
      <w:r w:rsidR="00F16DDA">
        <w:rPr>
          <w:lang w:val="en-CA"/>
        </w:rPr>
        <w:t xml:space="preserve">and decoding </w:t>
      </w:r>
      <w:r w:rsidR="00651509">
        <w:rPr>
          <w:lang w:val="en-CA"/>
        </w:rPr>
        <w:t xml:space="preserve">of video technology. </w:t>
      </w:r>
      <w:r w:rsidR="00A220AA" w:rsidRPr="006D14C3">
        <w:rPr>
          <w:lang w:val="en-CA"/>
        </w:rPr>
        <w:t xml:space="preserve">However, </w:t>
      </w:r>
      <w:r>
        <w:rPr>
          <w:lang w:val="en-CA"/>
        </w:rPr>
        <w:t xml:space="preserve">tile parallelism </w:t>
      </w:r>
      <w:r w:rsidRPr="00066853">
        <w:rPr>
          <w:lang w:val="en-CA"/>
        </w:rPr>
        <w:t xml:space="preserve">will </w:t>
      </w:r>
      <w:r w:rsidR="00A04889">
        <w:rPr>
          <w:lang w:val="en-CA"/>
        </w:rPr>
        <w:t xml:space="preserve">lose BD-rate performance </w:t>
      </w:r>
      <w:r w:rsidRPr="00066853">
        <w:rPr>
          <w:lang w:val="en-CA"/>
        </w:rPr>
        <w:t xml:space="preserve">with number </w:t>
      </w:r>
      <w:r w:rsidR="00A04889">
        <w:rPr>
          <w:lang w:val="en-CA"/>
        </w:rPr>
        <w:t xml:space="preserve">partition </w:t>
      </w:r>
      <w:r w:rsidRPr="00066853">
        <w:rPr>
          <w:lang w:val="en-CA"/>
        </w:rPr>
        <w:t>of tiles</w:t>
      </w:r>
      <w:r w:rsidR="00A04889">
        <w:rPr>
          <w:lang w:val="en-CA"/>
        </w:rPr>
        <w:t xml:space="preserve">. </w:t>
      </w:r>
      <w:r w:rsidRPr="00066853">
        <w:rPr>
          <w:lang w:val="en-CA"/>
        </w:rPr>
        <w:t xml:space="preserve">It is </w:t>
      </w:r>
      <w:r w:rsidR="004575F3">
        <w:rPr>
          <w:lang w:val="en-CA"/>
        </w:rPr>
        <w:t>due to</w:t>
      </w:r>
      <w:r w:rsidRPr="00066853">
        <w:rPr>
          <w:lang w:val="en-CA"/>
        </w:rPr>
        <w:t xml:space="preserve"> t</w:t>
      </w:r>
      <w:r w:rsidR="00A04889">
        <w:rPr>
          <w:lang w:val="en-CA"/>
        </w:rPr>
        <w:t>here exists what so-called with</w:t>
      </w:r>
      <w:r w:rsidRPr="00066853">
        <w:rPr>
          <w:lang w:val="en-CA"/>
        </w:rPr>
        <w:t xml:space="preserve"> dependency breaking along partition boundaries.</w:t>
      </w:r>
      <w:r>
        <w:rPr>
          <w:lang w:val="en-CA"/>
        </w:rPr>
        <w:t xml:space="preserve"> </w:t>
      </w:r>
      <w:r w:rsidR="009B3C13">
        <w:rPr>
          <w:lang w:val="en-CA"/>
        </w:rPr>
        <w:t>In tile-level multi-core case, a</w:t>
      </w:r>
      <w:r w:rsidR="009B3C13" w:rsidRPr="009B3C13">
        <w:rPr>
          <w:lang w:val="en-CA"/>
        </w:rPr>
        <w:t xml:space="preserve">ll the tiles are independently encoded and their </w:t>
      </w:r>
      <w:r w:rsidR="009B3C13">
        <w:rPr>
          <w:lang w:val="en-CA"/>
        </w:rPr>
        <w:t>QP</w:t>
      </w:r>
      <w:r w:rsidR="009B3C13" w:rsidRPr="009B3C13">
        <w:rPr>
          <w:lang w:val="en-CA"/>
        </w:rPr>
        <w:t xml:space="preserve"> must be independently determined as well. Thus, it is not easy to meet the rate constraint and also realize the desired visual quality. </w:t>
      </w:r>
      <w:r w:rsidR="009B3C13">
        <w:rPr>
          <w:lang w:val="en-CA"/>
        </w:rPr>
        <w:t>In addition, n</w:t>
      </w:r>
      <w:r w:rsidR="009B3C13" w:rsidRPr="009B3C13">
        <w:rPr>
          <w:lang w:val="en-CA"/>
        </w:rPr>
        <w:t>one of the major rate control models developed in the video coding standards</w:t>
      </w:r>
      <w:r w:rsidR="009B3C13">
        <w:rPr>
          <w:lang w:val="en-CA"/>
        </w:rPr>
        <w:t xml:space="preserve"> </w:t>
      </w:r>
      <w:r w:rsidR="009B3C13" w:rsidRPr="009B3C13">
        <w:rPr>
          <w:lang w:val="en-CA"/>
        </w:rPr>
        <w:t>provide</w:t>
      </w:r>
      <w:r w:rsidR="004575F3">
        <w:rPr>
          <w:lang w:val="en-CA"/>
        </w:rPr>
        <w:t>s</w:t>
      </w:r>
      <w:r w:rsidR="009B3C13" w:rsidRPr="009B3C13">
        <w:rPr>
          <w:lang w:val="en-CA"/>
        </w:rPr>
        <w:t xml:space="preserve"> any consideration for tile-level parallelism cases</w:t>
      </w:r>
      <w:r w:rsidR="009B3C13">
        <w:rPr>
          <w:lang w:val="en-CA"/>
        </w:rPr>
        <w:t xml:space="preserve">. </w:t>
      </w:r>
      <w:r w:rsidR="009B3C13" w:rsidRPr="009B3C13">
        <w:rPr>
          <w:lang w:val="en-CA"/>
        </w:rPr>
        <w:t>Accordingly, to maximize compression performance (i.e., better coding efficiency and/or better visual quality), it is important to control the encoding processes for each tile.</w:t>
      </w:r>
    </w:p>
    <w:p w:rsidR="00D8274B" w:rsidRDefault="00D8274B" w:rsidP="004234F0">
      <w:pPr>
        <w:jc w:val="both"/>
        <w:rPr>
          <w:szCs w:val="22"/>
          <w:lang w:eastAsia="ko-KR"/>
        </w:rPr>
      </w:pPr>
    </w:p>
    <w:p w:rsidR="0082428D" w:rsidRPr="006D14C3" w:rsidRDefault="0082428D" w:rsidP="004234F0">
      <w:pPr>
        <w:jc w:val="both"/>
        <w:rPr>
          <w:szCs w:val="22"/>
          <w:lang w:eastAsia="ko-KR"/>
        </w:rPr>
      </w:pPr>
    </w:p>
    <w:p w:rsidR="00DF0E86" w:rsidRPr="006D14C3" w:rsidRDefault="00C87889" w:rsidP="005C3205">
      <w:pPr>
        <w:pStyle w:val="Heading1"/>
        <w:rPr>
          <w:lang w:val="en-CA" w:eastAsia="ko-KR"/>
        </w:rPr>
      </w:pPr>
      <w:r w:rsidRPr="006D14C3">
        <w:rPr>
          <w:rFonts w:hint="eastAsia"/>
          <w:lang w:val="en-CA" w:eastAsia="ko-KR"/>
        </w:rPr>
        <w:t>Proposed techniques</w:t>
      </w:r>
    </w:p>
    <w:p w:rsidR="00352F99" w:rsidRPr="00C5214A" w:rsidRDefault="009B3C13" w:rsidP="005C3205">
      <w:pPr>
        <w:jc w:val="both"/>
        <w:rPr>
          <w:lang w:val="en-GB" w:eastAsia="zh-TW"/>
        </w:rPr>
      </w:pPr>
      <w:r>
        <w:rPr>
          <w:lang w:val="en-CA" w:eastAsia="zh-TW"/>
        </w:rPr>
        <w:t xml:space="preserve">Broadly, </w:t>
      </w:r>
      <w:r w:rsidRPr="009B3C13">
        <w:rPr>
          <w:lang w:val="en-CA" w:eastAsia="zh-TW"/>
        </w:rPr>
        <w:t>rate control algorithms are designed primarily with multi-level bit allocations that consider only group-of-picture (GOP)-, picture-, and block-unit levels.</w:t>
      </w:r>
      <w:r>
        <w:rPr>
          <w:lang w:val="en-CA" w:eastAsia="zh-TW"/>
        </w:rPr>
        <w:t xml:space="preserve"> </w:t>
      </w:r>
      <w:r w:rsidR="004A4DF9" w:rsidRPr="006D14C3">
        <w:rPr>
          <w:lang w:val="en-CA" w:eastAsia="zh-TW"/>
        </w:rPr>
        <w:t>T</w:t>
      </w:r>
      <w:r w:rsidR="00FB36F6" w:rsidRPr="006D14C3">
        <w:rPr>
          <w:lang w:val="en-CA" w:eastAsia="zh-TW"/>
        </w:rPr>
        <w:t>he proposed contribution</w:t>
      </w:r>
      <w:r w:rsidR="004A4DF9" w:rsidRPr="006D14C3">
        <w:rPr>
          <w:lang w:val="en-CA" w:eastAsia="zh-TW"/>
        </w:rPr>
        <w:t xml:space="preserve"> </w:t>
      </w:r>
      <w:r>
        <w:rPr>
          <w:lang w:val="en-CA" w:eastAsia="zh-TW"/>
        </w:rPr>
        <w:t>embeds a tile-level</w:t>
      </w:r>
      <w:r w:rsidR="004A4DF9" w:rsidRPr="006D14C3">
        <w:rPr>
          <w:lang w:val="en-CA" w:eastAsia="zh-TW"/>
        </w:rPr>
        <w:t xml:space="preserve"> bit allocation </w:t>
      </w:r>
      <w:r>
        <w:rPr>
          <w:lang w:val="en-CA" w:eastAsia="zh-TW"/>
        </w:rPr>
        <w:t xml:space="preserve">to favor </w:t>
      </w:r>
      <w:r w:rsidR="004A4DF9" w:rsidRPr="006D14C3">
        <w:rPr>
          <w:lang w:val="en-CA" w:eastAsia="zh-TW"/>
        </w:rPr>
        <w:t>tile</w:t>
      </w:r>
      <w:r>
        <w:rPr>
          <w:lang w:val="en-CA" w:eastAsia="zh-TW"/>
        </w:rPr>
        <w:t>-level parallelism</w:t>
      </w:r>
      <w:r w:rsidR="00C5214A">
        <w:rPr>
          <w:lang w:val="en-CA" w:eastAsia="zh-TW"/>
        </w:rPr>
        <w:t>, as shown in Figure 1.</w:t>
      </w:r>
      <w:r w:rsidR="00DA5B4B" w:rsidRPr="006D14C3">
        <w:rPr>
          <w:lang w:val="en-CA" w:eastAsia="zh-TW"/>
        </w:rPr>
        <w:t xml:space="preserve"> </w:t>
      </w:r>
      <w:r w:rsidR="001E57CD" w:rsidRPr="001E57CD">
        <w:rPr>
          <w:lang w:val="en-GB" w:eastAsia="zh-TW"/>
        </w:rPr>
        <w:t xml:space="preserve">The proposed algorithm is </w:t>
      </w:r>
      <w:r w:rsidR="00C5214A">
        <w:rPr>
          <w:lang w:val="en-GB" w:eastAsia="zh-TW"/>
        </w:rPr>
        <w:t>organized</w:t>
      </w:r>
      <w:r w:rsidR="001E57CD" w:rsidRPr="001E57CD">
        <w:rPr>
          <w:lang w:val="en-GB" w:eastAsia="zh-TW"/>
        </w:rPr>
        <w:t xml:space="preserve"> based on the</w:t>
      </w:r>
      <w:r w:rsidR="001E57CD">
        <w:rPr>
          <w:lang w:val="en-GB" w:eastAsia="zh-TW"/>
        </w:rPr>
        <w:t xml:space="preserve"> R-Lambda model rate control of HM</w:t>
      </w:r>
      <w:r w:rsidR="00C5214A">
        <w:rPr>
          <w:lang w:val="en-GB" w:eastAsia="zh-TW"/>
        </w:rPr>
        <w:t xml:space="preserve"> 16.12</w:t>
      </w:r>
      <w:r w:rsidR="001E57CD" w:rsidRPr="001E57CD">
        <w:rPr>
          <w:lang w:val="en-GB" w:eastAsia="zh-TW"/>
        </w:rPr>
        <w:t>.</w:t>
      </w:r>
      <w:r w:rsidR="001E57CD">
        <w:rPr>
          <w:lang w:val="en-GB" w:eastAsia="zh-TW"/>
        </w:rPr>
        <w:t xml:space="preserve"> </w:t>
      </w:r>
      <w:r w:rsidR="00C5214A">
        <w:rPr>
          <w:lang w:val="en-CA" w:eastAsia="zh-TW"/>
        </w:rPr>
        <w:t>T</w:t>
      </w:r>
      <w:r w:rsidR="00C5214A" w:rsidRPr="006D14C3">
        <w:rPr>
          <w:lang w:val="en-CA" w:eastAsia="zh-TW"/>
        </w:rPr>
        <w:t xml:space="preserve">here is no any changing </w:t>
      </w:r>
      <w:r w:rsidR="00C5214A">
        <w:rPr>
          <w:lang w:val="en-CA" w:eastAsia="zh-TW"/>
        </w:rPr>
        <w:t xml:space="preserve">of the </w:t>
      </w:r>
      <w:r w:rsidR="00C5214A" w:rsidRPr="006D14C3">
        <w:rPr>
          <w:lang w:val="en-GB" w:eastAsia="zh-TW"/>
        </w:rPr>
        <w:t xml:space="preserve">rate control </w:t>
      </w:r>
      <w:r w:rsidR="00C5214A">
        <w:rPr>
          <w:lang w:val="en-GB" w:eastAsia="zh-TW"/>
        </w:rPr>
        <w:t xml:space="preserve">for </w:t>
      </w:r>
      <w:r w:rsidR="00C5214A" w:rsidRPr="006D14C3">
        <w:rPr>
          <w:lang w:val="en-GB" w:eastAsia="zh-TW"/>
        </w:rPr>
        <w:t>GOP</w:t>
      </w:r>
      <w:r w:rsidR="00C5214A">
        <w:rPr>
          <w:lang w:val="en-GB" w:eastAsia="zh-TW"/>
        </w:rPr>
        <w:t>-</w:t>
      </w:r>
      <w:r w:rsidR="00C5214A" w:rsidRPr="006D14C3">
        <w:rPr>
          <w:lang w:val="en-GB" w:eastAsia="zh-TW"/>
        </w:rPr>
        <w:t>, picture</w:t>
      </w:r>
      <w:r w:rsidR="00C5214A">
        <w:rPr>
          <w:lang w:val="en-GB" w:eastAsia="zh-TW"/>
        </w:rPr>
        <w:t>-</w:t>
      </w:r>
      <w:r w:rsidR="00C5214A" w:rsidRPr="006D14C3">
        <w:rPr>
          <w:lang w:val="en-GB" w:eastAsia="zh-TW"/>
        </w:rPr>
        <w:t>, and CTU</w:t>
      </w:r>
      <w:r w:rsidR="00C5214A">
        <w:rPr>
          <w:lang w:val="en-GB" w:eastAsia="zh-TW"/>
        </w:rPr>
        <w:t>-</w:t>
      </w:r>
      <w:r w:rsidR="00C5214A" w:rsidRPr="006D14C3">
        <w:rPr>
          <w:lang w:val="en-GB" w:eastAsia="zh-TW"/>
        </w:rPr>
        <w:t>level</w:t>
      </w:r>
      <w:r w:rsidR="00C5214A">
        <w:rPr>
          <w:lang w:val="en-GB" w:eastAsia="zh-TW"/>
        </w:rPr>
        <w:t>s</w:t>
      </w:r>
      <w:r w:rsidR="00C5214A" w:rsidRPr="006D14C3">
        <w:rPr>
          <w:lang w:val="en-GB" w:eastAsia="zh-TW"/>
        </w:rPr>
        <w:t xml:space="preserve">. </w:t>
      </w:r>
      <w:r w:rsidR="001E57CD" w:rsidRPr="001E57CD">
        <w:rPr>
          <w:lang w:val="en-CA" w:eastAsia="zh-TW"/>
        </w:rPr>
        <w:t xml:space="preserve">Once rate control in tile-level is performed, all CTUs in each tile will be coded </w:t>
      </w:r>
      <w:r w:rsidR="00C5214A">
        <w:rPr>
          <w:lang w:val="en-CA" w:eastAsia="zh-TW"/>
        </w:rPr>
        <w:t>with the CTU-</w:t>
      </w:r>
      <w:r w:rsidR="001E57CD" w:rsidRPr="001E57CD">
        <w:rPr>
          <w:lang w:val="en-CA" w:eastAsia="zh-TW"/>
        </w:rPr>
        <w:t>level rate control</w:t>
      </w:r>
      <w:r w:rsidR="001E57CD">
        <w:rPr>
          <w:lang w:val="en-CA" w:eastAsia="zh-TW"/>
        </w:rPr>
        <w:t xml:space="preserve">. </w:t>
      </w:r>
      <w:r w:rsidR="00C5214A">
        <w:rPr>
          <w:lang w:val="en-CA" w:eastAsia="zh-TW"/>
        </w:rPr>
        <w:t>Then, a</w:t>
      </w:r>
      <w:r w:rsidR="001E57CD" w:rsidRPr="001E57CD">
        <w:rPr>
          <w:lang w:val="en-CA" w:eastAsia="zh-TW"/>
        </w:rPr>
        <w:t>ll rate control parameters</w:t>
      </w:r>
      <w:r w:rsidR="00AC1AED">
        <w:rPr>
          <w:lang w:val="en-CA" w:eastAsia="zh-TW"/>
        </w:rPr>
        <w:t xml:space="preserve"> such as </w:t>
      </w:r>
      <w:r w:rsidR="00AC1AED" w:rsidRPr="001F3C65">
        <w:rPr>
          <w:i/>
          <w:lang w:val="en-CA"/>
        </w:rPr>
        <w:t>α</w:t>
      </w:r>
      <w:r w:rsidR="00AC1AED" w:rsidRPr="001F3C65">
        <w:rPr>
          <w:lang w:val="en-CA"/>
        </w:rPr>
        <w:t xml:space="preserve"> and </w:t>
      </w:r>
      <w:r w:rsidR="00AC1AED" w:rsidRPr="001F3C65">
        <w:rPr>
          <w:i/>
          <w:lang w:val="en-CA"/>
        </w:rPr>
        <w:t>β</w:t>
      </w:r>
      <w:r w:rsidR="001E57CD" w:rsidRPr="001E57CD">
        <w:rPr>
          <w:lang w:val="en-CA" w:eastAsia="zh-TW"/>
        </w:rPr>
        <w:t xml:space="preserve"> will be updated </w:t>
      </w:r>
      <w:r w:rsidR="00C5214A" w:rsidRPr="00C5214A">
        <w:rPr>
          <w:lang w:val="en-CA" w:eastAsia="zh-TW"/>
        </w:rPr>
        <w:t>using the average value</w:t>
      </w:r>
      <w:r w:rsidR="00C5214A">
        <w:rPr>
          <w:lang w:val="en-CA" w:eastAsia="zh-TW"/>
        </w:rPr>
        <w:t xml:space="preserve">s from all the tile partitions </w:t>
      </w:r>
      <w:r w:rsidR="001E57CD" w:rsidRPr="001E57CD">
        <w:rPr>
          <w:lang w:val="en-CA" w:eastAsia="zh-TW"/>
        </w:rPr>
        <w:t xml:space="preserve">after encoding process. </w:t>
      </w:r>
      <w:r w:rsidR="00352F99" w:rsidRPr="006D14C3">
        <w:rPr>
          <w:lang w:val="en-CA" w:eastAsia="zh-TW"/>
        </w:rPr>
        <w:t xml:space="preserve"> </w:t>
      </w:r>
    </w:p>
    <w:p w:rsidR="00352F99" w:rsidRPr="006D14C3" w:rsidRDefault="00AC1AED" w:rsidP="001E57CD">
      <w:pPr>
        <w:pStyle w:val="a"/>
        <w:shd w:val="clear" w:color="auto" w:fill="FFFFFF"/>
        <w:snapToGrid/>
        <w:jc w:val="center"/>
      </w:pPr>
      <w:r>
        <w:rPr>
          <w:noProof/>
          <w:lang w:val="en-GB"/>
        </w:rPr>
        <w:lastRenderedPageBreak/>
        <w:drawing>
          <wp:inline distT="0" distB="0" distL="0" distR="0" wp14:anchorId="48A8A1AF">
            <wp:extent cx="6041390" cy="3743831"/>
            <wp:effectExtent l="0" t="0" r="0" b="9525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538" cy="37532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2F99" w:rsidRDefault="00352F99" w:rsidP="00352F99">
      <w:pPr>
        <w:jc w:val="center"/>
        <w:rPr>
          <w:b/>
          <w:lang w:val="en-CA" w:eastAsia="zh-TW"/>
        </w:rPr>
      </w:pPr>
      <w:r w:rsidRPr="006D14C3">
        <w:rPr>
          <w:b/>
          <w:lang w:val="en-CA" w:eastAsia="zh-TW"/>
        </w:rPr>
        <w:t>Figure 1. Block-diagram of</w:t>
      </w:r>
      <w:r w:rsidR="00725997">
        <w:rPr>
          <w:b/>
          <w:lang w:val="en-CA" w:eastAsia="zh-TW"/>
        </w:rPr>
        <w:t xml:space="preserve"> the proposed</w:t>
      </w:r>
      <w:r w:rsidRPr="006D14C3">
        <w:rPr>
          <w:b/>
          <w:lang w:val="en-CA" w:eastAsia="zh-TW"/>
        </w:rPr>
        <w:t xml:space="preserve"> </w:t>
      </w:r>
      <w:r w:rsidR="00725997" w:rsidRPr="00725997">
        <w:rPr>
          <w:rFonts w:eastAsia="HY Sinmyeongjo"/>
          <w:b/>
          <w:sz w:val="24"/>
          <w:szCs w:val="24"/>
          <w:lang w:eastAsia="ko-KR"/>
        </w:rPr>
        <w:t>tile-level rate control algorithm</w:t>
      </w:r>
    </w:p>
    <w:p w:rsidR="00725997" w:rsidRDefault="00725997" w:rsidP="00352F99">
      <w:pPr>
        <w:jc w:val="center"/>
        <w:rPr>
          <w:b/>
          <w:lang w:val="en-CA" w:eastAsia="zh-TW"/>
        </w:rPr>
      </w:pPr>
    </w:p>
    <w:p w:rsidR="00725997" w:rsidRDefault="00725997" w:rsidP="00352F99">
      <w:pPr>
        <w:jc w:val="center"/>
        <w:rPr>
          <w:b/>
          <w:lang w:val="en-CA" w:eastAsia="zh-TW"/>
        </w:rPr>
      </w:pPr>
    </w:p>
    <w:p w:rsidR="00725997" w:rsidRDefault="008354C2" w:rsidP="00352F99">
      <w:pPr>
        <w:jc w:val="center"/>
        <w:rPr>
          <w:b/>
          <w:lang w:val="en-CA" w:eastAsia="zh-TW"/>
        </w:rPr>
      </w:pPr>
      <w:r>
        <w:rPr>
          <w:b/>
          <w:noProof/>
          <w:lang w:val="en-GB" w:eastAsia="ko-KR"/>
        </w:rPr>
        <w:drawing>
          <wp:inline distT="0" distB="0" distL="0" distR="0" wp14:anchorId="6C91AF2B">
            <wp:extent cx="6066719" cy="3477524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211" cy="34944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5997" w:rsidRPr="00725997" w:rsidRDefault="00725997" w:rsidP="00725997">
      <w:pPr>
        <w:widowControl w:val="0"/>
        <w:snapToGrid w:val="0"/>
        <w:spacing w:line="552" w:lineRule="auto"/>
        <w:jc w:val="center"/>
        <w:rPr>
          <w:rFonts w:eastAsia="HY Sinmyeongjo"/>
          <w:b/>
          <w:sz w:val="24"/>
          <w:szCs w:val="24"/>
          <w:lang w:eastAsia="ko-KR"/>
        </w:rPr>
      </w:pPr>
      <w:r w:rsidRPr="00725997">
        <w:rPr>
          <w:rFonts w:eastAsia="HY Sinmyeongjo"/>
          <w:b/>
          <w:sz w:val="24"/>
          <w:szCs w:val="24"/>
          <w:lang w:eastAsia="ko-KR"/>
        </w:rPr>
        <w:t xml:space="preserve">Figure 2. </w:t>
      </w:r>
      <w:r>
        <w:rPr>
          <w:rFonts w:eastAsia="HY Sinmyeongjo"/>
          <w:b/>
          <w:sz w:val="24"/>
          <w:szCs w:val="24"/>
          <w:lang w:eastAsia="ko-KR"/>
        </w:rPr>
        <w:t>Bit allocation f</w:t>
      </w:r>
      <w:r w:rsidRPr="00725997">
        <w:rPr>
          <w:rFonts w:eastAsia="HY Sinmyeongjo"/>
          <w:b/>
          <w:sz w:val="24"/>
          <w:szCs w:val="24"/>
          <w:lang w:eastAsia="ko-KR"/>
        </w:rPr>
        <w:t>lowchart of the proposed tile-level rate control algorithm</w:t>
      </w:r>
    </w:p>
    <w:p w:rsidR="007F54C7" w:rsidRDefault="005513F5" w:rsidP="00365323">
      <w:pPr>
        <w:jc w:val="both"/>
        <w:rPr>
          <w:lang w:val="en-CA" w:eastAsia="zh-TW"/>
        </w:rPr>
      </w:pPr>
      <w:r>
        <w:rPr>
          <w:lang w:val="en-CA" w:eastAsia="zh-TW"/>
        </w:rPr>
        <w:lastRenderedPageBreak/>
        <w:t xml:space="preserve">Figure 2 illustrates how the proposed algorithm allocates some bits for a tile in intra and inter picture. For tile in intra picture, </w:t>
      </w:r>
      <w:r w:rsidR="007F54C7">
        <w:rPr>
          <w:lang w:val="en-CA" w:eastAsia="zh-TW"/>
        </w:rPr>
        <w:t xml:space="preserve">we consider sum of </w:t>
      </w:r>
      <w:r>
        <w:rPr>
          <w:lang w:val="en-CA" w:eastAsia="zh-TW"/>
        </w:rPr>
        <w:t>SATD value</w:t>
      </w:r>
      <w:r w:rsidR="007F54C7">
        <w:rPr>
          <w:lang w:val="en-CA" w:eastAsia="zh-TW"/>
        </w:rPr>
        <w:t>s</w:t>
      </w:r>
      <w:r>
        <w:rPr>
          <w:lang w:val="en-CA" w:eastAsia="zh-TW"/>
        </w:rPr>
        <w:t xml:space="preserve"> of all CTUs in tile as tile complexity. </w:t>
      </w:r>
      <w:r w:rsidR="007F54C7">
        <w:rPr>
          <w:lang w:val="en-CA" w:eastAsia="zh-TW"/>
        </w:rPr>
        <w:t xml:space="preserve">We found high correlation between tile SATD values and actual bits of the tiles. </w:t>
      </w:r>
      <w:r>
        <w:rPr>
          <w:lang w:val="en-CA" w:eastAsia="zh-TW"/>
        </w:rPr>
        <w:t>Th</w:t>
      </w:r>
      <w:r w:rsidR="007F54C7">
        <w:rPr>
          <w:lang w:val="en-CA" w:eastAsia="zh-TW"/>
        </w:rPr>
        <w:t>us</w:t>
      </w:r>
      <w:r>
        <w:rPr>
          <w:lang w:val="en-CA" w:eastAsia="zh-TW"/>
        </w:rPr>
        <w:t xml:space="preserve">, </w:t>
      </w:r>
      <w:r w:rsidR="007F54C7">
        <w:rPr>
          <w:lang w:val="en-CA" w:eastAsia="zh-TW"/>
        </w:rPr>
        <w:t xml:space="preserve">appropriate </w:t>
      </w:r>
      <w:r>
        <w:rPr>
          <w:lang w:val="en-CA" w:eastAsia="zh-TW"/>
        </w:rPr>
        <w:t xml:space="preserve">bits </w:t>
      </w:r>
      <w:r w:rsidR="007F54C7">
        <w:rPr>
          <w:lang w:val="en-CA" w:eastAsia="zh-TW"/>
        </w:rPr>
        <w:t xml:space="preserve">are </w:t>
      </w:r>
      <w:r>
        <w:rPr>
          <w:lang w:val="en-CA" w:eastAsia="zh-TW"/>
        </w:rPr>
        <w:t xml:space="preserve">adaptively allocated for </w:t>
      </w:r>
      <w:r w:rsidR="007F54C7">
        <w:rPr>
          <w:lang w:val="en-CA" w:eastAsia="zh-TW"/>
        </w:rPr>
        <w:t xml:space="preserve">each </w:t>
      </w:r>
      <w:r>
        <w:rPr>
          <w:lang w:val="en-CA" w:eastAsia="zh-TW"/>
        </w:rPr>
        <w:t>tile</w:t>
      </w:r>
      <w:r w:rsidR="007F54C7">
        <w:rPr>
          <w:lang w:val="en-CA" w:eastAsia="zh-TW"/>
        </w:rPr>
        <w:t xml:space="preserve"> partition</w:t>
      </w:r>
      <w:r>
        <w:rPr>
          <w:lang w:val="en-CA" w:eastAsia="zh-TW"/>
        </w:rPr>
        <w:t xml:space="preserve"> according to </w:t>
      </w:r>
      <w:r w:rsidR="007F54C7">
        <w:rPr>
          <w:lang w:val="en-CA" w:eastAsia="zh-TW"/>
        </w:rPr>
        <w:t xml:space="preserve">its complexity. </w:t>
      </w:r>
      <w:r w:rsidR="007F54C7" w:rsidRPr="007F54C7">
        <w:rPr>
          <w:lang w:val="en-CA" w:eastAsia="zh-TW"/>
        </w:rPr>
        <w:t xml:space="preserve">For inter pictures, </w:t>
      </w:r>
      <w:r w:rsidR="007F54C7">
        <w:rPr>
          <w:lang w:val="en-CA" w:eastAsia="zh-TW"/>
        </w:rPr>
        <w:t xml:space="preserve">tile-level bit allocation organizes </w:t>
      </w:r>
      <w:r w:rsidR="007F54C7" w:rsidRPr="007F54C7">
        <w:rPr>
          <w:lang w:val="en-CA" w:eastAsia="zh-TW"/>
        </w:rPr>
        <w:t xml:space="preserve">bits for the tiles </w:t>
      </w:r>
      <w:r w:rsidR="007F54C7">
        <w:rPr>
          <w:lang w:val="en-CA" w:eastAsia="zh-TW"/>
        </w:rPr>
        <w:t>based on</w:t>
      </w:r>
      <w:r w:rsidR="007F54C7" w:rsidRPr="007F54C7">
        <w:rPr>
          <w:lang w:val="en-CA" w:eastAsia="zh-TW"/>
        </w:rPr>
        <w:t xml:space="preserve"> a weight ratio of the bits derived at the picture level. In addition, we also employ </w:t>
      </w:r>
      <w:r w:rsidR="00CE7761">
        <w:rPr>
          <w:lang w:val="en-CA" w:eastAsia="zh-TW"/>
        </w:rPr>
        <w:t xml:space="preserve">the </w:t>
      </w:r>
      <w:r w:rsidR="007F54C7" w:rsidRPr="007F54C7">
        <w:rPr>
          <w:lang w:val="en-CA" w:eastAsia="zh-TW"/>
        </w:rPr>
        <w:t>actual generated bit of collocated tile</w:t>
      </w:r>
      <w:r w:rsidR="00CE7761">
        <w:rPr>
          <w:lang w:val="en-CA" w:eastAsia="zh-TW"/>
        </w:rPr>
        <w:t>s</w:t>
      </w:r>
      <w:r w:rsidR="007F54C7" w:rsidRPr="007F54C7">
        <w:rPr>
          <w:lang w:val="en-CA" w:eastAsia="zh-TW"/>
        </w:rPr>
        <w:t xml:space="preserve"> in the recently coded picture</w:t>
      </w:r>
      <w:r w:rsidR="00CE7761">
        <w:rPr>
          <w:lang w:val="en-CA" w:eastAsia="zh-TW"/>
        </w:rPr>
        <w:t>s</w:t>
      </w:r>
      <w:r w:rsidR="007F54C7" w:rsidRPr="007F54C7">
        <w:rPr>
          <w:lang w:val="en-CA" w:eastAsia="zh-TW"/>
        </w:rPr>
        <w:t xml:space="preserve"> </w:t>
      </w:r>
      <w:r w:rsidR="00CE7761">
        <w:rPr>
          <w:lang w:val="en-CA" w:eastAsia="zh-TW"/>
        </w:rPr>
        <w:t xml:space="preserve">(under random access configuration) </w:t>
      </w:r>
      <w:r w:rsidR="007F54C7" w:rsidRPr="007F54C7">
        <w:rPr>
          <w:lang w:val="en-CA" w:eastAsia="zh-TW"/>
        </w:rPr>
        <w:t>when allocating bits for the current tile of the inter pictures.</w:t>
      </w:r>
    </w:p>
    <w:p w:rsidR="002225CB" w:rsidRDefault="00365323" w:rsidP="00365323">
      <w:pPr>
        <w:jc w:val="both"/>
        <w:rPr>
          <w:lang w:val="en-CA" w:eastAsia="zh-TW"/>
        </w:rPr>
      </w:pPr>
      <w:r>
        <w:rPr>
          <w:lang w:val="en-CA" w:eastAsia="zh-TW"/>
        </w:rPr>
        <w:t>In the R-lambda based rate control model, lambda is estimated by</w:t>
      </w:r>
      <w:r w:rsidR="008E59E3">
        <w:rPr>
          <w:lang w:val="en-CA" w:eastAsia="zh-TW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1"/>
        <w:gridCol w:w="4659"/>
      </w:tblGrid>
      <w:tr w:rsidR="00365323" w:rsidRPr="006D14C3" w:rsidTr="00D25B10">
        <w:trPr>
          <w:trHeight w:val="540"/>
        </w:trPr>
        <w:tc>
          <w:tcPr>
            <w:tcW w:w="4701" w:type="dxa"/>
            <w:shd w:val="clear" w:color="auto" w:fill="auto"/>
            <w:vAlign w:val="center"/>
          </w:tcPr>
          <w:p w:rsidR="00365323" w:rsidRPr="00B13065" w:rsidRDefault="00C65337" w:rsidP="00D25B10">
            <w:pPr>
              <w:jc w:val="center"/>
            </w:pPr>
            <w:r w:rsidRPr="002116AC">
              <w:rPr>
                <w:position w:val="-6"/>
              </w:rPr>
              <w:object w:dxaOrig="1020" w:dyaOrig="320">
                <v:shape id="_x0000_i1025" type="#_x0000_t75" style="width:44.9pt;height:15.9pt" o:ole="">
                  <v:imagedata r:id="rId14" o:title=""/>
                </v:shape>
                <o:OLEObject Type="Embed" ProgID="Equation.3" ShapeID="_x0000_i1025" DrawAspect="Content" ObjectID="_1537179945" r:id="rId15"/>
              </w:object>
            </w:r>
          </w:p>
        </w:tc>
        <w:tc>
          <w:tcPr>
            <w:tcW w:w="4659" w:type="dxa"/>
            <w:shd w:val="clear" w:color="auto" w:fill="auto"/>
            <w:vAlign w:val="center"/>
          </w:tcPr>
          <w:p w:rsidR="00365323" w:rsidRPr="006D14C3" w:rsidRDefault="00365323" w:rsidP="00D25B10">
            <w:pPr>
              <w:jc w:val="right"/>
              <w:rPr>
                <w:lang w:val="en-GB" w:eastAsia="zh-TW"/>
              </w:rPr>
            </w:pPr>
            <w:r w:rsidRPr="006D14C3">
              <w:rPr>
                <w:lang w:val="en-GB" w:eastAsia="zh-TW"/>
              </w:rPr>
              <w:t>(1)</w:t>
            </w:r>
          </w:p>
        </w:tc>
      </w:tr>
    </w:tbl>
    <w:p w:rsidR="00365323" w:rsidRDefault="00646ED7" w:rsidP="00365323">
      <w:pPr>
        <w:jc w:val="both"/>
        <w:rPr>
          <w:lang w:val="en-CA" w:eastAsia="zh-TW"/>
        </w:rPr>
      </w:pPr>
      <w:r>
        <w:rPr>
          <w:lang w:val="en-CA" w:eastAsia="zh-TW"/>
        </w:rPr>
        <w:t xml:space="preserve">Assume that the target number of bits for current picture is </w:t>
      </w:r>
      <w:r w:rsidR="00740CF6" w:rsidRPr="00646ED7">
        <w:rPr>
          <w:position w:val="-12"/>
        </w:rPr>
        <w:object w:dxaOrig="560" w:dyaOrig="360">
          <v:shape id="_x0000_i1035" type="#_x0000_t75" style="width:28.05pt;height:17.3pt" o:ole="">
            <v:imagedata r:id="rId16" o:title=""/>
          </v:shape>
          <o:OLEObject Type="Embed" ProgID="Equation.3" ShapeID="_x0000_i1035" DrawAspect="Content" ObjectID="_1537179946" r:id="rId17"/>
        </w:object>
      </w:r>
      <w:r>
        <w:t>. Thus, the Tile-level bit allocation</w:t>
      </w:r>
      <w:r w:rsidR="00D5092C">
        <w:t xml:space="preserve"> </w:t>
      </w:r>
      <w:r w:rsidR="00D5092C" w:rsidRPr="000A580C">
        <w:rPr>
          <w:position w:val="-14"/>
        </w:rPr>
        <w:object w:dxaOrig="420" w:dyaOrig="400">
          <v:shape id="_x0000_i1027" type="#_x0000_t75" style="width:21.05pt;height:20.1pt" o:ole="">
            <v:imagedata r:id="rId18" o:title=""/>
          </v:shape>
          <o:OLEObject Type="Embed" ProgID="Equation.3" ShapeID="_x0000_i1027" DrawAspect="Content" ObjectID="_1537179947" r:id="rId19"/>
        </w:object>
      </w:r>
      <w:r>
        <w:rPr>
          <w:lang w:val="en-CA" w:eastAsia="zh-TW"/>
        </w:rPr>
        <w:t xml:space="preserve"> </w:t>
      </w:r>
      <w:r>
        <w:t xml:space="preserve">should </w:t>
      </w:r>
      <w:r w:rsidR="00CE7761">
        <w:t>satisfy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1"/>
        <w:gridCol w:w="4659"/>
      </w:tblGrid>
      <w:tr w:rsidR="00646ED7" w:rsidRPr="006D14C3" w:rsidTr="00D25B10">
        <w:trPr>
          <w:trHeight w:val="540"/>
        </w:trPr>
        <w:tc>
          <w:tcPr>
            <w:tcW w:w="4701" w:type="dxa"/>
            <w:shd w:val="clear" w:color="auto" w:fill="auto"/>
            <w:vAlign w:val="center"/>
          </w:tcPr>
          <w:p w:rsidR="00646ED7" w:rsidRPr="00C65337" w:rsidRDefault="00146E12" w:rsidP="00D25B10">
            <w:pPr>
              <w:jc w:val="center"/>
              <w:rPr>
                <w:szCs w:val="22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Cs w:val="22"/>
                      </w:rPr>
                      <m:t>j=0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N</m:t>
                    </m:r>
                  </m:sup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j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tile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2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curPic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4659" w:type="dxa"/>
            <w:shd w:val="clear" w:color="auto" w:fill="auto"/>
            <w:vAlign w:val="center"/>
          </w:tcPr>
          <w:p w:rsidR="00646ED7" w:rsidRPr="006D14C3" w:rsidRDefault="00646ED7" w:rsidP="00D25B10">
            <w:pPr>
              <w:jc w:val="right"/>
              <w:rPr>
                <w:lang w:val="en-GB" w:eastAsia="zh-TW"/>
              </w:rPr>
            </w:pPr>
            <w:r>
              <w:rPr>
                <w:lang w:val="en-GB" w:eastAsia="zh-TW"/>
              </w:rPr>
              <w:t>(2</w:t>
            </w:r>
            <w:r w:rsidRPr="006D14C3">
              <w:rPr>
                <w:lang w:val="en-GB" w:eastAsia="zh-TW"/>
              </w:rPr>
              <w:t>)</w:t>
            </w:r>
          </w:p>
        </w:tc>
      </w:tr>
    </w:tbl>
    <w:p w:rsidR="00FF2AE7" w:rsidRDefault="00FF2AE7" w:rsidP="00365323">
      <w:pPr>
        <w:jc w:val="both"/>
        <w:rPr>
          <w:lang w:val="en-CA" w:eastAsia="zh-TW"/>
        </w:rPr>
      </w:pPr>
    </w:p>
    <w:p w:rsidR="00066853" w:rsidRPr="00066853" w:rsidRDefault="00066853" w:rsidP="009C0171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</w:tabs>
        <w:ind w:left="360"/>
        <w:jc w:val="both"/>
        <w:rPr>
          <w:b/>
          <w:lang w:eastAsia="zh-TW"/>
        </w:rPr>
      </w:pPr>
      <w:r w:rsidRPr="00066853">
        <w:rPr>
          <w:b/>
          <w:lang w:eastAsia="zh-TW"/>
        </w:rPr>
        <w:t xml:space="preserve">Tile-level </w:t>
      </w:r>
      <w:r w:rsidR="002C1012">
        <w:rPr>
          <w:b/>
          <w:lang w:eastAsia="zh-TW"/>
        </w:rPr>
        <w:t xml:space="preserve">bit allocation </w:t>
      </w:r>
      <w:r w:rsidRPr="00066853">
        <w:rPr>
          <w:b/>
          <w:lang w:eastAsia="zh-TW"/>
        </w:rPr>
        <w:t xml:space="preserve">for </w:t>
      </w:r>
      <w:r w:rsidR="002C1012">
        <w:rPr>
          <w:b/>
          <w:lang w:eastAsia="zh-TW"/>
        </w:rPr>
        <w:t xml:space="preserve">tile </w:t>
      </w:r>
      <w:r w:rsidR="00082059">
        <w:rPr>
          <w:b/>
          <w:lang w:eastAsia="zh-TW"/>
        </w:rPr>
        <w:t>in</w:t>
      </w:r>
      <w:r w:rsidR="002C1012">
        <w:rPr>
          <w:b/>
          <w:lang w:eastAsia="zh-TW"/>
        </w:rPr>
        <w:t xml:space="preserve"> </w:t>
      </w:r>
      <w:r w:rsidRPr="00066853">
        <w:rPr>
          <w:b/>
          <w:lang w:eastAsia="zh-TW"/>
        </w:rPr>
        <w:t>Intra Picture</w:t>
      </w:r>
    </w:p>
    <w:p w:rsidR="005958E2" w:rsidRDefault="005958E2" w:rsidP="00CE7761">
      <w:pPr>
        <w:tabs>
          <w:tab w:val="clear" w:pos="360"/>
          <w:tab w:val="clear" w:pos="720"/>
          <w:tab w:val="clear" w:pos="1080"/>
          <w:tab w:val="clear" w:pos="1440"/>
        </w:tabs>
        <w:jc w:val="both"/>
        <w:rPr>
          <w:lang w:val="en-CA" w:eastAsia="zh-TW"/>
        </w:rPr>
      </w:pPr>
      <w:r>
        <w:rPr>
          <w:lang w:eastAsia="zh-TW"/>
        </w:rPr>
        <w:t>As we mentioned earlier that b</w:t>
      </w:r>
      <w:r w:rsidR="00B71F7E">
        <w:rPr>
          <w:lang w:eastAsia="zh-TW"/>
        </w:rPr>
        <w:t>it allocation f</w:t>
      </w:r>
      <w:r w:rsidR="00FF2AE7">
        <w:rPr>
          <w:lang w:eastAsia="zh-TW"/>
        </w:rPr>
        <w:t xml:space="preserve">or tiles </w:t>
      </w:r>
      <w:r w:rsidR="00B71F7E">
        <w:rPr>
          <w:lang w:eastAsia="zh-TW"/>
        </w:rPr>
        <w:t>in</w:t>
      </w:r>
      <w:r w:rsidR="00FF2AE7">
        <w:rPr>
          <w:lang w:eastAsia="zh-TW"/>
        </w:rPr>
        <w:t xml:space="preserve"> intra picture</w:t>
      </w:r>
      <w:r w:rsidR="00B71F7E">
        <w:rPr>
          <w:lang w:eastAsia="zh-TW"/>
        </w:rPr>
        <w:t xml:space="preserve"> is determined adaptively according to the complexity content of tile</w:t>
      </w:r>
      <w:r w:rsidR="00B9179A">
        <w:rPr>
          <w:lang w:eastAsia="zh-TW"/>
        </w:rPr>
        <w:t xml:space="preserve">. </w:t>
      </w:r>
      <w:r w:rsidR="00B71F7E">
        <w:rPr>
          <w:lang w:eastAsia="zh-TW"/>
        </w:rPr>
        <w:t>The SATD value of all the CTUs in a tile is taken into consideration to measure the tile complexity.</w:t>
      </w:r>
      <w:r>
        <w:rPr>
          <w:lang w:eastAsia="zh-TW"/>
        </w:rPr>
        <w:t xml:space="preserve"> </w:t>
      </w:r>
      <w:r w:rsidR="00B6759D">
        <w:rPr>
          <w:lang w:eastAsia="zh-TW"/>
        </w:rPr>
        <w:t xml:space="preserve">Thus,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lang w:eastAsia="ko-KR"/>
              </w:rPr>
              <m:t>T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eastAsia="ko-KR"/>
              </w:rPr>
              <m:t>curTile</m:t>
            </m:r>
          </m:sub>
        </m:sSub>
        <m:r>
          <w:rPr>
            <w:rFonts w:ascii="Cambria Math" w:eastAsia="Times New Roman" w:hAnsi="Cambria Math"/>
            <w:sz w:val="24"/>
            <w:szCs w:val="24"/>
            <w:lang w:eastAsia="ko-KR"/>
          </w:rPr>
          <m:t xml:space="preserve"> </m:t>
        </m:r>
      </m:oMath>
      <w:r>
        <w:rPr>
          <w:lang w:eastAsia="zh-TW"/>
        </w:rPr>
        <w:t>is expressed as</w:t>
      </w:r>
      <w:r w:rsidR="00382C1D">
        <w:rPr>
          <w:lang w:val="en-CA" w:eastAsia="zh-TW"/>
        </w:rPr>
        <w:t>: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3"/>
        <w:gridCol w:w="4677"/>
      </w:tblGrid>
      <w:tr w:rsidR="005958E2" w:rsidRPr="005958E2" w:rsidTr="00E85311">
        <w:trPr>
          <w:trHeight w:val="364"/>
        </w:trPr>
        <w:tc>
          <w:tcPr>
            <w:tcW w:w="46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958E2" w:rsidRPr="005958E2" w:rsidRDefault="00146E12" w:rsidP="005958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center"/>
              <w:rPr>
                <w:sz w:val="32"/>
                <w:szCs w:val="32"/>
                <w:lang w:eastAsia="zh-TW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32"/>
                        <w:lang w:eastAsia="zh-T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32"/>
                        <w:lang w:eastAsia="zh-TW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32"/>
                        <w:lang w:eastAsia="zh-TW"/>
                      </w:rPr>
                      <m:t>curTile</m:t>
                    </m:r>
                  </m:sub>
                </m:sSub>
                <m:r>
                  <w:rPr>
                    <w:rFonts w:ascii="Cambria Math" w:hAnsi="Cambria Math"/>
                    <w:szCs w:val="32"/>
                    <w:lang w:eastAsia="zh-TW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32"/>
                        <w:lang w:eastAsia="zh-T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32"/>
                        <w:lang w:eastAsia="zh-TW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Cs w:val="32"/>
                        <w:lang w:eastAsia="zh-TW"/>
                      </w:rPr>
                      <m:t>curTile</m:t>
                    </m:r>
                  </m:sub>
                </m:sSub>
                <m:r>
                  <w:rPr>
                    <w:rFonts w:ascii="Cambria Math" w:hAnsi="Cambria Math"/>
                    <w:szCs w:val="32"/>
                    <w:lang w:eastAsia="zh-TW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32"/>
                        <w:lang w:eastAsia="zh-T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32"/>
                        <w:lang w:eastAsia="zh-TW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32"/>
                        <w:lang w:eastAsia="zh-TW"/>
                      </w:rPr>
                      <m:t>bitsLeft</m:t>
                    </m:r>
                  </m:sub>
                </m:sSub>
              </m:oMath>
            </m:oMathPara>
          </w:p>
        </w:tc>
        <w:tc>
          <w:tcPr>
            <w:tcW w:w="467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958E2" w:rsidRDefault="005958E2" w:rsidP="005958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right"/>
              <w:rPr>
                <w:lang w:eastAsia="zh-TW"/>
              </w:rPr>
            </w:pPr>
            <w:r w:rsidRPr="005958E2">
              <w:rPr>
                <w:lang w:eastAsia="zh-TW"/>
              </w:rPr>
              <w:t>(</w:t>
            </w:r>
            <w:r w:rsidR="00E85311">
              <w:rPr>
                <w:lang w:eastAsia="zh-TW"/>
              </w:rPr>
              <w:t>3</w:t>
            </w:r>
            <w:r w:rsidRPr="005958E2">
              <w:rPr>
                <w:lang w:eastAsia="zh-TW"/>
              </w:rPr>
              <w:t>)</w:t>
            </w:r>
          </w:p>
          <w:p w:rsidR="005958E2" w:rsidRPr="005958E2" w:rsidRDefault="005958E2" w:rsidP="005958E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jc w:val="right"/>
              <w:rPr>
                <w:lang w:eastAsia="zh-TW"/>
              </w:rPr>
            </w:pPr>
          </w:p>
        </w:tc>
      </w:tr>
    </w:tbl>
    <w:p w:rsidR="005958E2" w:rsidRDefault="00146E12" w:rsidP="005C3205">
      <w:pPr>
        <w:jc w:val="both"/>
        <w:rPr>
          <w:lang w:val="en-CA" w:eastAsia="zh-TW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4"/>
                <w:lang w:eastAsia="ko-KR"/>
              </w:rPr>
            </m:ctrlPr>
          </m:sSubPr>
          <m:e>
            <m:r>
              <w:rPr>
                <w:rFonts w:ascii="Cambria Math" w:eastAsia="Times New Roman" w:hAnsi="Cambria Math"/>
                <w:szCs w:val="24"/>
                <w:lang w:eastAsia="ko-KR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4"/>
                <w:lang w:eastAsia="ko-KR"/>
              </w:rPr>
              <m:t>bitsLeft</m:t>
            </m:r>
          </m:sub>
        </m:sSub>
        <m:r>
          <w:rPr>
            <w:rFonts w:ascii="Cambria Math" w:eastAsia="Times New Roman" w:hAnsi="Cambria Math"/>
            <w:szCs w:val="24"/>
            <w:lang w:eastAsia="ko-KR"/>
          </w:rPr>
          <m:t xml:space="preserve"> </m:t>
        </m:r>
      </m:oMath>
      <w:r w:rsidR="006A7173">
        <w:t>is priory calculated from the target bit of picture and the bit header (included bit of slice header) subtraction.</w:t>
      </w:r>
      <w:r w:rsidR="00635E54">
        <w:rPr>
          <w:lang w:val="en-CA" w:eastAsia="zh-TW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lang w:eastAsia="ko-KR"/>
              </w:rPr>
              <m:t>ω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eastAsia="ko-KR"/>
              </w:rPr>
              <m:t>curTile</m:t>
            </m:r>
          </m:sub>
        </m:sSub>
        <m:r>
          <w:rPr>
            <w:rFonts w:ascii="Cambria Math" w:hAnsi="Cambria Math"/>
            <w:lang w:val="en-CA" w:eastAsia="zh-TW"/>
          </w:rPr>
          <m:t xml:space="preserve"> </m:t>
        </m:r>
      </m:oMath>
      <w:r w:rsidR="00382C1D">
        <w:rPr>
          <w:lang w:val="en-CA" w:eastAsia="zh-TW"/>
        </w:rPr>
        <w:t xml:space="preserve">is </w:t>
      </w:r>
      <w:r w:rsidR="00635E54">
        <w:rPr>
          <w:lang w:val="en-CA" w:eastAsia="zh-TW"/>
        </w:rPr>
        <w:t>a complexity</w:t>
      </w:r>
      <w:r w:rsidR="005958E2">
        <w:rPr>
          <w:lang w:val="en-CA" w:eastAsia="zh-TW"/>
        </w:rPr>
        <w:t xml:space="preserve"> ratio, defined </w:t>
      </w:r>
      <w:proofErr w:type="gramStart"/>
      <w:r w:rsidR="005958E2">
        <w:rPr>
          <w:lang w:val="en-CA" w:eastAsia="zh-TW"/>
        </w:rPr>
        <w:t>as: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4704"/>
        <w:gridCol w:w="4656"/>
      </w:tblGrid>
      <w:tr w:rsidR="005958E2" w:rsidRPr="005958E2" w:rsidTr="00E85311">
        <w:trPr>
          <w:trHeight w:val="441"/>
        </w:trPr>
        <w:tc>
          <w:tcPr>
            <w:tcW w:w="4704" w:type="dxa"/>
            <w:shd w:val="clear" w:color="auto" w:fill="auto"/>
            <w:vAlign w:val="center"/>
          </w:tcPr>
          <w:p w:rsidR="005958E2" w:rsidRPr="005958E2" w:rsidRDefault="005958E2" w:rsidP="00120224">
            <w:pPr>
              <w:spacing w:line="480" w:lineRule="auto"/>
              <w:jc w:val="center"/>
              <w:rPr>
                <w:szCs w:val="22"/>
              </w:rPr>
            </w:pPr>
            <w:r w:rsidRPr="005958E2">
              <w:rPr>
                <w:position w:val="-62"/>
                <w:szCs w:val="22"/>
              </w:rPr>
              <w:object w:dxaOrig="1600" w:dyaOrig="999">
                <v:shape id="_x0000_i1028" type="#_x0000_t75" style="width:80.4pt;height:50.95pt" o:ole="">
                  <v:imagedata r:id="rId20" o:title=""/>
                </v:shape>
                <o:OLEObject Type="Embed" ProgID="Equation.3" ShapeID="_x0000_i1028" DrawAspect="Content" ObjectID="_1537179948" r:id="rId21"/>
              </w:object>
            </w:r>
          </w:p>
        </w:tc>
        <w:tc>
          <w:tcPr>
            <w:tcW w:w="4656" w:type="dxa"/>
            <w:shd w:val="clear" w:color="auto" w:fill="auto"/>
            <w:vAlign w:val="center"/>
          </w:tcPr>
          <w:p w:rsidR="005958E2" w:rsidRPr="005958E2" w:rsidRDefault="00E85311" w:rsidP="00120224">
            <w:pPr>
              <w:spacing w:line="480" w:lineRule="auto"/>
              <w:jc w:val="right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(4</w:t>
            </w:r>
            <w:r w:rsidR="005958E2" w:rsidRPr="005958E2">
              <w:rPr>
                <w:szCs w:val="22"/>
                <w:lang w:eastAsia="zh-TW"/>
              </w:rPr>
              <w:t>)</w:t>
            </w:r>
          </w:p>
        </w:tc>
      </w:tr>
      <w:tr w:rsidR="005958E2" w:rsidRPr="005958E2" w:rsidTr="00E85311">
        <w:tc>
          <w:tcPr>
            <w:tcW w:w="4704" w:type="dxa"/>
            <w:shd w:val="clear" w:color="auto" w:fill="auto"/>
            <w:vAlign w:val="center"/>
          </w:tcPr>
          <w:p w:rsidR="005958E2" w:rsidRPr="005958E2" w:rsidRDefault="005958E2" w:rsidP="00120224">
            <w:pPr>
              <w:spacing w:line="480" w:lineRule="auto"/>
              <w:jc w:val="center"/>
              <w:rPr>
                <w:szCs w:val="22"/>
              </w:rPr>
            </w:pPr>
            <w:r w:rsidRPr="005958E2">
              <w:rPr>
                <w:position w:val="-28"/>
                <w:szCs w:val="22"/>
              </w:rPr>
              <w:object w:dxaOrig="2120" w:dyaOrig="680">
                <v:shape id="_x0000_i1029" type="#_x0000_t75" style="width:105.65pt;height:33.65pt" o:ole="">
                  <v:imagedata r:id="rId22" o:title=""/>
                </v:shape>
                <o:OLEObject Type="Embed" ProgID="Equation.3" ShapeID="_x0000_i1029" DrawAspect="Content" ObjectID="_1537179949" r:id="rId23"/>
              </w:object>
            </w:r>
          </w:p>
        </w:tc>
        <w:tc>
          <w:tcPr>
            <w:tcW w:w="4656" w:type="dxa"/>
            <w:shd w:val="clear" w:color="auto" w:fill="auto"/>
            <w:vAlign w:val="center"/>
          </w:tcPr>
          <w:p w:rsidR="005958E2" w:rsidRPr="005958E2" w:rsidRDefault="00E85311" w:rsidP="00120224">
            <w:pPr>
              <w:spacing w:line="480" w:lineRule="auto"/>
              <w:jc w:val="right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(5</w:t>
            </w:r>
            <w:r w:rsidR="005958E2" w:rsidRPr="005958E2">
              <w:rPr>
                <w:szCs w:val="22"/>
                <w:lang w:eastAsia="zh-TW"/>
              </w:rPr>
              <w:t>)</w:t>
            </w:r>
          </w:p>
        </w:tc>
      </w:tr>
    </w:tbl>
    <w:p w:rsidR="00B13065" w:rsidRDefault="00E85311" w:rsidP="002151E2">
      <w:pPr>
        <w:jc w:val="both"/>
        <w:rPr>
          <w:lang w:eastAsia="zh-TW"/>
        </w:rPr>
      </w:pPr>
      <w:r>
        <w:rPr>
          <w:lang w:eastAsia="zh-TW"/>
        </w:rPr>
        <w:t>w</w:t>
      </w:r>
      <w:r w:rsidR="004B1B73" w:rsidRPr="006D14C3">
        <w:rPr>
          <w:lang w:eastAsia="zh-TW"/>
        </w:rPr>
        <w:t>here</w:t>
      </w:r>
      <w:r w:rsidR="005958E2">
        <w:rPr>
          <w:lang w:eastAsia="zh-TW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ko-KR"/>
              </w:rPr>
            </m:ctrlPr>
          </m:sSubPr>
          <m:e>
            <m:r>
              <w:rPr>
                <w:rFonts w:ascii="Cambria Math" w:eastAsia="Times New Roman" w:hAnsi="Cambria Math"/>
                <w:sz w:val="24"/>
                <w:szCs w:val="24"/>
                <w:lang w:eastAsia="ko-KR"/>
              </w:rPr>
              <m:t>C</m:t>
            </m:r>
          </m:e>
          <m:sub>
            <m:r>
              <w:rPr>
                <w:rFonts w:ascii="Cambria Math" w:eastAsia="Times New Roman" w:hAnsi="Cambria Math"/>
                <w:sz w:val="24"/>
                <w:szCs w:val="24"/>
                <w:lang w:eastAsia="ko-KR"/>
              </w:rPr>
              <m:t>curTile</m:t>
            </m:r>
          </m:sub>
        </m:sSub>
      </m:oMath>
      <w:r w:rsidR="005958E2">
        <w:rPr>
          <w:lang w:eastAsia="zh-TW"/>
        </w:rPr>
        <w:t xml:space="preserve"> denotes the current tile complexity,</w:t>
      </w:r>
      <w:r w:rsidR="004B1B73">
        <w:rPr>
          <w:lang w:eastAsia="zh-TW"/>
        </w:rPr>
        <w:t xml:space="preserve"> </w:t>
      </w:r>
      <m:oMath>
        <m:r>
          <w:rPr>
            <w:rFonts w:ascii="Cambria Math" w:hAnsi="Cambria Math"/>
            <w:lang w:eastAsia="zh-TW"/>
          </w:rPr>
          <m:t>M</m:t>
        </m:r>
      </m:oMath>
      <w:r w:rsidR="004B1B73">
        <w:rPr>
          <w:lang w:eastAsia="zh-TW"/>
        </w:rPr>
        <w:t xml:space="preserve"> is the total number of tiles in a picture, </w:t>
      </w:r>
      <w:r w:rsidR="004B1B73" w:rsidRPr="006D14C3">
        <w:rPr>
          <w:i/>
          <w:lang w:eastAsia="zh-TW"/>
        </w:rPr>
        <w:t>N</w:t>
      </w:r>
      <w:r w:rsidR="006D6D65">
        <w:rPr>
          <w:lang w:eastAsia="zh-TW"/>
        </w:rPr>
        <w:t xml:space="preserve"> </w:t>
      </w:r>
      <w:r w:rsidR="004B1B73" w:rsidRPr="006D14C3">
        <w:rPr>
          <w:lang w:eastAsia="zh-TW"/>
        </w:rPr>
        <w:t>denotes the total number of CTUs in</w:t>
      </w:r>
      <w:r w:rsidR="005958E2">
        <w:rPr>
          <w:lang w:eastAsia="zh-TW"/>
        </w:rPr>
        <w:t xml:space="preserve"> </w:t>
      </w:r>
      <m:oMath>
        <m:r>
          <w:rPr>
            <w:rFonts w:ascii="Cambria Math" w:hAnsi="Cambria Math"/>
            <w:lang w:eastAsia="zh-TW"/>
          </w:rPr>
          <m:t>j</m:t>
        </m:r>
      </m:oMath>
      <w:r w:rsidR="005958E2">
        <w:rPr>
          <w:lang w:eastAsia="zh-TW"/>
        </w:rPr>
        <w:t>-th tile</w:t>
      </w:r>
      <w:r w:rsidR="004B1B73">
        <w:rPr>
          <w:lang w:eastAsia="zh-TW"/>
        </w:rPr>
        <w:t xml:space="preserve">, and </w:t>
      </w:r>
      <m:oMath>
        <m:sSubSup>
          <m:sSubSupPr>
            <m:ctrlPr>
              <w:rPr>
                <w:rFonts w:ascii="Cambria Math" w:hAnsi="Cambria Math"/>
                <w:i/>
                <w:lang w:eastAsia="zh-TW"/>
              </w:rPr>
            </m:ctrlPr>
          </m:sSubSupPr>
          <m:e>
            <m:r>
              <w:rPr>
                <w:rFonts w:ascii="Cambria Math" w:hAnsi="Cambria Math"/>
                <w:lang w:eastAsia="zh-TW"/>
              </w:rPr>
              <m:t>SATD</m:t>
            </m:r>
          </m:e>
          <m:sub>
            <m:r>
              <w:rPr>
                <w:rFonts w:ascii="Cambria Math" w:hAnsi="Cambria Math"/>
                <w:lang w:eastAsia="zh-TW"/>
              </w:rPr>
              <m:t>k</m:t>
            </m:r>
          </m:sub>
          <m:sup>
            <m:r>
              <w:rPr>
                <w:rFonts w:ascii="Cambria Math" w:hAnsi="Cambria Math"/>
                <w:lang w:eastAsia="zh-TW"/>
              </w:rPr>
              <m:t>CTU</m:t>
            </m:r>
          </m:sup>
        </m:sSubSup>
      </m:oMath>
      <w:r w:rsidR="00991AD6">
        <w:rPr>
          <w:lang w:eastAsia="zh-TW"/>
        </w:rPr>
        <w:t xml:space="preserve"> </w:t>
      </w:r>
      <w:r w:rsidR="004B1B73">
        <w:rPr>
          <w:lang w:eastAsia="zh-TW"/>
        </w:rPr>
        <w:t xml:space="preserve">is the SATD value of </w:t>
      </w:r>
      <m:oMath>
        <m:r>
          <w:rPr>
            <w:rFonts w:ascii="Cambria Math" w:hAnsi="Cambria Math"/>
            <w:lang w:eastAsia="zh-TW"/>
          </w:rPr>
          <m:t>k</m:t>
        </m:r>
      </m:oMath>
      <w:r w:rsidR="002151E2">
        <w:rPr>
          <w:lang w:eastAsia="zh-TW"/>
        </w:rPr>
        <w:t xml:space="preserve">-th </w:t>
      </w:r>
      <w:r w:rsidR="004B1B73">
        <w:rPr>
          <w:lang w:eastAsia="zh-TW"/>
        </w:rPr>
        <w:t xml:space="preserve">CTU. </w:t>
      </w:r>
      <w:r>
        <w:rPr>
          <w:lang w:eastAsia="zh-TW"/>
        </w:rPr>
        <w:t>N</w:t>
      </w:r>
      <w:r w:rsidRPr="00E85311">
        <w:rPr>
          <w:lang w:eastAsia="zh-TW"/>
        </w:rPr>
        <w:t>ote that the SATD for each CTU is computed during the picture-level rate control. Thus, there is no extra computational load associated with estimating the target bit in the tile-level of the intra picture</w:t>
      </w:r>
    </w:p>
    <w:p w:rsidR="00FF2AE7" w:rsidRDefault="00FF2AE7" w:rsidP="002151E2">
      <w:pPr>
        <w:jc w:val="both"/>
      </w:pPr>
    </w:p>
    <w:p w:rsidR="00DC1188" w:rsidRPr="00066853" w:rsidRDefault="006D6D65" w:rsidP="00DC1188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</w:tabs>
        <w:ind w:left="360"/>
        <w:jc w:val="both"/>
        <w:rPr>
          <w:b/>
          <w:lang w:eastAsia="zh-TW"/>
        </w:rPr>
      </w:pPr>
      <w:r>
        <w:rPr>
          <w:b/>
          <w:lang w:eastAsia="zh-TW"/>
        </w:rPr>
        <w:t>Tile-level b</w:t>
      </w:r>
      <w:r w:rsidR="002C1012">
        <w:rPr>
          <w:b/>
          <w:lang w:eastAsia="zh-TW"/>
        </w:rPr>
        <w:t>it allocation</w:t>
      </w:r>
      <w:r w:rsidR="00DC1188" w:rsidRPr="00066853">
        <w:rPr>
          <w:b/>
          <w:lang w:eastAsia="zh-TW"/>
        </w:rPr>
        <w:t xml:space="preserve"> for</w:t>
      </w:r>
      <w:r w:rsidR="002C1012">
        <w:rPr>
          <w:b/>
          <w:lang w:eastAsia="zh-TW"/>
        </w:rPr>
        <w:t xml:space="preserve"> tile </w:t>
      </w:r>
      <w:r w:rsidR="00082059">
        <w:rPr>
          <w:b/>
          <w:lang w:eastAsia="zh-TW"/>
        </w:rPr>
        <w:t xml:space="preserve">in </w:t>
      </w:r>
      <w:r w:rsidR="00DC1188">
        <w:rPr>
          <w:b/>
          <w:lang w:eastAsia="zh-TW"/>
        </w:rPr>
        <w:t>Inter</w:t>
      </w:r>
      <w:r w:rsidR="00DC1188" w:rsidRPr="00066853">
        <w:rPr>
          <w:b/>
          <w:lang w:eastAsia="zh-TW"/>
        </w:rPr>
        <w:t xml:space="preserve"> Picture</w:t>
      </w:r>
    </w:p>
    <w:p w:rsidR="001E0FFF" w:rsidRDefault="00B6759D" w:rsidP="001E0FFF">
      <w:pPr>
        <w:jc w:val="both"/>
        <w:rPr>
          <w:lang w:val="en-CA" w:eastAsia="zh-TW"/>
        </w:rPr>
      </w:pPr>
      <w:r>
        <w:rPr>
          <w:lang w:eastAsia="ko-KR"/>
        </w:rPr>
        <w:t>F</w:t>
      </w:r>
      <w:r w:rsidR="001E0FFF">
        <w:rPr>
          <w:lang w:eastAsia="ko-KR"/>
        </w:rPr>
        <w:t>or</w:t>
      </w:r>
      <w:r w:rsidR="001E0FFF" w:rsidRPr="002B26C4">
        <w:rPr>
          <w:lang w:eastAsia="ko-KR"/>
        </w:rPr>
        <w:t xml:space="preserve"> tile </w:t>
      </w:r>
      <w:r w:rsidR="001E0FFF">
        <w:rPr>
          <w:lang w:eastAsia="ko-KR"/>
        </w:rPr>
        <w:t>in</w:t>
      </w:r>
      <w:r w:rsidR="001E0FFF" w:rsidRPr="002B26C4">
        <w:rPr>
          <w:lang w:eastAsia="ko-KR"/>
        </w:rPr>
        <w:t xml:space="preserve"> inter picture</w:t>
      </w:r>
      <w:r>
        <w:rPr>
          <w:lang w:eastAsia="ko-KR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curTile</m:t>
            </m:r>
          </m:sub>
        </m:sSub>
      </m:oMath>
      <w:r w:rsidR="001E0FFF">
        <w:rPr>
          <w:szCs w:val="22"/>
          <w:lang w:val="en-CA" w:eastAsia="zh-CN"/>
        </w:rPr>
        <w:t xml:space="preserve"> is </w:t>
      </w:r>
      <w:r w:rsidR="00E85311">
        <w:rPr>
          <w:szCs w:val="22"/>
          <w:lang w:val="en-CA" w:eastAsia="zh-CN"/>
        </w:rPr>
        <w:t>designed</w:t>
      </w:r>
      <w:r w:rsidR="0082428D">
        <w:rPr>
          <w:szCs w:val="22"/>
          <w:lang w:val="en-CA" w:eastAsia="zh-CN"/>
        </w:rPr>
        <w:t xml:space="preserve"> with h</w:t>
      </w:r>
      <w:r w:rsidR="00E85311">
        <w:rPr>
          <w:szCs w:val="22"/>
          <w:lang w:val="en-CA" w:eastAsia="zh-CN"/>
        </w:rPr>
        <w:t>ierarchical</w:t>
      </w:r>
      <w:r w:rsidR="0082428D">
        <w:rPr>
          <w:szCs w:val="22"/>
          <w:lang w:val="en-CA" w:eastAsia="zh-CN"/>
        </w:rPr>
        <w:t>–</w:t>
      </w:r>
      <w:r w:rsidR="00E85311">
        <w:rPr>
          <w:szCs w:val="22"/>
          <w:lang w:val="en-CA" w:eastAsia="zh-CN"/>
        </w:rPr>
        <w:t xml:space="preserve">B coding structure under random access configuration.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curTile</m:t>
            </m:r>
          </m:sub>
        </m:sSub>
        <m:r>
          <w:rPr>
            <w:rFonts w:ascii="Cambria Math" w:hAnsi="Cambria Math"/>
            <w:lang w:eastAsia="ko-KR"/>
          </w:rPr>
          <m:t xml:space="preserve"> </m:t>
        </m:r>
      </m:oMath>
      <w:r w:rsidR="00E85311">
        <w:rPr>
          <w:szCs w:val="22"/>
          <w:lang w:val="en-CA" w:eastAsia="zh-CN"/>
        </w:rPr>
        <w:t>is determined</w:t>
      </w:r>
      <w:r w:rsidR="001E0FFF">
        <w:rPr>
          <w:rFonts w:hint="eastAsia"/>
          <w:szCs w:val="22"/>
          <w:lang w:val="en-CA" w:eastAsia="zh-CN"/>
        </w:rPr>
        <w:t xml:space="preserve"> </w:t>
      </w:r>
      <w:r w:rsidR="00082059">
        <w:rPr>
          <w:szCs w:val="22"/>
          <w:lang w:val="en-CA" w:eastAsia="zh-CN"/>
        </w:rPr>
        <w:t xml:space="preserve">using the inverse form of Eq. (1) </w:t>
      </w:r>
      <w:r w:rsidR="00E85311">
        <w:rPr>
          <w:szCs w:val="22"/>
          <w:lang w:val="en-CA" w:eastAsia="zh-CN"/>
        </w:rPr>
        <w:t>according to</w:t>
      </w:r>
      <w:r w:rsidR="001E0FFF">
        <w:rPr>
          <w:rFonts w:hint="eastAsia"/>
          <w:szCs w:val="22"/>
          <w:lang w:val="en-CA" w:eastAsia="zh-CN"/>
        </w:rPr>
        <w:t xml:space="preserve"> </w:t>
      </w:r>
      <w:r w:rsidR="00E85311">
        <w:rPr>
          <w:szCs w:val="22"/>
          <w:lang w:val="en-CA" w:eastAsia="zh-CN"/>
        </w:rPr>
        <w:t xml:space="preserve">total number of pixels in tile, information derived from the picture-level, such as </w:t>
      </w:r>
      <w:r w:rsidR="00E85311" w:rsidRPr="00733FA2">
        <w:rPr>
          <w:rFonts w:eastAsia="Batang"/>
          <w:sz w:val="24"/>
          <w:szCs w:val="24"/>
          <w:lang w:eastAsia="ko-KR"/>
        </w:rPr>
        <w:t xml:space="preserve">as </w:t>
      </w:r>
      <m:oMath>
        <m:sSub>
          <m:sSubPr>
            <m:ctrlPr>
              <w:rPr>
                <w:rFonts w:ascii="Cambria Math" w:eastAsia="Batang" w:hAnsi="Cambria Math"/>
                <w:i/>
                <w:szCs w:val="24"/>
                <w:lang w:eastAsia="ko-KR"/>
              </w:rPr>
            </m:ctrlPr>
          </m:sSubPr>
          <m:e>
            <m:r>
              <w:rPr>
                <w:rFonts w:ascii="Cambria Math" w:eastAsia="Batang" w:hAnsi="Cambria Math"/>
                <w:szCs w:val="24"/>
                <w:lang w:eastAsia="ko-KR"/>
              </w:rPr>
              <m:t>λ</m:t>
            </m:r>
          </m:e>
          <m:sub>
            <m:r>
              <w:rPr>
                <w:rFonts w:ascii="Cambria Math" w:eastAsia="Batang" w:hAnsi="Cambria Math"/>
                <w:szCs w:val="24"/>
                <w:lang w:eastAsia="ko-KR"/>
              </w:rPr>
              <m:t>p</m:t>
            </m:r>
          </m:sub>
        </m:sSub>
        <m:r>
          <w:rPr>
            <w:rFonts w:ascii="Cambria Math" w:eastAsia="Batang" w:hAnsi="Cambria Math"/>
            <w:szCs w:val="24"/>
            <w:lang w:eastAsia="ko-KR"/>
          </w:rPr>
          <m:t xml:space="preserve">, </m:t>
        </m:r>
        <m:sSub>
          <m:sSubPr>
            <m:ctrlPr>
              <w:rPr>
                <w:rFonts w:ascii="Cambria Math" w:eastAsia="Batang" w:hAnsi="Cambria Math"/>
                <w:i/>
                <w:szCs w:val="24"/>
                <w:lang w:eastAsia="ko-KR"/>
              </w:rPr>
            </m:ctrlPr>
          </m:sSubPr>
          <m:e>
            <m:r>
              <w:rPr>
                <w:rFonts w:ascii="Cambria Math" w:eastAsia="Batang" w:hAnsi="Cambria Math"/>
                <w:szCs w:val="24"/>
                <w:lang w:eastAsia="ko-KR"/>
              </w:rPr>
              <m:t>α</m:t>
            </m:r>
          </m:e>
          <m:sub>
            <m:r>
              <w:rPr>
                <w:rFonts w:ascii="Cambria Math" w:eastAsia="Batang" w:hAnsi="Cambria Math"/>
                <w:szCs w:val="24"/>
                <w:lang w:eastAsia="ko-KR"/>
              </w:rPr>
              <m:t>p</m:t>
            </m:r>
          </m:sub>
        </m:sSub>
      </m:oMath>
      <w:r w:rsidR="00E85311" w:rsidRPr="00E85311">
        <w:rPr>
          <w:rFonts w:eastAsia="Batang"/>
          <w:szCs w:val="24"/>
          <w:lang w:eastAsia="ko-KR"/>
        </w:rPr>
        <w:t xml:space="preserve">, and </w:t>
      </w:r>
      <m:oMath>
        <m:sSub>
          <m:sSubPr>
            <m:ctrlPr>
              <w:rPr>
                <w:rFonts w:ascii="Cambria Math" w:eastAsia="Batang" w:hAnsi="Cambria Math"/>
                <w:i/>
                <w:szCs w:val="24"/>
                <w:lang w:eastAsia="ko-KR"/>
              </w:rPr>
            </m:ctrlPr>
          </m:sSubPr>
          <m:e>
            <m:r>
              <w:rPr>
                <w:rFonts w:ascii="Cambria Math" w:eastAsia="Batang" w:hAnsi="Cambria Math"/>
                <w:szCs w:val="24"/>
                <w:lang w:eastAsia="ko-KR"/>
              </w:rPr>
              <m:t>β</m:t>
            </m:r>
          </m:e>
          <m:sub>
            <m:r>
              <w:rPr>
                <w:rFonts w:ascii="Cambria Math" w:eastAsia="Batang" w:hAnsi="Cambria Math"/>
                <w:szCs w:val="24"/>
                <w:lang w:eastAsia="ko-KR"/>
              </w:rPr>
              <m:t>p</m:t>
            </m:r>
          </m:sub>
        </m:sSub>
      </m:oMath>
      <w:r w:rsidR="00E85311">
        <w:rPr>
          <w:rFonts w:eastAsia="Batang"/>
          <w:szCs w:val="24"/>
          <w:lang w:eastAsia="ko-KR"/>
        </w:rPr>
        <w:t xml:space="preserve">, and actual bits of the collocated tiles of reference pictures, </w:t>
      </w:r>
      <m:oMath>
        <m:sSub>
          <m:sSubPr>
            <m:ctrlPr>
              <w:rPr>
                <w:rFonts w:ascii="Cambria Math" w:hAnsi="Cambria Math"/>
                <w:i/>
                <w:lang w:eastAsia="zh-TW"/>
              </w:rPr>
            </m:ctrlPr>
          </m:sSubPr>
          <m:e>
            <m:r>
              <w:rPr>
                <w:rFonts w:ascii="Cambria Math" w:hAnsi="Cambria Math"/>
                <w:lang w:eastAsia="zh-TW"/>
              </w:rPr>
              <m:t>R</m:t>
            </m:r>
          </m:e>
          <m:sub>
            <m:r>
              <w:rPr>
                <w:rFonts w:ascii="Cambria Math" w:hAnsi="Cambria Math"/>
                <w:lang w:eastAsia="zh-TW"/>
              </w:rPr>
              <m:t>actBit</m:t>
            </m:r>
          </m:sub>
        </m:sSub>
      </m:oMath>
      <w:r w:rsidR="00E85311">
        <w:rPr>
          <w:rFonts w:eastAsia="Batang"/>
          <w:szCs w:val="24"/>
          <w:lang w:eastAsia="ko-KR"/>
        </w:rPr>
        <w:t xml:space="preserve">. </w:t>
      </w:r>
      <w:r w:rsidR="00082059">
        <w:rPr>
          <w:rFonts w:eastAsia="Batang"/>
          <w:szCs w:val="24"/>
          <w:lang w:eastAsia="ko-KR"/>
        </w:rPr>
        <w:t xml:space="preserve">We regarded all these factors as a weight bit to appropriately assign bits for tiles in inter pictures. Thus, </w:t>
      </w:r>
      <m:oMath>
        <m:sSub>
          <m:sSubPr>
            <m:ctrlPr>
              <w:rPr>
                <w:rFonts w:ascii="Cambria Math" w:hAnsi="Cambria Math"/>
                <w:i/>
                <w:lang w:eastAsia="ko-KR"/>
              </w:rPr>
            </m:ctrlPr>
          </m:sSubPr>
          <m:e>
            <m:r>
              <w:rPr>
                <w:rFonts w:ascii="Cambria Math" w:hAnsi="Cambria Math"/>
                <w:lang w:eastAsia="ko-KR"/>
              </w:rPr>
              <m:t>T</m:t>
            </m:r>
          </m:e>
          <m:sub>
            <m:r>
              <w:rPr>
                <w:rFonts w:ascii="Cambria Math" w:hAnsi="Cambria Math"/>
                <w:lang w:eastAsia="ko-KR"/>
              </w:rPr>
              <m:t>curTile</m:t>
            </m:r>
          </m:sub>
        </m:sSub>
        <m:r>
          <w:rPr>
            <w:rFonts w:ascii="Cambria Math" w:hAnsi="Cambria Math"/>
            <w:lang w:eastAsia="ko-KR"/>
          </w:rPr>
          <m:t xml:space="preserve"> </m:t>
        </m:r>
      </m:oMath>
      <w:r w:rsidR="00082059">
        <w:rPr>
          <w:rFonts w:eastAsia="Batang"/>
          <w:lang w:eastAsia="ko-KR"/>
        </w:rPr>
        <w:t xml:space="preserve">can be </w:t>
      </w:r>
      <w:r w:rsidR="00082059">
        <w:rPr>
          <w:lang w:val="en-CA" w:eastAsia="zh-TW"/>
        </w:rPr>
        <w:t>expressed as:</w:t>
      </w:r>
    </w:p>
    <w:p w:rsidR="00082059" w:rsidRDefault="00082059" w:rsidP="001E0FFF">
      <w:pPr>
        <w:jc w:val="both"/>
        <w:rPr>
          <w:lang w:val="en-CA" w:eastAsia="zh-T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115"/>
      </w:tblGrid>
      <w:tr w:rsidR="00082059" w:rsidRPr="00733FA2" w:rsidTr="00120224">
        <w:trPr>
          <w:trHeight w:val="540"/>
        </w:trPr>
        <w:tc>
          <w:tcPr>
            <w:tcW w:w="5245" w:type="dxa"/>
            <w:shd w:val="clear" w:color="auto" w:fill="auto"/>
            <w:vAlign w:val="center"/>
          </w:tcPr>
          <w:p w:rsidR="00082059" w:rsidRPr="00733FA2" w:rsidRDefault="00082059" w:rsidP="00120224">
            <w:pPr>
              <w:spacing w:line="480" w:lineRule="auto"/>
              <w:jc w:val="center"/>
              <w:rPr>
                <w:sz w:val="24"/>
              </w:rPr>
            </w:pPr>
            <w:r w:rsidRPr="00733FA2">
              <w:rPr>
                <w:position w:val="-66"/>
                <w:sz w:val="24"/>
              </w:rPr>
              <w:object w:dxaOrig="2620" w:dyaOrig="1440">
                <v:shape id="_x0000_i1030" type="#_x0000_t75" style="width:131.4pt;height:1in" o:ole="">
                  <v:imagedata r:id="rId24" o:title=""/>
                </v:shape>
                <o:OLEObject Type="Embed" ProgID="Equation.3" ShapeID="_x0000_i1030" DrawAspect="Content" ObjectID="_1537179950" r:id="rId25"/>
              </w:objec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082059" w:rsidRPr="00733FA2" w:rsidRDefault="00082059" w:rsidP="00120224">
            <w:pPr>
              <w:spacing w:line="480" w:lineRule="auto"/>
              <w:jc w:val="right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(6</w:t>
            </w:r>
            <w:r w:rsidRPr="00733FA2">
              <w:rPr>
                <w:sz w:val="24"/>
                <w:lang w:eastAsia="zh-TW"/>
              </w:rPr>
              <w:t>)</w:t>
            </w:r>
          </w:p>
        </w:tc>
      </w:tr>
      <w:tr w:rsidR="00082059" w:rsidRPr="00733FA2" w:rsidTr="00120224">
        <w:trPr>
          <w:trHeight w:val="540"/>
        </w:trPr>
        <w:tc>
          <w:tcPr>
            <w:tcW w:w="5245" w:type="dxa"/>
            <w:shd w:val="clear" w:color="auto" w:fill="auto"/>
            <w:vAlign w:val="center"/>
          </w:tcPr>
          <w:p w:rsidR="00082059" w:rsidRPr="00733FA2" w:rsidRDefault="00082059" w:rsidP="00120224">
            <w:pPr>
              <w:spacing w:line="480" w:lineRule="auto"/>
              <w:jc w:val="center"/>
              <w:rPr>
                <w:sz w:val="24"/>
              </w:rPr>
            </w:pPr>
            <w:r w:rsidRPr="00733FA2">
              <w:rPr>
                <w:position w:val="-34"/>
                <w:sz w:val="24"/>
              </w:rPr>
              <w:object w:dxaOrig="3080" w:dyaOrig="900">
                <v:shape id="_x0000_i1031" type="#_x0000_t75" style="width:154.3pt;height:44.9pt" o:ole="">
                  <v:imagedata r:id="rId26" o:title=""/>
                </v:shape>
                <o:OLEObject Type="Embed" ProgID="Equation.3" ShapeID="_x0000_i1031" DrawAspect="Content" ObjectID="_1537179951" r:id="rId27"/>
              </w:object>
            </w:r>
          </w:p>
        </w:tc>
        <w:tc>
          <w:tcPr>
            <w:tcW w:w="4115" w:type="dxa"/>
            <w:shd w:val="clear" w:color="auto" w:fill="auto"/>
            <w:vAlign w:val="center"/>
          </w:tcPr>
          <w:p w:rsidR="00082059" w:rsidRPr="00733FA2" w:rsidRDefault="00082059" w:rsidP="00120224">
            <w:pPr>
              <w:spacing w:line="480" w:lineRule="auto"/>
              <w:jc w:val="right"/>
              <w:rPr>
                <w:sz w:val="24"/>
                <w:lang w:eastAsia="zh-TW"/>
              </w:rPr>
            </w:pPr>
            <w:r>
              <w:rPr>
                <w:sz w:val="24"/>
                <w:lang w:eastAsia="zh-TW"/>
              </w:rPr>
              <w:t>(7</w:t>
            </w:r>
            <w:r w:rsidRPr="00733FA2">
              <w:rPr>
                <w:sz w:val="24"/>
                <w:lang w:eastAsia="zh-TW"/>
              </w:rPr>
              <w:t>)</w:t>
            </w:r>
          </w:p>
        </w:tc>
      </w:tr>
    </w:tbl>
    <w:p w:rsidR="002C1012" w:rsidRDefault="00082059" w:rsidP="00082059">
      <w:pPr>
        <w:spacing w:before="0"/>
        <w:jc w:val="both"/>
        <w:rPr>
          <w:lang w:eastAsia="zh-TW"/>
        </w:rPr>
      </w:pPr>
      <w:r>
        <w:rPr>
          <w:lang w:val="en-CA" w:eastAsia="ko-KR"/>
        </w:rPr>
        <w:t>w</w:t>
      </w:r>
      <w:r w:rsidR="002B26C4">
        <w:rPr>
          <w:lang w:eastAsia="ko-KR"/>
        </w:rPr>
        <w:t>here</w:t>
      </w:r>
      <w:r w:rsidR="00A43FAB">
        <w:rPr>
          <w:lang w:eastAsia="ko-KR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CA" w:eastAsia="zh-TW"/>
              </w:rPr>
            </m:ctrlPr>
          </m:sSubPr>
          <m:e>
            <m:r>
              <w:rPr>
                <w:rFonts w:ascii="Cambria Math" w:hAnsi="Cambria Math"/>
                <w:lang w:val="en-CA" w:eastAsia="zh-TW"/>
              </w:rPr>
              <m:t>R</m:t>
            </m:r>
          </m:e>
          <m:sub>
            <m:r>
              <w:rPr>
                <w:rFonts w:ascii="Cambria Math" w:hAnsi="Cambria Math"/>
                <w:lang w:val="en-CA" w:eastAsia="zh-TW"/>
              </w:rPr>
              <m:t>actBit</m:t>
            </m:r>
          </m:sub>
        </m:sSub>
      </m:oMath>
      <w:r>
        <w:rPr>
          <w:lang w:eastAsia="ko-KR"/>
        </w:rPr>
        <w:t xml:space="preserve"> </w:t>
      </w:r>
      <w:r w:rsidR="00A43FAB">
        <w:rPr>
          <w:lang w:eastAsia="ko-KR"/>
        </w:rPr>
        <w:t xml:space="preserve">denotes the </w:t>
      </w:r>
      <w:r w:rsidR="00A43FAB">
        <w:rPr>
          <w:lang w:val="en-CA" w:eastAsia="zh-TW"/>
        </w:rPr>
        <w:t>actual bit of coll</w:t>
      </w:r>
      <w:r>
        <w:rPr>
          <w:lang w:val="en-CA" w:eastAsia="zh-TW"/>
        </w:rPr>
        <w:t xml:space="preserve">ocated tile of previous picture, </w:t>
      </w:r>
      <m:oMath>
        <m:sSub>
          <m:sSubPr>
            <m:ctrlPr>
              <w:rPr>
                <w:rFonts w:ascii="Cambria Math" w:hAnsi="Cambria Math"/>
                <w:i/>
                <w:lang w:eastAsia="zh-TW"/>
              </w:rPr>
            </m:ctrlPr>
          </m:sSubPr>
          <m:e>
            <m:r>
              <w:rPr>
                <w:rFonts w:ascii="Cambria Math" w:hAnsi="Cambria Math"/>
                <w:lang w:eastAsia="zh-TW"/>
              </w:rPr>
              <m:t>ω</m:t>
            </m:r>
          </m:e>
          <m:sub>
            <m:r>
              <w:rPr>
                <w:rFonts w:ascii="Cambria Math" w:hAnsi="Cambria Math"/>
                <w:lang w:eastAsia="zh-TW"/>
              </w:rPr>
              <m:t>j</m:t>
            </m:r>
          </m:sub>
        </m:sSub>
      </m:oMath>
      <w:r w:rsidRPr="00082059">
        <w:rPr>
          <w:lang w:eastAsia="zh-TW"/>
        </w:rPr>
        <w:t xml:space="preserve"> is the weighted bits of the </w:t>
      </w:r>
      <m:oMath>
        <m:r>
          <w:rPr>
            <w:rFonts w:ascii="Cambria Math" w:hAnsi="Cambria Math"/>
            <w:lang w:eastAsia="zh-TW"/>
          </w:rPr>
          <m:t>j</m:t>
        </m:r>
      </m:oMath>
      <w:r>
        <w:rPr>
          <w:lang w:eastAsia="zh-TW"/>
        </w:rPr>
        <w:t xml:space="preserve">-th tile in a picture, </w:t>
      </w:r>
      <m:oMath>
        <m:r>
          <w:rPr>
            <w:rFonts w:ascii="Cambria Math" w:hAnsi="Cambria Math"/>
            <w:lang w:eastAsia="zh-TW"/>
          </w:rPr>
          <m:t>L</m:t>
        </m:r>
      </m:oMath>
      <w:r w:rsidRPr="00082059">
        <w:rPr>
          <w:lang w:eastAsia="zh-TW"/>
        </w:rPr>
        <w:t xml:space="preserve"> is the total number of pixels in the current tile</w:t>
      </w:r>
      <w:r>
        <w:rPr>
          <w:lang w:eastAsia="zh-TW"/>
        </w:rPr>
        <w:t>,</w:t>
      </w:r>
      <w:r w:rsidRPr="00082059">
        <w:rPr>
          <w:lang w:eastAsia="zh-TW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lang w:eastAsia="zh-TW"/>
              </w:rPr>
            </m:ctrlPr>
          </m:sSubPr>
          <m:e>
            <m:r>
              <w:rPr>
                <w:rFonts w:ascii="Cambria Math" w:hAnsi="Cambria Math"/>
                <w:lang w:eastAsia="zh-TW"/>
              </w:rPr>
              <m:t>λ</m:t>
            </m:r>
          </m:e>
          <m:sub>
            <m:r>
              <w:rPr>
                <w:rFonts w:ascii="Cambria Math" w:hAnsi="Cambria Math"/>
                <w:lang w:eastAsia="zh-TW"/>
              </w:rPr>
              <m:t>p</m:t>
            </m:r>
          </m:sub>
        </m:sSub>
      </m:oMath>
      <w:r w:rsidRPr="00082059">
        <w:rPr>
          <w:lang w:eastAsia="zh-TW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lang w:eastAsia="zh-TW"/>
              </w:rPr>
            </m:ctrlPr>
          </m:sSubPr>
          <m:e>
            <m:r>
              <w:rPr>
                <w:rFonts w:ascii="Cambria Math" w:hAnsi="Cambria Math"/>
                <w:lang w:eastAsia="zh-TW"/>
              </w:rPr>
              <m:t>α</m:t>
            </m:r>
          </m:e>
          <m:sub>
            <m:r>
              <w:rPr>
                <w:rFonts w:ascii="Cambria Math" w:hAnsi="Cambria Math"/>
                <w:lang w:eastAsia="zh-TW"/>
              </w:rPr>
              <m:t>p</m:t>
            </m:r>
          </m:sub>
        </m:sSub>
      </m:oMath>
      <w:r w:rsidRPr="00082059">
        <w:rPr>
          <w:lang w:eastAsia="zh-TW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  <w:lang w:eastAsia="zh-TW"/>
              </w:rPr>
            </m:ctrlPr>
          </m:sSubPr>
          <m:e>
            <m:r>
              <w:rPr>
                <w:rFonts w:ascii="Cambria Math" w:hAnsi="Cambria Math"/>
                <w:lang w:eastAsia="zh-TW"/>
              </w:rPr>
              <m:t>β</m:t>
            </m:r>
          </m:e>
          <m:sub>
            <m:r>
              <w:rPr>
                <w:rFonts w:ascii="Cambria Math" w:hAnsi="Cambria Math"/>
                <w:lang w:eastAsia="zh-TW"/>
              </w:rPr>
              <m:t>p</m:t>
            </m:r>
          </m:sub>
        </m:sSub>
        <m:r>
          <w:rPr>
            <w:rFonts w:ascii="Cambria Math" w:hAnsi="Cambria Math"/>
            <w:lang w:eastAsia="zh-TW"/>
          </w:rPr>
          <m:t xml:space="preserve"> </m:t>
        </m:r>
      </m:oMath>
      <w:r w:rsidRPr="00082059">
        <w:rPr>
          <w:lang w:eastAsia="zh-TW"/>
        </w:rPr>
        <w:t xml:space="preserve">are the </w:t>
      </w:r>
      <w:r w:rsidRPr="00082059">
        <w:rPr>
          <w:lang w:eastAsia="zh-TW"/>
        </w:rPr>
        <w:sym w:font="Symbol" w:char="F06C"/>
      </w:r>
      <w:r w:rsidRPr="00082059">
        <w:rPr>
          <w:lang w:eastAsia="zh-TW"/>
        </w:rPr>
        <w:t xml:space="preserve"> and rate control parameters from the picture level, respectively.</w:t>
      </w:r>
    </w:p>
    <w:p w:rsidR="00082059" w:rsidRPr="00082059" w:rsidRDefault="00082059" w:rsidP="00082059">
      <w:pPr>
        <w:spacing w:before="0"/>
        <w:jc w:val="both"/>
        <w:rPr>
          <w:lang w:eastAsia="zh-TW"/>
        </w:rPr>
      </w:pPr>
    </w:p>
    <w:p w:rsidR="002C1012" w:rsidRPr="00066853" w:rsidRDefault="004E65EF" w:rsidP="002C1012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</w:tabs>
        <w:ind w:left="360"/>
        <w:jc w:val="both"/>
        <w:rPr>
          <w:b/>
          <w:lang w:eastAsia="zh-TW"/>
        </w:rPr>
      </w:pPr>
      <w:r>
        <w:rPr>
          <w:b/>
          <w:lang w:eastAsia="zh-TW"/>
        </w:rPr>
        <w:t>Updating the rate control parameters</w:t>
      </w:r>
    </w:p>
    <w:p w:rsidR="0011138E" w:rsidRDefault="00082059" w:rsidP="00B13065">
      <w:pPr>
        <w:jc w:val="both"/>
        <w:rPr>
          <w:lang w:eastAsia="ko-KR"/>
        </w:rPr>
      </w:pPr>
      <w:r w:rsidRPr="00082059">
        <w:rPr>
          <w:lang w:eastAsia="ko-KR"/>
        </w:rPr>
        <w:t xml:space="preserve">In general, rate control parameters </w:t>
      </w:r>
      <m:oMath>
        <m:r>
          <w:rPr>
            <w:rFonts w:ascii="Cambria Math" w:hAnsi="Cambria Math"/>
            <w:lang w:eastAsia="ko-KR"/>
          </w:rPr>
          <m:t>α</m:t>
        </m:r>
      </m:oMath>
      <w:r w:rsidRPr="00082059">
        <w:rPr>
          <w:lang w:eastAsia="ko-KR"/>
        </w:rPr>
        <w:t xml:space="preserve"> and </w:t>
      </w:r>
      <m:oMath>
        <m:r>
          <w:rPr>
            <w:rFonts w:ascii="Cambria Math" w:hAnsi="Cambria Math"/>
            <w:lang w:eastAsia="ko-KR"/>
          </w:rPr>
          <m:t>β</m:t>
        </m:r>
      </m:oMath>
      <w:r w:rsidRPr="00082059">
        <w:rPr>
          <w:lang w:eastAsia="ko-KR"/>
        </w:rPr>
        <w:t xml:space="preserve"> are updated after encoding all the CTUs in a </w:t>
      </w:r>
      <w:r w:rsidR="0082428D">
        <w:rPr>
          <w:lang w:eastAsia="ko-KR"/>
        </w:rPr>
        <w:t>picture. We note that in HM-16.12</w:t>
      </w:r>
      <w:r w:rsidRPr="00082059">
        <w:rPr>
          <w:lang w:eastAsia="ko-KR"/>
        </w:rPr>
        <w:t xml:space="preserve"> all the CTUs are coded in raster scan order within a picture. Along with the proposed tile-level rate control, the CTU-level rate control runs with information from the corresponding tile. All the rate control parameters in the CTU-level are also updated. With respect to the picture level, all the rate control parameters are updated using the average values from all the tile partitions.</w:t>
      </w:r>
    </w:p>
    <w:p w:rsidR="00082059" w:rsidRDefault="00082059" w:rsidP="00B13065">
      <w:pPr>
        <w:jc w:val="both"/>
        <w:rPr>
          <w:lang w:eastAsia="ko-KR"/>
        </w:rPr>
      </w:pPr>
    </w:p>
    <w:p w:rsidR="0082428D" w:rsidRDefault="0082428D" w:rsidP="00B13065">
      <w:pPr>
        <w:jc w:val="both"/>
        <w:rPr>
          <w:lang w:eastAsia="ko-KR"/>
        </w:rPr>
      </w:pPr>
    </w:p>
    <w:p w:rsidR="00F82075" w:rsidRDefault="00F82075" w:rsidP="00F82075">
      <w:pPr>
        <w:pStyle w:val="Heading1"/>
        <w:rPr>
          <w:lang w:val="en-CA" w:eastAsia="ko-KR"/>
        </w:rPr>
      </w:pPr>
      <w:r>
        <w:rPr>
          <w:lang w:val="en-CA" w:eastAsia="ko-KR"/>
        </w:rPr>
        <w:t xml:space="preserve">Experimental </w:t>
      </w:r>
      <w:r w:rsidR="002225CB">
        <w:rPr>
          <w:lang w:val="en-CA" w:eastAsia="ko-KR"/>
        </w:rPr>
        <w:t>r</w:t>
      </w:r>
      <w:r>
        <w:rPr>
          <w:lang w:val="en-CA" w:eastAsia="ko-KR"/>
        </w:rPr>
        <w:t>esults</w:t>
      </w:r>
    </w:p>
    <w:p w:rsidR="00120224" w:rsidRDefault="00120224" w:rsidP="002225CB">
      <w:pPr>
        <w:jc w:val="both"/>
        <w:rPr>
          <w:lang w:val="en-CA" w:eastAsia="ko-KR"/>
        </w:rPr>
      </w:pPr>
      <w:r>
        <w:rPr>
          <w:lang w:val="en-CA" w:eastAsia="ko-KR"/>
        </w:rPr>
        <w:t>The experiments are performed based on HM-16.12, and the common</w:t>
      </w:r>
      <w:r w:rsidR="00CF7A67">
        <w:rPr>
          <w:lang w:val="en-CA" w:eastAsia="ko-KR"/>
        </w:rPr>
        <w:t xml:space="preserve"> test conditions specified in [2</w:t>
      </w:r>
      <w:r>
        <w:rPr>
          <w:lang w:val="en-CA" w:eastAsia="ko-KR"/>
        </w:rPr>
        <w:t>] are followed. The rate control used in the HM-16.12 without tile-level rate control is enabled as an anchor for the evaluation. We used three different tile partitions (4, 6 and 8 tile par</w:t>
      </w:r>
      <w:r w:rsidR="005142D4">
        <w:rPr>
          <w:lang w:val="en-CA" w:eastAsia="ko-KR"/>
        </w:rPr>
        <w:t xml:space="preserve">titions) with non-uniform mode. All experiments were conducted under ‘Random Access’ and ‘Low Delay B’ configurations. </w:t>
      </w:r>
    </w:p>
    <w:p w:rsidR="00B3216D" w:rsidRDefault="005142D4" w:rsidP="002225CB">
      <w:pPr>
        <w:jc w:val="both"/>
        <w:rPr>
          <w:lang w:val="en-CA" w:eastAsia="ko-KR"/>
        </w:rPr>
      </w:pPr>
      <w:r>
        <w:rPr>
          <w:lang w:val="en-CA" w:eastAsia="ko-KR"/>
        </w:rPr>
        <w:t xml:space="preserve">Table 1 and Table 2 tabulate coding efficiency performance of the proposed tile-level rate control against the anchor. The summary results on rate control accuracy when targeting the HM anchor bitrate are provided in Table 3. The Class D sequences are excluded in the experiments due to those sequences cannot support our tile partition configurations. </w:t>
      </w:r>
    </w:p>
    <w:p w:rsidR="00521ADA" w:rsidRDefault="00521ADA" w:rsidP="002225CB">
      <w:pPr>
        <w:jc w:val="both"/>
        <w:rPr>
          <w:lang w:val="en-CA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216"/>
        <w:gridCol w:w="913"/>
        <w:gridCol w:w="753"/>
        <w:gridCol w:w="874"/>
        <w:gridCol w:w="794"/>
        <w:gridCol w:w="710"/>
        <w:gridCol w:w="710"/>
        <w:gridCol w:w="127"/>
        <w:gridCol w:w="591"/>
        <w:gridCol w:w="746"/>
        <w:gridCol w:w="714"/>
        <w:gridCol w:w="799"/>
      </w:tblGrid>
      <w:tr w:rsidR="00C778DD" w:rsidRPr="000067A5" w:rsidTr="00CC6F6D">
        <w:trPr>
          <w:trHeight w:val="240"/>
          <w:jc w:val="center"/>
        </w:trPr>
        <w:tc>
          <w:tcPr>
            <w:tcW w:w="94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8DD" w:rsidRPr="000067A5" w:rsidRDefault="00C778DD" w:rsidP="00A57CC4">
            <w:pPr>
              <w:keepNext/>
              <w:spacing w:before="0"/>
              <w:jc w:val="center"/>
              <w:rPr>
                <w:szCs w:val="18"/>
                <w:lang w:eastAsia="zh-CN"/>
              </w:rPr>
            </w:pPr>
            <w:r w:rsidRPr="000067A5">
              <w:rPr>
                <w:b/>
                <w:bCs/>
                <w:color w:val="000000"/>
                <w:szCs w:val="18"/>
                <w:lang w:eastAsia="zh-CN"/>
              </w:rPr>
              <w:t xml:space="preserve">Table 1 </w:t>
            </w:r>
            <w:r w:rsidRPr="000067A5">
              <w:rPr>
                <w:szCs w:val="18"/>
                <w:lang w:eastAsia="zh-CN"/>
              </w:rPr>
              <w:t xml:space="preserve">R-D performance of the proposed Tile-level rate control </w:t>
            </w:r>
            <w:r>
              <w:rPr>
                <w:szCs w:val="18"/>
                <w:lang w:eastAsia="zh-CN"/>
              </w:rPr>
              <w:t xml:space="preserve">algorithm </w:t>
            </w:r>
            <w:r w:rsidRPr="000067A5">
              <w:rPr>
                <w:szCs w:val="18"/>
                <w:lang w:eastAsia="zh-CN"/>
              </w:rPr>
              <w:t>(Random Access)</w:t>
            </w:r>
          </w:p>
          <w:p w:rsidR="00C778DD" w:rsidRPr="000067A5" w:rsidRDefault="00C778DD" w:rsidP="00A57CC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BF14F2" w:rsidRPr="000067A5" w:rsidTr="00CC6F6D">
        <w:trPr>
          <w:trHeight w:val="70"/>
          <w:jc w:val="center"/>
        </w:trPr>
        <w:tc>
          <w:tcPr>
            <w:tcW w:w="26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4F2" w:rsidRPr="000067A5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bCs/>
                <w:color w:val="000000"/>
                <w:sz w:val="18"/>
                <w:szCs w:val="18"/>
                <w:lang w:eastAsia="zh-CN"/>
              </w:rPr>
              <w:t>4-Tiles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bCs/>
                <w:color w:val="000000"/>
                <w:sz w:val="18"/>
                <w:szCs w:val="18"/>
                <w:lang w:eastAsia="zh-CN"/>
              </w:rPr>
              <w:t>6-Tiles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bCs/>
                <w:color w:val="000000"/>
                <w:sz w:val="18"/>
                <w:szCs w:val="18"/>
                <w:lang w:eastAsia="zh-CN"/>
              </w:rPr>
              <w:t>8-Tiles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4F2" w:rsidRPr="000067A5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74" w:type="dxa"/>
            <w:shd w:val="clear" w:color="auto" w:fill="BFBFBF" w:themeFill="background1" w:themeFillShade="BF"/>
            <w:noWrap/>
            <w:vAlign w:val="bottom"/>
            <w:hideMark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794" w:type="dxa"/>
            <w:shd w:val="clear" w:color="auto" w:fill="BFBFBF" w:themeFill="background1" w:themeFillShade="BF"/>
            <w:noWrap/>
            <w:vAlign w:val="bottom"/>
            <w:hideMark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710" w:type="dxa"/>
            <w:shd w:val="clear" w:color="auto" w:fill="BFBFBF" w:themeFill="background1" w:themeFillShade="BF"/>
            <w:noWrap/>
            <w:vAlign w:val="bottom"/>
            <w:hideMark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710" w:type="dxa"/>
            <w:shd w:val="clear" w:color="auto" w:fill="BFBFBF" w:themeFill="background1" w:themeFillShade="BF"/>
            <w:noWrap/>
            <w:vAlign w:val="bottom"/>
            <w:hideMark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718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746" w:type="dxa"/>
            <w:shd w:val="clear" w:color="auto" w:fill="BFBFBF" w:themeFill="background1" w:themeFillShade="BF"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714" w:type="dxa"/>
            <w:shd w:val="clear" w:color="auto" w:fill="BFBFBF" w:themeFill="background1" w:themeFillShade="BF"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799" w:type="dxa"/>
            <w:shd w:val="clear" w:color="auto" w:fill="BFBFBF" w:themeFill="background1" w:themeFillShade="BF"/>
          </w:tcPr>
          <w:p w:rsidR="00BF14F2" w:rsidRPr="009901DB" w:rsidRDefault="00BF14F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753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-0.1%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-2.5%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-0.7%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-0.1%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1.1%</w:t>
            </w:r>
          </w:p>
        </w:tc>
        <w:tc>
          <w:tcPr>
            <w:tcW w:w="718" w:type="dxa"/>
            <w:gridSpan w:val="2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1.7%</w:t>
            </w:r>
          </w:p>
        </w:tc>
        <w:tc>
          <w:tcPr>
            <w:tcW w:w="746" w:type="dxa"/>
            <w:shd w:val="clear" w:color="auto" w:fill="auto"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-0.1%</w:t>
            </w:r>
          </w:p>
        </w:tc>
        <w:tc>
          <w:tcPr>
            <w:tcW w:w="714" w:type="dxa"/>
            <w:shd w:val="clear" w:color="auto" w:fill="auto"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-1.1%</w:t>
            </w:r>
          </w:p>
        </w:tc>
        <w:tc>
          <w:tcPr>
            <w:tcW w:w="799" w:type="dxa"/>
            <w:shd w:val="clear" w:color="auto" w:fill="auto"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-0.3%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753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-4.4%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-3.5%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-2.7%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-4.4%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-4.5%</w:t>
            </w:r>
          </w:p>
        </w:tc>
        <w:tc>
          <w:tcPr>
            <w:tcW w:w="718" w:type="dxa"/>
            <w:gridSpan w:val="2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-3.9%</w:t>
            </w:r>
          </w:p>
        </w:tc>
        <w:tc>
          <w:tcPr>
            <w:tcW w:w="746" w:type="dxa"/>
            <w:shd w:val="clear" w:color="auto" w:fill="auto"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-4.1%</w:t>
            </w:r>
          </w:p>
        </w:tc>
        <w:tc>
          <w:tcPr>
            <w:tcW w:w="714" w:type="dxa"/>
            <w:shd w:val="clear" w:color="auto" w:fill="auto"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-3.8%</w:t>
            </w:r>
          </w:p>
        </w:tc>
        <w:tc>
          <w:tcPr>
            <w:tcW w:w="799" w:type="dxa"/>
            <w:shd w:val="clear" w:color="auto" w:fill="auto"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-3.7%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753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-2.5%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-1.5%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-1.0%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-2.5%</w:t>
            </w:r>
          </w:p>
        </w:tc>
        <w:tc>
          <w:tcPr>
            <w:tcW w:w="710" w:type="dxa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-1.6%</w:t>
            </w:r>
          </w:p>
        </w:tc>
        <w:tc>
          <w:tcPr>
            <w:tcW w:w="718" w:type="dxa"/>
            <w:gridSpan w:val="2"/>
            <w:shd w:val="clear" w:color="auto" w:fill="auto"/>
            <w:noWrap/>
            <w:hideMark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-0.7%</w:t>
            </w:r>
          </w:p>
        </w:tc>
        <w:tc>
          <w:tcPr>
            <w:tcW w:w="746" w:type="dxa"/>
            <w:shd w:val="clear" w:color="auto" w:fill="auto"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-2.4%</w:t>
            </w:r>
          </w:p>
        </w:tc>
        <w:tc>
          <w:tcPr>
            <w:tcW w:w="714" w:type="dxa"/>
            <w:shd w:val="clear" w:color="auto" w:fill="auto"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-1.2%</w:t>
            </w:r>
          </w:p>
        </w:tc>
        <w:tc>
          <w:tcPr>
            <w:tcW w:w="799" w:type="dxa"/>
            <w:shd w:val="clear" w:color="auto" w:fill="auto"/>
          </w:tcPr>
          <w:p w:rsidR="00146E12" w:rsidRPr="000067A5" w:rsidRDefault="00146E12" w:rsidP="00A57CC4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sz w:val="18"/>
                <w:szCs w:val="18"/>
              </w:rPr>
              <w:t>-0.4%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  <w:hideMark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753" w:type="dxa"/>
            <w:shd w:val="clear" w:color="auto" w:fill="262626" w:themeFill="text1" w:themeFillTint="D9"/>
            <w:noWrap/>
            <w:vAlign w:val="bottom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874" w:type="dxa"/>
            <w:shd w:val="clear" w:color="auto" w:fill="262626" w:themeFill="text1" w:themeFillTint="D9"/>
            <w:noWrap/>
            <w:vAlign w:val="bottom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794" w:type="dxa"/>
            <w:shd w:val="clear" w:color="auto" w:fill="262626" w:themeFill="text1" w:themeFillTint="D9"/>
            <w:noWrap/>
            <w:vAlign w:val="bottom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shd w:val="clear" w:color="auto" w:fill="262626" w:themeFill="text1" w:themeFillTint="D9"/>
            <w:noWrap/>
            <w:vAlign w:val="bottom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shd w:val="clear" w:color="auto" w:fill="262626" w:themeFill="text1" w:themeFillTint="D9"/>
            <w:noWrap/>
            <w:vAlign w:val="bottom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8" w:type="dxa"/>
            <w:gridSpan w:val="2"/>
            <w:shd w:val="clear" w:color="auto" w:fill="262626" w:themeFill="text1" w:themeFillTint="D9"/>
            <w:noWrap/>
            <w:vAlign w:val="bottom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46" w:type="dxa"/>
            <w:shd w:val="clear" w:color="auto" w:fill="262626" w:themeFill="text1" w:themeFillTint="D9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4" w:type="dxa"/>
            <w:shd w:val="clear" w:color="auto" w:fill="262626" w:themeFill="text1" w:themeFillTint="D9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9" w:type="dxa"/>
            <w:shd w:val="clear" w:color="auto" w:fill="262626" w:themeFill="text1" w:themeFillTint="D9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  <w:hideMark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753" w:type="dxa"/>
            <w:shd w:val="clear" w:color="auto" w:fill="262626" w:themeFill="text1" w:themeFillTint="D9"/>
            <w:noWrap/>
            <w:vAlign w:val="bottom"/>
            <w:hideMark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874" w:type="dxa"/>
            <w:shd w:val="clear" w:color="auto" w:fill="262626" w:themeFill="text1" w:themeFillTint="D9"/>
            <w:noWrap/>
            <w:vAlign w:val="bottom"/>
            <w:hideMark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4" w:type="dxa"/>
            <w:shd w:val="clear" w:color="auto" w:fill="262626" w:themeFill="text1" w:themeFillTint="D9"/>
            <w:noWrap/>
            <w:vAlign w:val="bottom"/>
            <w:hideMark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710" w:type="dxa"/>
            <w:shd w:val="clear" w:color="auto" w:fill="262626" w:themeFill="text1" w:themeFillTint="D9"/>
            <w:noWrap/>
            <w:vAlign w:val="bottom"/>
            <w:hideMark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710" w:type="dxa"/>
            <w:shd w:val="clear" w:color="auto" w:fill="262626" w:themeFill="text1" w:themeFillTint="D9"/>
            <w:noWrap/>
            <w:vAlign w:val="bottom"/>
            <w:hideMark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8" w:type="dxa"/>
            <w:gridSpan w:val="2"/>
            <w:shd w:val="clear" w:color="auto" w:fill="262626" w:themeFill="text1" w:themeFillTint="D9"/>
            <w:noWrap/>
            <w:vAlign w:val="bottom"/>
            <w:hideMark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746" w:type="dxa"/>
            <w:shd w:val="clear" w:color="auto" w:fill="262626" w:themeFill="text1" w:themeFillTint="D9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4" w:type="dxa"/>
            <w:shd w:val="clear" w:color="auto" w:fill="262626" w:themeFill="text1" w:themeFillTint="D9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9" w:type="dxa"/>
            <w:shd w:val="clear" w:color="auto" w:fill="262626" w:themeFill="text1" w:themeFillTint="D9"/>
          </w:tcPr>
          <w:p w:rsidR="00146E12" w:rsidRPr="000067A5" w:rsidRDefault="00146E12" w:rsidP="00A57CC4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  <w:hideMark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3.3%</w:t>
            </w:r>
          </w:p>
        </w:tc>
        <w:tc>
          <w:tcPr>
            <w:tcW w:w="794" w:type="dxa"/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3.2%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2.5%</w:t>
            </w:r>
          </w:p>
        </w:tc>
        <w:tc>
          <w:tcPr>
            <w:tcW w:w="718" w:type="dxa"/>
            <w:gridSpan w:val="2"/>
            <w:shd w:val="clear" w:color="auto" w:fill="auto"/>
            <w:noWrap/>
            <w:vAlign w:val="bottom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3.3%</w:t>
            </w:r>
          </w:p>
        </w:tc>
        <w:tc>
          <w:tcPr>
            <w:tcW w:w="746" w:type="dxa"/>
            <w:shd w:val="clear" w:color="auto" w:fill="auto"/>
          </w:tcPr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714" w:type="dxa"/>
            <w:shd w:val="clear" w:color="auto" w:fill="auto"/>
          </w:tcPr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2.3%</w:t>
            </w:r>
          </w:p>
        </w:tc>
        <w:tc>
          <w:tcPr>
            <w:tcW w:w="799" w:type="dxa"/>
            <w:shd w:val="clear" w:color="auto" w:fill="auto"/>
          </w:tcPr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2.7%</w:t>
            </w:r>
          </w:p>
        </w:tc>
      </w:tr>
      <w:tr w:rsidR="00CC6F6D" w:rsidRPr="000067A5" w:rsidTr="00CC6F6D">
        <w:trPr>
          <w:trHeight w:val="47"/>
          <w:jc w:val="center"/>
        </w:trPr>
        <w:tc>
          <w:tcPr>
            <w:tcW w:w="1551" w:type="dxa"/>
            <w:vMerge w:val="restart"/>
            <w:shd w:val="clear" w:color="auto" w:fill="auto"/>
            <w:noWrap/>
            <w:vAlign w:val="center"/>
            <w:hideMark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</w:t>
            </w:r>
          </w:p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zh-CN"/>
              </w:rPr>
              <w:t>without Class F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:rsidR="009E4DB9" w:rsidRPr="00146E1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BD-rate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9E4DB9" w:rsidRPr="00146E1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 w:rsidRPr="00146E12">
              <w:rPr>
                <w:b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:rsidR="009E4DB9" w:rsidRPr="00146E1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 w:rsidRPr="00146E12">
              <w:rPr>
                <w:b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794" w:type="dxa"/>
            <w:shd w:val="clear" w:color="auto" w:fill="auto"/>
            <w:noWrap/>
            <w:vAlign w:val="bottom"/>
          </w:tcPr>
          <w:p w:rsidR="009E4DB9" w:rsidRPr="00146E1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 w:rsidRPr="00146E12">
              <w:rPr>
                <w:b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9E4DB9" w:rsidRPr="00146E1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 w:rsidRPr="00146E12">
              <w:rPr>
                <w:b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9E4DB9" w:rsidRPr="00146E1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 w:rsidRPr="00146E12">
              <w:rPr>
                <w:b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718" w:type="dxa"/>
            <w:gridSpan w:val="2"/>
            <w:shd w:val="clear" w:color="auto" w:fill="auto"/>
            <w:noWrap/>
            <w:vAlign w:val="bottom"/>
          </w:tcPr>
          <w:p w:rsidR="009E4DB9" w:rsidRPr="00146E1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 w:rsidRPr="00146E12">
              <w:rPr>
                <w:b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9E4DB9" w:rsidRPr="00146E12" w:rsidRDefault="009E4DB9" w:rsidP="00CC6F6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 w:rsidRPr="00146E12">
              <w:rPr>
                <w:b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714" w:type="dxa"/>
            <w:shd w:val="clear" w:color="auto" w:fill="auto"/>
          </w:tcPr>
          <w:p w:rsidR="009E4DB9" w:rsidRPr="00146E1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 w:rsidRPr="00146E12">
              <w:rPr>
                <w:b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799" w:type="dxa"/>
            <w:shd w:val="clear" w:color="auto" w:fill="auto"/>
          </w:tcPr>
          <w:p w:rsidR="009E4DB9" w:rsidRPr="00146E1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 w:rsidRPr="00146E12">
              <w:rPr>
                <w:b/>
                <w:sz w:val="18"/>
                <w:szCs w:val="18"/>
                <w:lang w:eastAsia="zh-CN"/>
              </w:rPr>
              <w:t>-0.4%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1551" w:type="dxa"/>
            <w:vMerge/>
            <w:shd w:val="clear" w:color="auto" w:fill="auto"/>
            <w:noWrap/>
            <w:vAlign w:val="center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Enc. Time</w:t>
            </w:r>
          </w:p>
        </w:tc>
        <w:tc>
          <w:tcPr>
            <w:tcW w:w="2421" w:type="dxa"/>
            <w:gridSpan w:val="3"/>
            <w:shd w:val="clear" w:color="auto" w:fill="auto"/>
            <w:noWrap/>
            <w:vAlign w:val="bottom"/>
          </w:tcPr>
          <w:p w:rsidR="009E4DB9" w:rsidRPr="007A665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A6652">
              <w:rPr>
                <w:b/>
                <w:color w:val="000000"/>
                <w:sz w:val="18"/>
                <w:szCs w:val="18"/>
                <w:lang w:eastAsia="zh-CN"/>
              </w:rPr>
              <w:t>106%</w:t>
            </w:r>
          </w:p>
        </w:tc>
        <w:tc>
          <w:tcPr>
            <w:tcW w:w="2138" w:type="dxa"/>
            <w:gridSpan w:val="4"/>
            <w:shd w:val="clear" w:color="auto" w:fill="auto"/>
            <w:noWrap/>
            <w:vAlign w:val="bottom"/>
          </w:tcPr>
          <w:p w:rsidR="009E4DB9" w:rsidRPr="007A665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A6652">
              <w:rPr>
                <w:b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2259" w:type="dxa"/>
            <w:gridSpan w:val="3"/>
            <w:shd w:val="clear" w:color="auto" w:fill="auto"/>
          </w:tcPr>
          <w:p w:rsidR="009E4DB9" w:rsidRPr="007A6652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A6652">
              <w:rPr>
                <w:b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1551" w:type="dxa"/>
            <w:vMerge w:val="restart"/>
            <w:shd w:val="clear" w:color="auto" w:fill="auto"/>
            <w:noWrap/>
            <w:vAlign w:val="center"/>
          </w:tcPr>
          <w:p w:rsidR="009E4DB9" w:rsidRPr="00C778DD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C778DD">
              <w:rPr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  <w:p w:rsidR="009E4DB9" w:rsidRPr="00C778DD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C778DD">
              <w:rPr>
                <w:bCs/>
                <w:color w:val="000000"/>
                <w:sz w:val="18"/>
                <w:szCs w:val="18"/>
                <w:lang w:eastAsia="zh-CN"/>
              </w:rPr>
              <w:t>with Class F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:rsidR="009E4DB9" w:rsidRPr="00C778DD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 w:rsidRPr="00C778DD">
              <w:rPr>
                <w:sz w:val="18"/>
                <w:szCs w:val="18"/>
                <w:lang w:eastAsia="zh-CN"/>
              </w:rPr>
              <w:t>BD-rate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794" w:type="dxa"/>
            <w:shd w:val="clear" w:color="auto" w:fill="auto"/>
            <w:noWrap/>
            <w:vAlign w:val="bottom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718" w:type="dxa"/>
            <w:gridSpan w:val="2"/>
            <w:shd w:val="clear" w:color="auto" w:fill="auto"/>
            <w:noWrap/>
            <w:vAlign w:val="bottom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746" w:type="dxa"/>
            <w:shd w:val="clear" w:color="auto" w:fill="auto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714" w:type="dxa"/>
            <w:shd w:val="clear" w:color="auto" w:fill="auto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799" w:type="dxa"/>
            <w:shd w:val="clear" w:color="auto" w:fill="auto"/>
          </w:tcPr>
          <w:p w:rsidR="009E4DB9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-0.4%</w:t>
            </w:r>
          </w:p>
        </w:tc>
      </w:tr>
      <w:tr w:rsidR="009E4DB9" w:rsidRPr="000067A5" w:rsidTr="00CC6F6D">
        <w:trPr>
          <w:trHeight w:val="70"/>
          <w:jc w:val="center"/>
        </w:trPr>
        <w:tc>
          <w:tcPr>
            <w:tcW w:w="155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B9" w:rsidRPr="00C778DD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4DB9" w:rsidRPr="00C778DD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 w:rsidRPr="00C778DD">
              <w:rPr>
                <w:sz w:val="18"/>
                <w:szCs w:val="18"/>
                <w:lang w:eastAsia="zh-CN"/>
              </w:rPr>
              <w:t>Enc. Time</w:t>
            </w:r>
          </w:p>
        </w:tc>
        <w:tc>
          <w:tcPr>
            <w:tcW w:w="2421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213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103</w:t>
            </w:r>
            <w:r w:rsidRPr="000067A5">
              <w:rPr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225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E4DB9" w:rsidRPr="000067A5" w:rsidRDefault="009E4DB9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CC6F6D" w:rsidRPr="000067A5" w:rsidTr="00CC6F6D">
        <w:trPr>
          <w:trHeight w:val="255"/>
          <w:jc w:val="center"/>
        </w:trPr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CC6F6D" w:rsidRPr="000067A5" w:rsidTr="00CC6F6D">
        <w:trPr>
          <w:trHeight w:val="255"/>
          <w:jc w:val="center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DB9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4DB9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  <w:p w:rsidR="009E4DB9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9E4DB9" w:rsidRPr="000067A5" w:rsidTr="00CC6F6D">
        <w:trPr>
          <w:trHeight w:val="80"/>
          <w:jc w:val="center"/>
        </w:trPr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Cs w:val="18"/>
                <w:lang w:eastAsia="zh-CN"/>
              </w:rPr>
            </w:pPr>
          </w:p>
        </w:tc>
        <w:tc>
          <w:tcPr>
            <w:tcW w:w="77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Cs w:val="18"/>
                <w:lang w:eastAsia="zh-CN"/>
              </w:rPr>
            </w:pPr>
            <w:r w:rsidRPr="000067A5">
              <w:rPr>
                <w:b/>
                <w:bCs/>
                <w:color w:val="000000"/>
                <w:szCs w:val="18"/>
                <w:lang w:eastAsia="zh-CN"/>
              </w:rPr>
              <w:t xml:space="preserve">Table 2 </w:t>
            </w:r>
            <w:r w:rsidRPr="000067A5">
              <w:rPr>
                <w:szCs w:val="18"/>
                <w:lang w:eastAsia="zh-CN"/>
              </w:rPr>
              <w:t xml:space="preserve">R-D performance of the proposed Tile-level rate control </w:t>
            </w:r>
            <w:r>
              <w:rPr>
                <w:szCs w:val="18"/>
                <w:lang w:eastAsia="zh-CN"/>
              </w:rPr>
              <w:t xml:space="preserve">algorithm </w:t>
            </w:r>
            <w:r w:rsidRPr="000067A5">
              <w:rPr>
                <w:szCs w:val="18"/>
                <w:lang w:eastAsia="zh-CN"/>
              </w:rPr>
              <w:t>(Low-Delay B)</w:t>
            </w:r>
          </w:p>
          <w:p w:rsidR="009E4DB9" w:rsidRPr="000067A5" w:rsidRDefault="009E4DB9" w:rsidP="009E4D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C778DD" w:rsidRPr="000067A5" w:rsidTr="00CC6F6D">
        <w:trPr>
          <w:trHeight w:val="70"/>
          <w:jc w:val="center"/>
        </w:trPr>
        <w:tc>
          <w:tcPr>
            <w:tcW w:w="268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4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bCs/>
                <w:color w:val="000000"/>
                <w:sz w:val="18"/>
                <w:szCs w:val="18"/>
                <w:lang w:eastAsia="zh-CN"/>
              </w:rPr>
              <w:t>4-Tiles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bCs/>
                <w:color w:val="000000"/>
                <w:sz w:val="18"/>
                <w:szCs w:val="18"/>
                <w:lang w:eastAsia="zh-CN"/>
              </w:rPr>
              <w:t>6-Tiles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bCs/>
                <w:color w:val="000000"/>
                <w:sz w:val="18"/>
                <w:szCs w:val="18"/>
                <w:lang w:eastAsia="zh-CN"/>
              </w:rPr>
              <w:t>8-Tiles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53" w:type="dxa"/>
            <w:tcBorders>
              <w:lef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874" w:type="dxa"/>
            <w:shd w:val="clear" w:color="auto" w:fill="BFBFBF" w:themeFill="background1" w:themeFillShade="BF"/>
            <w:noWrap/>
            <w:vAlign w:val="bottom"/>
            <w:hideMark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794" w:type="dxa"/>
            <w:shd w:val="clear" w:color="auto" w:fill="BFBFBF" w:themeFill="background1" w:themeFillShade="BF"/>
            <w:noWrap/>
            <w:vAlign w:val="bottom"/>
            <w:hideMark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710" w:type="dxa"/>
            <w:shd w:val="clear" w:color="auto" w:fill="BFBFBF" w:themeFill="background1" w:themeFillShade="BF"/>
            <w:noWrap/>
            <w:vAlign w:val="bottom"/>
            <w:hideMark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710" w:type="dxa"/>
            <w:shd w:val="clear" w:color="auto" w:fill="BFBFBF" w:themeFill="background1" w:themeFillShade="BF"/>
            <w:noWrap/>
            <w:vAlign w:val="bottom"/>
            <w:hideMark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718" w:type="dxa"/>
            <w:gridSpan w:val="2"/>
            <w:shd w:val="clear" w:color="auto" w:fill="BFBFBF" w:themeFill="background1" w:themeFillShade="BF"/>
            <w:noWrap/>
            <w:vAlign w:val="bottom"/>
            <w:hideMark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746" w:type="dxa"/>
            <w:shd w:val="clear" w:color="auto" w:fill="BFBFBF" w:themeFill="background1" w:themeFillShade="BF"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714" w:type="dxa"/>
            <w:shd w:val="clear" w:color="auto" w:fill="BFBFBF" w:themeFill="background1" w:themeFillShade="BF"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799" w:type="dxa"/>
            <w:shd w:val="clear" w:color="auto" w:fill="BFBFBF" w:themeFill="background1" w:themeFillShade="BF"/>
          </w:tcPr>
          <w:p w:rsidR="00C778DD" w:rsidRPr="009901DB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9901DB">
              <w:rPr>
                <w:b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753" w:type="dxa"/>
            <w:shd w:val="clear" w:color="auto" w:fill="262626" w:themeFill="text1" w:themeFillTint="D9"/>
            <w:noWrap/>
            <w:vAlign w:val="bottom"/>
            <w:hideMark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74" w:type="dxa"/>
            <w:shd w:val="clear" w:color="auto" w:fill="262626" w:themeFill="text1" w:themeFillTint="D9"/>
            <w:noWrap/>
            <w:vAlign w:val="bottom"/>
            <w:hideMark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4" w:type="dxa"/>
            <w:shd w:val="clear" w:color="auto" w:fill="262626" w:themeFill="text1" w:themeFillTint="D9"/>
            <w:noWrap/>
            <w:vAlign w:val="bottom"/>
            <w:hideMark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shd w:val="clear" w:color="auto" w:fill="262626" w:themeFill="text1" w:themeFillTint="D9"/>
            <w:noWrap/>
            <w:vAlign w:val="bottom"/>
            <w:hideMark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shd w:val="clear" w:color="auto" w:fill="262626" w:themeFill="text1" w:themeFillTint="D9"/>
            <w:noWrap/>
            <w:vAlign w:val="bottom"/>
            <w:hideMark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8" w:type="dxa"/>
            <w:gridSpan w:val="2"/>
            <w:shd w:val="clear" w:color="auto" w:fill="262626" w:themeFill="text1" w:themeFillTint="D9"/>
            <w:noWrap/>
            <w:vAlign w:val="bottom"/>
            <w:hideMark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46" w:type="dxa"/>
            <w:shd w:val="clear" w:color="auto" w:fill="262626" w:themeFill="text1" w:themeFillTint="D9"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4" w:type="dxa"/>
            <w:shd w:val="clear" w:color="auto" w:fill="262626" w:themeFill="text1" w:themeFillTint="D9"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99" w:type="dxa"/>
            <w:shd w:val="clear" w:color="auto" w:fill="262626" w:themeFill="text1" w:themeFillTint="D9"/>
          </w:tcPr>
          <w:p w:rsidR="00C778DD" w:rsidRPr="000067A5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  <w:hideMark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753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-1.7%</w:t>
            </w:r>
          </w:p>
        </w:tc>
        <w:tc>
          <w:tcPr>
            <w:tcW w:w="874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0.5%</w:t>
            </w:r>
          </w:p>
        </w:tc>
        <w:tc>
          <w:tcPr>
            <w:tcW w:w="794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0.9%</w:t>
            </w:r>
          </w:p>
        </w:tc>
        <w:tc>
          <w:tcPr>
            <w:tcW w:w="710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-1.6%</w:t>
            </w:r>
          </w:p>
        </w:tc>
        <w:tc>
          <w:tcPr>
            <w:tcW w:w="710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0.5%</w:t>
            </w:r>
          </w:p>
        </w:tc>
        <w:tc>
          <w:tcPr>
            <w:tcW w:w="718" w:type="dxa"/>
            <w:gridSpan w:val="2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0.9%</w:t>
            </w:r>
          </w:p>
        </w:tc>
        <w:tc>
          <w:tcPr>
            <w:tcW w:w="746" w:type="dxa"/>
            <w:shd w:val="clear" w:color="auto" w:fill="auto"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-2.3%</w:t>
            </w:r>
          </w:p>
        </w:tc>
        <w:tc>
          <w:tcPr>
            <w:tcW w:w="714" w:type="dxa"/>
            <w:shd w:val="clear" w:color="auto" w:fill="auto"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-0.5%</w:t>
            </w:r>
          </w:p>
        </w:tc>
        <w:tc>
          <w:tcPr>
            <w:tcW w:w="799" w:type="dxa"/>
            <w:shd w:val="clear" w:color="auto" w:fill="auto"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-0.5%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  <w:hideMark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753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-0.3%</w:t>
            </w:r>
          </w:p>
        </w:tc>
        <w:tc>
          <w:tcPr>
            <w:tcW w:w="874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1.9%</w:t>
            </w:r>
          </w:p>
        </w:tc>
        <w:tc>
          <w:tcPr>
            <w:tcW w:w="794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1.5%</w:t>
            </w:r>
          </w:p>
        </w:tc>
        <w:tc>
          <w:tcPr>
            <w:tcW w:w="710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-0.3%</w:t>
            </w:r>
          </w:p>
        </w:tc>
        <w:tc>
          <w:tcPr>
            <w:tcW w:w="710" w:type="dxa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1.9%</w:t>
            </w:r>
          </w:p>
        </w:tc>
        <w:tc>
          <w:tcPr>
            <w:tcW w:w="718" w:type="dxa"/>
            <w:gridSpan w:val="2"/>
            <w:shd w:val="clear" w:color="auto" w:fill="auto"/>
            <w:noWrap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1.5%</w:t>
            </w:r>
          </w:p>
        </w:tc>
        <w:tc>
          <w:tcPr>
            <w:tcW w:w="746" w:type="dxa"/>
            <w:shd w:val="clear" w:color="auto" w:fill="auto"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-0.2%</w:t>
            </w:r>
          </w:p>
        </w:tc>
        <w:tc>
          <w:tcPr>
            <w:tcW w:w="714" w:type="dxa"/>
            <w:shd w:val="clear" w:color="auto" w:fill="auto"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1.4%</w:t>
            </w:r>
          </w:p>
        </w:tc>
        <w:tc>
          <w:tcPr>
            <w:tcW w:w="799" w:type="dxa"/>
            <w:shd w:val="clear" w:color="auto" w:fill="auto"/>
          </w:tcPr>
          <w:p w:rsidR="00C778DD" w:rsidRPr="00A57CC4" w:rsidRDefault="00C778DD" w:rsidP="009E4DB9">
            <w:pPr>
              <w:spacing w:before="0"/>
              <w:jc w:val="center"/>
              <w:rPr>
                <w:sz w:val="18"/>
                <w:szCs w:val="18"/>
              </w:rPr>
            </w:pPr>
            <w:r w:rsidRPr="00A57CC4">
              <w:rPr>
                <w:sz w:val="18"/>
                <w:szCs w:val="18"/>
              </w:rPr>
              <w:t>2.1%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753" w:type="dxa"/>
            <w:shd w:val="clear" w:color="auto" w:fill="262626" w:themeFill="text1" w:themeFillTint="D9"/>
            <w:noWrap/>
            <w:vAlign w:val="bottom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874" w:type="dxa"/>
            <w:shd w:val="clear" w:color="auto" w:fill="262626" w:themeFill="text1" w:themeFillTint="D9"/>
            <w:noWrap/>
            <w:vAlign w:val="bottom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794" w:type="dxa"/>
            <w:shd w:val="clear" w:color="auto" w:fill="262626" w:themeFill="text1" w:themeFillTint="D9"/>
            <w:noWrap/>
            <w:vAlign w:val="bottom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shd w:val="clear" w:color="auto" w:fill="262626" w:themeFill="text1" w:themeFillTint="D9"/>
            <w:noWrap/>
            <w:vAlign w:val="bottom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710" w:type="dxa"/>
            <w:shd w:val="clear" w:color="auto" w:fill="262626" w:themeFill="text1" w:themeFillTint="D9"/>
            <w:noWrap/>
            <w:vAlign w:val="bottom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718" w:type="dxa"/>
            <w:gridSpan w:val="2"/>
            <w:shd w:val="clear" w:color="auto" w:fill="262626" w:themeFill="text1" w:themeFillTint="D9"/>
            <w:noWrap/>
            <w:vAlign w:val="bottom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746" w:type="dxa"/>
            <w:shd w:val="clear" w:color="auto" w:fill="262626" w:themeFill="text1" w:themeFillTint="D9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714" w:type="dxa"/>
            <w:shd w:val="clear" w:color="auto" w:fill="262626" w:themeFill="text1" w:themeFillTint="D9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  <w:tc>
          <w:tcPr>
            <w:tcW w:w="799" w:type="dxa"/>
            <w:shd w:val="clear" w:color="auto" w:fill="262626" w:themeFill="text1" w:themeFillTint="D9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C778DD" w:rsidRPr="00A57CC4" w:rsidRDefault="00683E03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:rsidR="00C778DD" w:rsidRPr="00A57CC4" w:rsidRDefault="00683E03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8.0%</w:t>
            </w:r>
          </w:p>
        </w:tc>
        <w:tc>
          <w:tcPr>
            <w:tcW w:w="794" w:type="dxa"/>
            <w:shd w:val="clear" w:color="auto" w:fill="auto"/>
            <w:noWrap/>
            <w:vAlign w:val="bottom"/>
          </w:tcPr>
          <w:p w:rsidR="00C778DD" w:rsidRPr="00A57CC4" w:rsidRDefault="00683E03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7.9%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C778DD" w:rsidRPr="00A57CC4" w:rsidRDefault="00CA58C6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C778DD" w:rsidRPr="00A57CC4" w:rsidRDefault="00CA58C6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718" w:type="dxa"/>
            <w:gridSpan w:val="2"/>
            <w:shd w:val="clear" w:color="auto" w:fill="auto"/>
            <w:noWrap/>
            <w:vAlign w:val="bottom"/>
          </w:tcPr>
          <w:p w:rsidR="00C778DD" w:rsidRPr="00A57CC4" w:rsidRDefault="00CA58C6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746" w:type="dxa"/>
            <w:shd w:val="clear" w:color="auto" w:fill="auto"/>
          </w:tcPr>
          <w:p w:rsidR="00C778DD" w:rsidRPr="00A57CC4" w:rsidRDefault="00553A9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714" w:type="dxa"/>
            <w:shd w:val="clear" w:color="auto" w:fill="auto"/>
          </w:tcPr>
          <w:p w:rsidR="00C778DD" w:rsidRPr="00A57CC4" w:rsidRDefault="00553A9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6.9%</w:t>
            </w:r>
          </w:p>
        </w:tc>
        <w:tc>
          <w:tcPr>
            <w:tcW w:w="799" w:type="dxa"/>
            <w:shd w:val="clear" w:color="auto" w:fill="auto"/>
          </w:tcPr>
          <w:p w:rsidR="00C778DD" w:rsidRPr="00A57CC4" w:rsidRDefault="00553A9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7.1%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2680" w:type="dxa"/>
            <w:gridSpan w:val="3"/>
            <w:shd w:val="clear" w:color="auto" w:fill="auto"/>
            <w:noWrap/>
            <w:vAlign w:val="bottom"/>
          </w:tcPr>
          <w:p w:rsidR="00C778DD" w:rsidRPr="00A57CC4" w:rsidRDefault="00C778DD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C778DD" w:rsidRPr="00A57CC4" w:rsidRDefault="00683E03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874" w:type="dxa"/>
            <w:shd w:val="clear" w:color="auto" w:fill="auto"/>
            <w:noWrap/>
            <w:vAlign w:val="bottom"/>
          </w:tcPr>
          <w:p w:rsidR="00C778DD" w:rsidRPr="00A57CC4" w:rsidRDefault="00683E03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3.0%</w:t>
            </w:r>
          </w:p>
        </w:tc>
        <w:tc>
          <w:tcPr>
            <w:tcW w:w="794" w:type="dxa"/>
            <w:shd w:val="clear" w:color="auto" w:fill="auto"/>
            <w:noWrap/>
            <w:vAlign w:val="bottom"/>
          </w:tcPr>
          <w:p w:rsidR="00C778DD" w:rsidRPr="00A57CC4" w:rsidRDefault="00683E03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5.5%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C778DD" w:rsidRPr="00A57CC4" w:rsidRDefault="00CA58C6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C778DD" w:rsidRPr="00A57CC4" w:rsidRDefault="00CA58C6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718" w:type="dxa"/>
            <w:gridSpan w:val="2"/>
            <w:shd w:val="clear" w:color="auto" w:fill="auto"/>
            <w:noWrap/>
            <w:vAlign w:val="bottom"/>
          </w:tcPr>
          <w:p w:rsidR="00C778DD" w:rsidRPr="00A57CC4" w:rsidRDefault="00CA58C6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4.8%</w:t>
            </w:r>
          </w:p>
        </w:tc>
        <w:tc>
          <w:tcPr>
            <w:tcW w:w="746" w:type="dxa"/>
            <w:shd w:val="clear" w:color="auto" w:fill="auto"/>
          </w:tcPr>
          <w:p w:rsidR="00C778DD" w:rsidRPr="00A57CC4" w:rsidRDefault="00401B07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714" w:type="dxa"/>
            <w:shd w:val="clear" w:color="auto" w:fill="auto"/>
          </w:tcPr>
          <w:p w:rsidR="00C778DD" w:rsidRPr="00A57CC4" w:rsidRDefault="00401B07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799" w:type="dxa"/>
            <w:shd w:val="clear" w:color="auto" w:fill="auto"/>
          </w:tcPr>
          <w:p w:rsidR="00C778DD" w:rsidRPr="00A57CC4" w:rsidRDefault="00401B07" w:rsidP="009E4DB9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4.6%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1551" w:type="dxa"/>
            <w:vMerge w:val="restart"/>
            <w:shd w:val="clear" w:color="auto" w:fill="auto"/>
            <w:noWrap/>
            <w:vAlign w:val="center"/>
          </w:tcPr>
          <w:p w:rsidR="00C778DD" w:rsidRDefault="00C778DD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</w:t>
            </w:r>
          </w:p>
          <w:p w:rsidR="00C778DD" w:rsidRPr="000067A5" w:rsidRDefault="00C778DD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zh-CN"/>
              </w:rPr>
              <w:t>without Class F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:rsidR="00C778DD" w:rsidRPr="00146E12" w:rsidRDefault="00C778DD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BD-rate</w:t>
            </w:r>
          </w:p>
        </w:tc>
        <w:tc>
          <w:tcPr>
            <w:tcW w:w="753" w:type="dxa"/>
            <w:shd w:val="clear" w:color="auto" w:fill="auto"/>
            <w:noWrap/>
          </w:tcPr>
          <w:p w:rsidR="00C778DD" w:rsidRPr="00401B07" w:rsidRDefault="00683E03" w:rsidP="00C778DD">
            <w:pPr>
              <w:spacing w:befor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0.2%</w:t>
            </w:r>
          </w:p>
        </w:tc>
        <w:tc>
          <w:tcPr>
            <w:tcW w:w="874" w:type="dxa"/>
            <w:shd w:val="clear" w:color="auto" w:fill="auto"/>
            <w:noWrap/>
          </w:tcPr>
          <w:p w:rsidR="00C778DD" w:rsidRPr="00401B07" w:rsidRDefault="00683E03" w:rsidP="00C778DD">
            <w:pPr>
              <w:spacing w:befor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2.9%</w:t>
            </w:r>
          </w:p>
        </w:tc>
        <w:tc>
          <w:tcPr>
            <w:tcW w:w="794" w:type="dxa"/>
            <w:shd w:val="clear" w:color="auto" w:fill="auto"/>
            <w:noWrap/>
          </w:tcPr>
          <w:p w:rsidR="00C778DD" w:rsidRPr="00401B07" w:rsidRDefault="00683E03" w:rsidP="00C778DD">
            <w:pPr>
              <w:spacing w:befor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2.9%</w:t>
            </w:r>
          </w:p>
        </w:tc>
        <w:tc>
          <w:tcPr>
            <w:tcW w:w="710" w:type="dxa"/>
            <w:shd w:val="clear" w:color="auto" w:fill="auto"/>
            <w:noWrap/>
          </w:tcPr>
          <w:p w:rsidR="00C778DD" w:rsidRPr="00401B07" w:rsidRDefault="00CA58C6" w:rsidP="00C778DD">
            <w:pPr>
              <w:spacing w:befor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-1.2</w:t>
            </w:r>
            <w:r w:rsidR="00C778DD" w:rsidRPr="00401B07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10" w:type="dxa"/>
            <w:shd w:val="clear" w:color="auto" w:fill="auto"/>
            <w:noWrap/>
          </w:tcPr>
          <w:p w:rsidR="00C778DD" w:rsidRPr="00401B07" w:rsidRDefault="00CA58C6" w:rsidP="00C778DD">
            <w:pPr>
              <w:spacing w:befor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0.5</w:t>
            </w:r>
            <w:r w:rsidR="00C778DD" w:rsidRPr="00401B07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18" w:type="dxa"/>
            <w:gridSpan w:val="2"/>
            <w:shd w:val="clear" w:color="auto" w:fill="auto"/>
            <w:noWrap/>
          </w:tcPr>
          <w:p w:rsidR="00C778DD" w:rsidRPr="00401B07" w:rsidRDefault="00CA58C6" w:rsidP="00C778DD">
            <w:pPr>
              <w:spacing w:befor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0.3%</w:t>
            </w:r>
          </w:p>
        </w:tc>
        <w:tc>
          <w:tcPr>
            <w:tcW w:w="746" w:type="dxa"/>
            <w:shd w:val="clear" w:color="auto" w:fill="auto"/>
          </w:tcPr>
          <w:p w:rsidR="00C778DD" w:rsidRPr="00401B07" w:rsidRDefault="00401B07" w:rsidP="00C778DD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401B07">
              <w:rPr>
                <w:b/>
                <w:sz w:val="18"/>
                <w:szCs w:val="18"/>
              </w:rPr>
              <w:t>-0.5</w:t>
            </w:r>
            <w:r w:rsidR="00C778DD" w:rsidRPr="00401B07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14" w:type="dxa"/>
            <w:shd w:val="clear" w:color="auto" w:fill="auto"/>
          </w:tcPr>
          <w:p w:rsidR="00C778DD" w:rsidRPr="00401B07" w:rsidRDefault="00401B07" w:rsidP="00C778DD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401B07">
              <w:rPr>
                <w:b/>
                <w:sz w:val="18"/>
                <w:szCs w:val="18"/>
              </w:rPr>
              <w:t>2.1</w:t>
            </w:r>
            <w:r w:rsidR="00C778DD" w:rsidRPr="00401B07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99" w:type="dxa"/>
            <w:shd w:val="clear" w:color="auto" w:fill="auto"/>
          </w:tcPr>
          <w:p w:rsidR="00C778DD" w:rsidRPr="00401B07" w:rsidRDefault="00401B07" w:rsidP="00C778DD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401B07">
              <w:rPr>
                <w:b/>
                <w:sz w:val="18"/>
                <w:szCs w:val="18"/>
              </w:rPr>
              <w:t>2.2</w:t>
            </w:r>
            <w:r w:rsidR="00C778DD" w:rsidRPr="00401B07">
              <w:rPr>
                <w:b/>
                <w:sz w:val="18"/>
                <w:szCs w:val="18"/>
              </w:rPr>
              <w:t>%</w:t>
            </w:r>
          </w:p>
        </w:tc>
      </w:tr>
      <w:tr w:rsidR="00401B07" w:rsidRPr="000067A5" w:rsidTr="00CC6F6D">
        <w:trPr>
          <w:trHeight w:val="70"/>
          <w:jc w:val="center"/>
        </w:trPr>
        <w:tc>
          <w:tcPr>
            <w:tcW w:w="1551" w:type="dxa"/>
            <w:vMerge/>
            <w:shd w:val="clear" w:color="auto" w:fill="auto"/>
            <w:noWrap/>
            <w:vAlign w:val="center"/>
          </w:tcPr>
          <w:p w:rsidR="00401B07" w:rsidRPr="000067A5" w:rsidRDefault="00401B07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:rsidR="00401B07" w:rsidRPr="000067A5" w:rsidRDefault="00401B07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Enc. Time</w:t>
            </w:r>
          </w:p>
        </w:tc>
        <w:tc>
          <w:tcPr>
            <w:tcW w:w="2421" w:type="dxa"/>
            <w:gridSpan w:val="3"/>
            <w:shd w:val="clear" w:color="auto" w:fill="auto"/>
            <w:noWrap/>
            <w:vAlign w:val="bottom"/>
            <w:hideMark/>
          </w:tcPr>
          <w:p w:rsidR="00401B07" w:rsidRPr="000067A5" w:rsidRDefault="00401B07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0067A5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2138" w:type="dxa"/>
            <w:gridSpan w:val="4"/>
            <w:shd w:val="clear" w:color="auto" w:fill="auto"/>
            <w:noWrap/>
            <w:vAlign w:val="bottom"/>
            <w:hideMark/>
          </w:tcPr>
          <w:p w:rsidR="00401B07" w:rsidRPr="000067A5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105</w:t>
            </w:r>
            <w:r w:rsidR="00401B07" w:rsidRPr="000067A5">
              <w:rPr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2259" w:type="dxa"/>
            <w:gridSpan w:val="3"/>
            <w:shd w:val="clear" w:color="auto" w:fill="auto"/>
          </w:tcPr>
          <w:p w:rsidR="00401B07" w:rsidRPr="000067A5" w:rsidRDefault="00401B07" w:rsidP="00401B07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104%</w:t>
            </w:r>
          </w:p>
        </w:tc>
      </w:tr>
      <w:tr w:rsidR="00CC6F6D" w:rsidRPr="000067A5" w:rsidTr="00CC6F6D">
        <w:trPr>
          <w:trHeight w:val="70"/>
          <w:jc w:val="center"/>
        </w:trPr>
        <w:tc>
          <w:tcPr>
            <w:tcW w:w="1551" w:type="dxa"/>
            <w:vMerge w:val="restart"/>
            <w:shd w:val="clear" w:color="auto" w:fill="auto"/>
            <w:noWrap/>
            <w:vAlign w:val="center"/>
          </w:tcPr>
          <w:p w:rsidR="00CA58C6" w:rsidRPr="00C778DD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C778DD">
              <w:rPr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  <w:p w:rsidR="00CA58C6" w:rsidRPr="00C778DD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Cs/>
                <w:color w:val="000000"/>
                <w:sz w:val="18"/>
                <w:szCs w:val="18"/>
                <w:lang w:eastAsia="zh-CN"/>
              </w:rPr>
            </w:pPr>
            <w:r w:rsidRPr="00C778DD">
              <w:rPr>
                <w:bCs/>
                <w:color w:val="000000"/>
                <w:sz w:val="18"/>
                <w:szCs w:val="18"/>
                <w:lang w:eastAsia="zh-CN"/>
              </w:rPr>
              <w:t>with Class F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:rsidR="00CA58C6" w:rsidRPr="00C778DD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sz w:val="18"/>
                <w:szCs w:val="18"/>
                <w:lang w:eastAsia="zh-CN"/>
              </w:rPr>
            </w:pPr>
            <w:r w:rsidRPr="00C778DD">
              <w:rPr>
                <w:sz w:val="18"/>
                <w:szCs w:val="18"/>
                <w:lang w:eastAsia="zh-CN"/>
              </w:rPr>
              <w:t>BD-rate</w:t>
            </w:r>
          </w:p>
        </w:tc>
        <w:tc>
          <w:tcPr>
            <w:tcW w:w="753" w:type="dxa"/>
            <w:shd w:val="clear" w:color="auto" w:fill="auto"/>
            <w:noWrap/>
            <w:vAlign w:val="bottom"/>
          </w:tcPr>
          <w:p w:rsidR="00CA58C6" w:rsidRPr="000067A5" w:rsidRDefault="00683E03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874" w:type="dxa"/>
            <w:shd w:val="clear" w:color="auto" w:fill="auto"/>
            <w:vAlign w:val="bottom"/>
          </w:tcPr>
          <w:p w:rsidR="00CA58C6" w:rsidRPr="000067A5" w:rsidRDefault="00683E03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2.9%</w:t>
            </w:r>
          </w:p>
        </w:tc>
        <w:tc>
          <w:tcPr>
            <w:tcW w:w="794" w:type="dxa"/>
            <w:shd w:val="clear" w:color="auto" w:fill="auto"/>
            <w:vAlign w:val="bottom"/>
          </w:tcPr>
          <w:p w:rsidR="00CA58C6" w:rsidRPr="000067A5" w:rsidRDefault="00683E03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3.5%</w:t>
            </w:r>
          </w:p>
        </w:tc>
        <w:tc>
          <w:tcPr>
            <w:tcW w:w="710" w:type="dxa"/>
            <w:shd w:val="clear" w:color="auto" w:fill="auto"/>
            <w:noWrap/>
            <w:vAlign w:val="bottom"/>
          </w:tcPr>
          <w:p w:rsidR="00CA58C6" w:rsidRPr="000067A5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837" w:type="dxa"/>
            <w:gridSpan w:val="2"/>
            <w:shd w:val="clear" w:color="auto" w:fill="auto"/>
            <w:vAlign w:val="bottom"/>
          </w:tcPr>
          <w:p w:rsidR="00CA58C6" w:rsidRPr="000067A5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591" w:type="dxa"/>
            <w:shd w:val="clear" w:color="auto" w:fill="auto"/>
            <w:vAlign w:val="bottom"/>
          </w:tcPr>
          <w:p w:rsidR="00CA58C6" w:rsidRPr="000067A5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746" w:type="dxa"/>
            <w:shd w:val="clear" w:color="auto" w:fill="auto"/>
          </w:tcPr>
          <w:p w:rsidR="00CA58C6" w:rsidRPr="000067A5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714" w:type="dxa"/>
            <w:shd w:val="clear" w:color="auto" w:fill="auto"/>
          </w:tcPr>
          <w:p w:rsidR="00CA58C6" w:rsidRPr="000067A5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799" w:type="dxa"/>
            <w:shd w:val="clear" w:color="auto" w:fill="auto"/>
          </w:tcPr>
          <w:p w:rsidR="00CA58C6" w:rsidRPr="000067A5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2.8%</w:t>
            </w:r>
          </w:p>
        </w:tc>
      </w:tr>
      <w:tr w:rsidR="00401B07" w:rsidRPr="000067A5" w:rsidTr="00CC6F6D">
        <w:trPr>
          <w:trHeight w:val="70"/>
          <w:jc w:val="center"/>
        </w:trPr>
        <w:tc>
          <w:tcPr>
            <w:tcW w:w="1551" w:type="dxa"/>
            <w:vMerge/>
            <w:shd w:val="clear" w:color="auto" w:fill="auto"/>
            <w:noWrap/>
            <w:vAlign w:val="center"/>
          </w:tcPr>
          <w:p w:rsidR="00401B07" w:rsidRPr="000067A5" w:rsidRDefault="00401B07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29" w:type="dxa"/>
            <w:gridSpan w:val="2"/>
            <w:shd w:val="clear" w:color="auto" w:fill="auto"/>
            <w:vAlign w:val="center"/>
          </w:tcPr>
          <w:p w:rsidR="00401B07" w:rsidRPr="000067A5" w:rsidRDefault="00401B07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778DD">
              <w:rPr>
                <w:sz w:val="18"/>
                <w:szCs w:val="18"/>
                <w:lang w:eastAsia="zh-CN"/>
              </w:rPr>
              <w:t>Enc. Time</w:t>
            </w:r>
          </w:p>
        </w:tc>
        <w:tc>
          <w:tcPr>
            <w:tcW w:w="2421" w:type="dxa"/>
            <w:gridSpan w:val="3"/>
            <w:shd w:val="clear" w:color="auto" w:fill="auto"/>
            <w:noWrap/>
            <w:vAlign w:val="bottom"/>
          </w:tcPr>
          <w:p w:rsidR="00401B07" w:rsidRPr="000067A5" w:rsidRDefault="00683E03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2138" w:type="dxa"/>
            <w:gridSpan w:val="4"/>
            <w:shd w:val="clear" w:color="auto" w:fill="auto"/>
            <w:noWrap/>
            <w:vAlign w:val="bottom"/>
          </w:tcPr>
          <w:p w:rsidR="00401B07" w:rsidRPr="000067A5" w:rsidRDefault="00CA58C6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2259" w:type="dxa"/>
            <w:gridSpan w:val="3"/>
            <w:shd w:val="clear" w:color="auto" w:fill="auto"/>
          </w:tcPr>
          <w:p w:rsidR="00401B07" w:rsidRPr="000067A5" w:rsidRDefault="00401B07" w:rsidP="00C778D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104%</w:t>
            </w:r>
          </w:p>
        </w:tc>
      </w:tr>
    </w:tbl>
    <w:p w:rsidR="00521ADA" w:rsidRDefault="00521ADA" w:rsidP="002225CB">
      <w:pPr>
        <w:jc w:val="both"/>
        <w:rPr>
          <w:lang w:val="en-CA"/>
        </w:rPr>
      </w:pPr>
    </w:p>
    <w:p w:rsidR="00783E33" w:rsidRDefault="00783E33" w:rsidP="00783E3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color w:val="000000"/>
          <w:szCs w:val="18"/>
          <w:lang w:eastAsia="zh-CN"/>
        </w:rPr>
      </w:pPr>
    </w:p>
    <w:p w:rsidR="00783E33" w:rsidRDefault="00783E33" w:rsidP="00783E3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szCs w:val="18"/>
          <w:lang w:eastAsia="zh-CN"/>
        </w:rPr>
      </w:pPr>
      <w:r w:rsidRPr="000067A5">
        <w:rPr>
          <w:b/>
          <w:bCs/>
          <w:color w:val="000000"/>
          <w:szCs w:val="18"/>
          <w:lang w:eastAsia="zh-CN"/>
        </w:rPr>
        <w:t xml:space="preserve">Table </w:t>
      </w:r>
      <w:r>
        <w:rPr>
          <w:b/>
          <w:bCs/>
          <w:color w:val="000000"/>
          <w:szCs w:val="18"/>
          <w:lang w:eastAsia="zh-CN"/>
        </w:rPr>
        <w:t>3</w:t>
      </w:r>
      <w:r w:rsidRPr="000067A5">
        <w:rPr>
          <w:b/>
          <w:bCs/>
          <w:color w:val="000000"/>
          <w:szCs w:val="18"/>
          <w:lang w:eastAsia="zh-CN"/>
        </w:rPr>
        <w:t xml:space="preserve"> </w:t>
      </w:r>
      <w:r>
        <w:rPr>
          <w:szCs w:val="18"/>
          <w:lang w:eastAsia="zh-CN"/>
        </w:rPr>
        <w:t>Rate control accuracy of the proposed Tile-level rate control algorithm</w:t>
      </w:r>
    </w:p>
    <w:p w:rsidR="00783E33" w:rsidRPr="00783E33" w:rsidRDefault="00783E33" w:rsidP="00783E3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szCs w:val="1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6"/>
        <w:gridCol w:w="1906"/>
        <w:gridCol w:w="1505"/>
        <w:gridCol w:w="1580"/>
        <w:gridCol w:w="1379"/>
        <w:gridCol w:w="1654"/>
      </w:tblGrid>
      <w:tr w:rsidR="00BF14F2" w:rsidRPr="004576CF" w:rsidTr="009901DB">
        <w:tc>
          <w:tcPr>
            <w:tcW w:w="1326" w:type="dxa"/>
            <w:vMerge w:val="restart"/>
            <w:shd w:val="clear" w:color="auto" w:fill="BFBFBF" w:themeFill="background1" w:themeFillShade="BF"/>
            <w:vAlign w:val="center"/>
          </w:tcPr>
          <w:p w:rsidR="00BF14F2" w:rsidRPr="009901DB" w:rsidRDefault="00BF14F2" w:rsidP="00B3216D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9901DB">
              <w:rPr>
                <w:b/>
                <w:sz w:val="18"/>
                <w:szCs w:val="18"/>
                <w:lang w:eastAsia="zh-CN"/>
              </w:rPr>
              <w:t xml:space="preserve">Test case/ </w:t>
            </w:r>
          </w:p>
          <w:p w:rsidR="00BF14F2" w:rsidRPr="009901DB" w:rsidRDefault="00BF14F2" w:rsidP="00B3216D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9901DB">
              <w:rPr>
                <w:b/>
                <w:sz w:val="18"/>
                <w:szCs w:val="18"/>
                <w:lang w:eastAsia="zh-CN"/>
              </w:rPr>
              <w:t>Tile partition</w:t>
            </w:r>
          </w:p>
        </w:tc>
        <w:tc>
          <w:tcPr>
            <w:tcW w:w="1906" w:type="dxa"/>
            <w:vMerge w:val="restart"/>
            <w:shd w:val="clear" w:color="auto" w:fill="BFBFBF" w:themeFill="background1" w:themeFillShade="BF"/>
            <w:vAlign w:val="center"/>
          </w:tcPr>
          <w:p w:rsidR="00BF14F2" w:rsidRPr="009901DB" w:rsidRDefault="00BF14F2" w:rsidP="0035333F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9901DB">
              <w:rPr>
                <w:b/>
                <w:sz w:val="18"/>
                <w:szCs w:val="18"/>
                <w:lang w:eastAsia="zh-CN"/>
              </w:rPr>
              <w:t>Sequence</w:t>
            </w:r>
          </w:p>
        </w:tc>
        <w:tc>
          <w:tcPr>
            <w:tcW w:w="3085" w:type="dxa"/>
            <w:gridSpan w:val="2"/>
            <w:shd w:val="clear" w:color="auto" w:fill="BFBFBF" w:themeFill="background1" w:themeFillShade="BF"/>
          </w:tcPr>
          <w:p w:rsidR="00BF14F2" w:rsidRPr="009901DB" w:rsidRDefault="00BF14F2" w:rsidP="00120224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9901DB">
              <w:rPr>
                <w:b/>
                <w:sz w:val="18"/>
                <w:szCs w:val="18"/>
                <w:lang w:eastAsia="zh-CN"/>
              </w:rPr>
              <w:t>Average of bitrate accuracy</w:t>
            </w:r>
          </w:p>
        </w:tc>
        <w:tc>
          <w:tcPr>
            <w:tcW w:w="1379" w:type="dxa"/>
            <w:vMerge w:val="restart"/>
            <w:shd w:val="clear" w:color="auto" w:fill="BFBFBF" w:themeFill="background1" w:themeFillShade="BF"/>
            <w:vAlign w:val="center"/>
          </w:tcPr>
          <w:p w:rsidR="00BF14F2" w:rsidRPr="009901DB" w:rsidRDefault="00BF14F2" w:rsidP="00BF14F2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9901DB">
              <w:rPr>
                <w:b/>
                <w:sz w:val="18"/>
                <w:szCs w:val="18"/>
                <w:lang w:eastAsia="zh-CN"/>
              </w:rPr>
              <w:t>Delta bitrate accuracy</w:t>
            </w:r>
          </w:p>
        </w:tc>
        <w:tc>
          <w:tcPr>
            <w:tcW w:w="1654" w:type="dxa"/>
            <w:vMerge w:val="restart"/>
            <w:shd w:val="clear" w:color="auto" w:fill="BFBFBF" w:themeFill="background1" w:themeFillShade="BF"/>
            <w:vAlign w:val="center"/>
          </w:tcPr>
          <w:p w:rsidR="00BF14F2" w:rsidRPr="009901DB" w:rsidRDefault="00B84ED1" w:rsidP="00B3216D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9901DB">
              <w:rPr>
                <w:b/>
                <w:sz w:val="18"/>
                <w:szCs w:val="18"/>
                <w:lang w:eastAsia="zh-CN"/>
              </w:rPr>
              <w:t>Y-</w:t>
            </w:r>
            <w:r w:rsidR="00BF14F2" w:rsidRPr="009901DB">
              <w:rPr>
                <w:b/>
                <w:sz w:val="18"/>
                <w:szCs w:val="18"/>
                <w:lang w:eastAsia="zh-CN"/>
              </w:rPr>
              <w:t>PSNR improvement</w:t>
            </w:r>
          </w:p>
        </w:tc>
      </w:tr>
      <w:tr w:rsidR="00BF14F2" w:rsidRPr="004576CF" w:rsidTr="009901DB"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vMerge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05" w:type="dxa"/>
            <w:shd w:val="clear" w:color="auto" w:fill="BFBFBF" w:themeFill="background1" w:themeFillShade="BF"/>
          </w:tcPr>
          <w:p w:rsidR="00BF14F2" w:rsidRPr="009901DB" w:rsidRDefault="00BF14F2" w:rsidP="00120224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9901DB">
              <w:rPr>
                <w:b/>
                <w:sz w:val="18"/>
                <w:szCs w:val="18"/>
                <w:lang w:eastAsia="zh-CN"/>
              </w:rPr>
              <w:t>RC in HM-16.12 without tile-level RC</w:t>
            </w:r>
          </w:p>
        </w:tc>
        <w:tc>
          <w:tcPr>
            <w:tcW w:w="1580" w:type="dxa"/>
            <w:shd w:val="clear" w:color="auto" w:fill="BFBFBF" w:themeFill="background1" w:themeFillShade="BF"/>
            <w:vAlign w:val="center"/>
          </w:tcPr>
          <w:p w:rsidR="00BF14F2" w:rsidRPr="009901DB" w:rsidRDefault="00BF14F2" w:rsidP="00B3216D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9901DB">
              <w:rPr>
                <w:b/>
                <w:sz w:val="18"/>
                <w:szCs w:val="18"/>
                <w:lang w:eastAsia="zh-CN"/>
              </w:rPr>
              <w:t>Proposed tile-level RC</w:t>
            </w:r>
          </w:p>
        </w:tc>
        <w:tc>
          <w:tcPr>
            <w:tcW w:w="1379" w:type="dxa"/>
            <w:vMerge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54" w:type="dxa"/>
            <w:vMerge/>
            <w:shd w:val="clear" w:color="auto" w:fill="auto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BF14F2" w:rsidRPr="004576CF" w:rsidTr="00BF14F2">
        <w:trPr>
          <w:trHeight w:val="70"/>
        </w:trPr>
        <w:tc>
          <w:tcPr>
            <w:tcW w:w="1326" w:type="dxa"/>
            <w:vMerge w:val="restart"/>
            <w:shd w:val="clear" w:color="auto" w:fill="auto"/>
            <w:vAlign w:val="center"/>
          </w:tcPr>
          <w:p w:rsidR="00BF14F2" w:rsidRPr="004576CF" w:rsidRDefault="00BF14F2" w:rsidP="000B4AA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 xml:space="preserve">RA-Main/ </w:t>
            </w:r>
          </w:p>
          <w:p w:rsidR="00BF14F2" w:rsidRPr="004576CF" w:rsidRDefault="00BF14F2" w:rsidP="000B4AA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4 Tiles</w:t>
            </w:r>
          </w:p>
        </w:tc>
        <w:tc>
          <w:tcPr>
            <w:tcW w:w="1906" w:type="dxa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0.54%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0.73%</w:t>
            </w:r>
          </w:p>
        </w:tc>
        <w:tc>
          <w:tcPr>
            <w:tcW w:w="1379" w:type="dxa"/>
          </w:tcPr>
          <w:p w:rsidR="00BF14F2" w:rsidRPr="004576CF" w:rsidRDefault="007A665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0.19%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0.00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rPr>
          <w:trHeight w:val="70"/>
        </w:trPr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0.78%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1.05%</w:t>
            </w:r>
          </w:p>
        </w:tc>
        <w:tc>
          <w:tcPr>
            <w:tcW w:w="1379" w:type="dxa"/>
          </w:tcPr>
          <w:p w:rsidR="00BF14F2" w:rsidRPr="004576CF" w:rsidRDefault="007A665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0.27%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0.12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0.36%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0.60%</w:t>
            </w:r>
          </w:p>
        </w:tc>
        <w:tc>
          <w:tcPr>
            <w:tcW w:w="1379" w:type="dxa"/>
          </w:tcPr>
          <w:p w:rsidR="00BF14F2" w:rsidRPr="004576CF" w:rsidRDefault="007A665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120224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0.11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3232" w:type="dxa"/>
            <w:gridSpan w:val="2"/>
            <w:shd w:val="clear" w:color="auto" w:fill="auto"/>
          </w:tcPr>
          <w:p w:rsidR="00BF14F2" w:rsidRPr="004576CF" w:rsidRDefault="00BF14F2" w:rsidP="0035333F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35333F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0.59%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35333F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0.82%</w:t>
            </w:r>
          </w:p>
        </w:tc>
        <w:tc>
          <w:tcPr>
            <w:tcW w:w="1379" w:type="dxa"/>
          </w:tcPr>
          <w:p w:rsidR="00BF14F2" w:rsidRPr="004576CF" w:rsidRDefault="007A6652" w:rsidP="0035333F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7A6652" w:rsidP="0035333F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0.08</w:t>
            </w:r>
            <w:r w:rsidR="00BF14F2">
              <w:rPr>
                <w:b/>
                <w:sz w:val="18"/>
                <w:szCs w:val="18"/>
                <w:lang w:eastAsia="zh-CN"/>
              </w:rPr>
              <w:t xml:space="preserve"> </w:t>
            </w:r>
            <w:r w:rsidR="00BF14F2" w:rsidRPr="004576CF">
              <w:rPr>
                <w:b/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1326" w:type="dxa"/>
            <w:vMerge w:val="restart"/>
            <w:shd w:val="clear" w:color="auto" w:fill="auto"/>
            <w:vAlign w:val="center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RA-Main/</w:t>
            </w:r>
          </w:p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6 Tiles</w:t>
            </w:r>
          </w:p>
        </w:tc>
        <w:tc>
          <w:tcPr>
            <w:tcW w:w="1906" w:type="dxa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0.56%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0.73%</w:t>
            </w:r>
          </w:p>
        </w:tc>
        <w:tc>
          <w:tcPr>
            <w:tcW w:w="1379" w:type="dxa"/>
          </w:tcPr>
          <w:p w:rsidR="00BF14F2" w:rsidRPr="004576CF" w:rsidRDefault="00CA58C6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0.17%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0.01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0.79%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1.06%</w:t>
            </w:r>
          </w:p>
        </w:tc>
        <w:tc>
          <w:tcPr>
            <w:tcW w:w="1379" w:type="dxa"/>
          </w:tcPr>
          <w:p w:rsidR="00BF14F2" w:rsidRPr="004576CF" w:rsidRDefault="00CA58C6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0.27%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0.12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rPr>
          <w:trHeight w:val="103"/>
        </w:trPr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0.36%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0.61%</w:t>
            </w:r>
          </w:p>
        </w:tc>
        <w:tc>
          <w:tcPr>
            <w:tcW w:w="1379" w:type="dxa"/>
          </w:tcPr>
          <w:p w:rsidR="00BF14F2" w:rsidRPr="004576CF" w:rsidRDefault="00CA58C6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0.11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3232" w:type="dxa"/>
            <w:gridSpan w:val="2"/>
            <w:shd w:val="clear" w:color="auto" w:fill="auto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0.59%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0.82%</w:t>
            </w:r>
          </w:p>
        </w:tc>
        <w:tc>
          <w:tcPr>
            <w:tcW w:w="1379" w:type="dxa"/>
          </w:tcPr>
          <w:p w:rsidR="00BF14F2" w:rsidRPr="004576CF" w:rsidRDefault="00CA58C6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0.09</w:t>
            </w:r>
            <w:r>
              <w:rPr>
                <w:b/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b/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1326" w:type="dxa"/>
            <w:vMerge w:val="restart"/>
            <w:shd w:val="clear" w:color="auto" w:fill="auto"/>
            <w:vAlign w:val="center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RA-Main/</w:t>
            </w:r>
          </w:p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8 Tiles</w:t>
            </w:r>
          </w:p>
        </w:tc>
        <w:tc>
          <w:tcPr>
            <w:tcW w:w="1906" w:type="dxa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0.55%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0.75%</w:t>
            </w:r>
          </w:p>
        </w:tc>
        <w:tc>
          <w:tcPr>
            <w:tcW w:w="1379" w:type="dxa"/>
          </w:tcPr>
          <w:p w:rsidR="00BF14F2" w:rsidRPr="004576CF" w:rsidRDefault="00B84ED1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0.20%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0.02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0.78%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1.07%</w:t>
            </w:r>
          </w:p>
        </w:tc>
        <w:tc>
          <w:tcPr>
            <w:tcW w:w="1379" w:type="dxa"/>
          </w:tcPr>
          <w:p w:rsidR="00BF14F2" w:rsidRPr="004576CF" w:rsidRDefault="00B84ED1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0.29%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0.12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0.36%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0.61%</w:t>
            </w:r>
          </w:p>
        </w:tc>
        <w:tc>
          <w:tcPr>
            <w:tcW w:w="1379" w:type="dxa"/>
          </w:tcPr>
          <w:p w:rsidR="00BF14F2" w:rsidRPr="004576CF" w:rsidRDefault="00B84ED1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0.11</w:t>
            </w:r>
            <w:r>
              <w:rPr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3232" w:type="dxa"/>
            <w:gridSpan w:val="2"/>
            <w:shd w:val="clear" w:color="auto" w:fill="auto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0.58%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0.83%</w:t>
            </w:r>
          </w:p>
        </w:tc>
        <w:tc>
          <w:tcPr>
            <w:tcW w:w="1379" w:type="dxa"/>
          </w:tcPr>
          <w:p w:rsidR="00BF14F2" w:rsidRPr="004576CF" w:rsidRDefault="00B84ED1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0.25%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0.08</w:t>
            </w:r>
            <w:r>
              <w:rPr>
                <w:b/>
                <w:sz w:val="18"/>
                <w:szCs w:val="18"/>
                <w:lang w:eastAsia="zh-CN"/>
              </w:rPr>
              <w:t xml:space="preserve"> </w:t>
            </w:r>
            <w:r w:rsidRPr="004576CF">
              <w:rPr>
                <w:b/>
                <w:sz w:val="18"/>
                <w:szCs w:val="18"/>
                <w:lang w:eastAsia="zh-CN"/>
              </w:rPr>
              <w:t>dB</w:t>
            </w:r>
          </w:p>
        </w:tc>
      </w:tr>
      <w:tr w:rsidR="00BF14F2" w:rsidRPr="004576CF" w:rsidTr="00BF14F2">
        <w:tc>
          <w:tcPr>
            <w:tcW w:w="1326" w:type="dxa"/>
            <w:vMerge w:val="restart"/>
            <w:shd w:val="clear" w:color="auto" w:fill="auto"/>
            <w:vAlign w:val="center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LB-Main/</w:t>
            </w:r>
          </w:p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4 Tiles</w:t>
            </w:r>
          </w:p>
        </w:tc>
        <w:tc>
          <w:tcPr>
            <w:tcW w:w="1906" w:type="dxa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0.12%</w:t>
            </w:r>
          </w:p>
        </w:tc>
        <w:tc>
          <w:tcPr>
            <w:tcW w:w="1379" w:type="dxa"/>
          </w:tcPr>
          <w:p w:rsidR="00BF14F2" w:rsidRDefault="00683E03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0.03 dB</w:t>
            </w:r>
          </w:p>
        </w:tc>
      </w:tr>
      <w:tr w:rsidR="00BF14F2" w:rsidRPr="004576CF" w:rsidTr="00BF14F2"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0.18%</w:t>
            </w:r>
          </w:p>
        </w:tc>
        <w:tc>
          <w:tcPr>
            <w:tcW w:w="1379" w:type="dxa"/>
          </w:tcPr>
          <w:p w:rsidR="00BF14F2" w:rsidRDefault="00683E03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0.02 dB</w:t>
            </w:r>
          </w:p>
        </w:tc>
      </w:tr>
      <w:tr w:rsidR="00BF14F2" w:rsidRPr="004576CF" w:rsidTr="00CA58C6"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shd w:val="clear" w:color="auto" w:fill="auto"/>
          </w:tcPr>
          <w:p w:rsidR="00BF14F2" w:rsidRPr="00034167" w:rsidRDefault="00BF14F2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034167">
              <w:rPr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034167" w:rsidRDefault="009901DB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0.24%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034167" w:rsidRDefault="009901DB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0.28%</w:t>
            </w:r>
          </w:p>
        </w:tc>
        <w:tc>
          <w:tcPr>
            <w:tcW w:w="1379" w:type="dxa"/>
            <w:shd w:val="clear" w:color="auto" w:fill="auto"/>
          </w:tcPr>
          <w:p w:rsidR="00BF14F2" w:rsidRPr="00034167" w:rsidRDefault="009901DB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034167" w:rsidRDefault="009901DB" w:rsidP="00632A3E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-0.05 dB</w:t>
            </w:r>
          </w:p>
        </w:tc>
      </w:tr>
      <w:tr w:rsidR="00BF14F2" w:rsidRPr="004576CF" w:rsidTr="00CA58C6">
        <w:tc>
          <w:tcPr>
            <w:tcW w:w="3232" w:type="dxa"/>
            <w:gridSpan w:val="2"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379" w:type="dxa"/>
            <w:shd w:val="clear" w:color="auto" w:fill="auto"/>
          </w:tcPr>
          <w:p w:rsidR="00BF14F2" w:rsidRDefault="009901DB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0.03 dB</w:t>
            </w:r>
          </w:p>
        </w:tc>
      </w:tr>
      <w:tr w:rsidR="00BF14F2" w:rsidRPr="004576CF" w:rsidTr="00CA58C6">
        <w:tc>
          <w:tcPr>
            <w:tcW w:w="1326" w:type="dxa"/>
            <w:vMerge w:val="restart"/>
            <w:shd w:val="clear" w:color="auto" w:fill="auto"/>
            <w:vAlign w:val="center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LB-Main/</w:t>
            </w:r>
          </w:p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6 Tiles</w:t>
            </w:r>
          </w:p>
        </w:tc>
        <w:tc>
          <w:tcPr>
            <w:tcW w:w="1906" w:type="dxa"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0.13%</w:t>
            </w:r>
          </w:p>
        </w:tc>
        <w:tc>
          <w:tcPr>
            <w:tcW w:w="1379" w:type="dxa"/>
            <w:shd w:val="clear" w:color="auto" w:fill="auto"/>
          </w:tcPr>
          <w:p w:rsidR="00BF14F2" w:rsidRDefault="00CA58C6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0.05 dB</w:t>
            </w:r>
          </w:p>
        </w:tc>
      </w:tr>
      <w:tr w:rsidR="00BF14F2" w:rsidRPr="004576CF" w:rsidTr="00CA58C6">
        <w:tc>
          <w:tcPr>
            <w:tcW w:w="1326" w:type="dxa"/>
            <w:vMerge/>
            <w:shd w:val="clear" w:color="auto" w:fill="auto"/>
            <w:vAlign w:val="center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0.18%</w:t>
            </w:r>
          </w:p>
        </w:tc>
        <w:tc>
          <w:tcPr>
            <w:tcW w:w="1379" w:type="dxa"/>
            <w:shd w:val="clear" w:color="auto" w:fill="auto"/>
          </w:tcPr>
          <w:p w:rsidR="00BF14F2" w:rsidRDefault="007F52A9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0.01 dB</w:t>
            </w:r>
          </w:p>
        </w:tc>
      </w:tr>
      <w:tr w:rsidR="00BF14F2" w:rsidRPr="004576CF" w:rsidTr="00CA58C6">
        <w:tc>
          <w:tcPr>
            <w:tcW w:w="1326" w:type="dxa"/>
            <w:vMerge/>
            <w:shd w:val="clear" w:color="auto" w:fill="auto"/>
            <w:vAlign w:val="center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CA58C6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0.66%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CA58C6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0.66%</w:t>
            </w:r>
          </w:p>
        </w:tc>
        <w:tc>
          <w:tcPr>
            <w:tcW w:w="1379" w:type="dxa"/>
            <w:shd w:val="clear" w:color="auto" w:fill="auto"/>
          </w:tcPr>
          <w:p w:rsidR="00BF14F2" w:rsidRPr="004576CF" w:rsidRDefault="007F52A9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7F52A9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0.06 dB</w:t>
            </w:r>
          </w:p>
        </w:tc>
      </w:tr>
      <w:tr w:rsidR="00BF14F2" w:rsidRPr="004576CF" w:rsidTr="00CA58C6">
        <w:tc>
          <w:tcPr>
            <w:tcW w:w="3232" w:type="dxa"/>
            <w:gridSpan w:val="2"/>
            <w:shd w:val="clear" w:color="auto" w:fill="auto"/>
            <w:vAlign w:val="center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CA58C6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0.24</w:t>
            </w:r>
            <w:r w:rsidR="00BF14F2">
              <w:rPr>
                <w:b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CA58C6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0.28%</w:t>
            </w:r>
          </w:p>
        </w:tc>
        <w:tc>
          <w:tcPr>
            <w:tcW w:w="1379" w:type="dxa"/>
            <w:shd w:val="clear" w:color="auto" w:fill="auto"/>
          </w:tcPr>
          <w:p w:rsidR="00BF14F2" w:rsidRDefault="007F52A9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0.03 dB</w:t>
            </w:r>
          </w:p>
        </w:tc>
      </w:tr>
      <w:tr w:rsidR="00BF14F2" w:rsidRPr="004576CF" w:rsidTr="00CA58C6">
        <w:tc>
          <w:tcPr>
            <w:tcW w:w="1326" w:type="dxa"/>
            <w:vMerge w:val="restart"/>
            <w:shd w:val="clear" w:color="auto" w:fill="auto"/>
            <w:vAlign w:val="center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LB-Main/</w:t>
            </w:r>
          </w:p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8 Tiles</w:t>
            </w:r>
          </w:p>
        </w:tc>
        <w:tc>
          <w:tcPr>
            <w:tcW w:w="1906" w:type="dxa"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0.13%</w:t>
            </w:r>
          </w:p>
        </w:tc>
        <w:tc>
          <w:tcPr>
            <w:tcW w:w="1379" w:type="dxa"/>
            <w:shd w:val="clear" w:color="auto" w:fill="auto"/>
          </w:tcPr>
          <w:p w:rsidR="00BF14F2" w:rsidRDefault="006E7CD1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0.05 dB</w:t>
            </w:r>
          </w:p>
        </w:tc>
      </w:tr>
      <w:tr w:rsidR="00BF14F2" w:rsidRPr="004576CF" w:rsidTr="00CA58C6"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0.18%</w:t>
            </w:r>
          </w:p>
        </w:tc>
        <w:tc>
          <w:tcPr>
            <w:tcW w:w="1379" w:type="dxa"/>
            <w:shd w:val="clear" w:color="auto" w:fill="auto"/>
          </w:tcPr>
          <w:p w:rsidR="00BF14F2" w:rsidRDefault="006E7CD1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0.01 dB</w:t>
            </w:r>
          </w:p>
        </w:tc>
      </w:tr>
      <w:tr w:rsidR="00BF14F2" w:rsidRPr="004576CF" w:rsidTr="00CA58C6">
        <w:tc>
          <w:tcPr>
            <w:tcW w:w="1326" w:type="dxa"/>
            <w:vMerge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06" w:type="dxa"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 w:rsidRPr="004576CF">
              <w:rPr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401B07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0.24%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401B07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0.29%</w:t>
            </w:r>
          </w:p>
        </w:tc>
        <w:tc>
          <w:tcPr>
            <w:tcW w:w="1379" w:type="dxa"/>
            <w:shd w:val="clear" w:color="auto" w:fill="auto"/>
          </w:tcPr>
          <w:p w:rsidR="00BF14F2" w:rsidRPr="004576CF" w:rsidRDefault="006E7CD1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401B07" w:rsidP="005F5255">
            <w:pPr>
              <w:keepNext/>
              <w:spacing w:before="0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-0.05 dB</w:t>
            </w:r>
          </w:p>
        </w:tc>
      </w:tr>
      <w:tr w:rsidR="00BF14F2" w:rsidRPr="004576CF" w:rsidTr="00CA58C6">
        <w:tc>
          <w:tcPr>
            <w:tcW w:w="3232" w:type="dxa"/>
            <w:gridSpan w:val="2"/>
            <w:shd w:val="clear" w:color="auto" w:fill="auto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 w:rsidRPr="004576CF">
              <w:rPr>
                <w:b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1505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379" w:type="dxa"/>
            <w:shd w:val="clear" w:color="auto" w:fill="auto"/>
          </w:tcPr>
          <w:p w:rsidR="00BF14F2" w:rsidRDefault="006E7CD1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654" w:type="dxa"/>
            <w:shd w:val="clear" w:color="auto" w:fill="auto"/>
            <w:vAlign w:val="bottom"/>
          </w:tcPr>
          <w:p w:rsidR="00BF14F2" w:rsidRPr="004576CF" w:rsidRDefault="00BF14F2" w:rsidP="005F5255">
            <w:pPr>
              <w:keepNext/>
              <w:spacing w:before="0"/>
              <w:jc w:val="center"/>
              <w:rPr>
                <w:b/>
                <w:sz w:val="18"/>
                <w:szCs w:val="18"/>
                <w:lang w:eastAsia="zh-CN"/>
              </w:rPr>
            </w:pPr>
            <w:r>
              <w:rPr>
                <w:b/>
                <w:sz w:val="18"/>
                <w:szCs w:val="18"/>
                <w:lang w:eastAsia="zh-CN"/>
              </w:rPr>
              <w:t>0.03 dB</w:t>
            </w:r>
          </w:p>
        </w:tc>
      </w:tr>
    </w:tbl>
    <w:p w:rsidR="00521ADA" w:rsidRDefault="00521ADA" w:rsidP="002225CB">
      <w:pPr>
        <w:jc w:val="both"/>
        <w:rPr>
          <w:lang w:val="en-CA"/>
        </w:rPr>
      </w:pPr>
      <w:bookmarkStart w:id="0" w:name="_GoBack"/>
      <w:bookmarkEnd w:id="0"/>
    </w:p>
    <w:p w:rsidR="005F5255" w:rsidRDefault="005F5255" w:rsidP="002225CB">
      <w:pPr>
        <w:jc w:val="both"/>
        <w:rPr>
          <w:lang w:val="en-CA"/>
        </w:rPr>
      </w:pPr>
    </w:p>
    <w:p w:rsidR="00C87889" w:rsidRPr="006D14C3" w:rsidRDefault="00C87889" w:rsidP="00E11923">
      <w:pPr>
        <w:pStyle w:val="Heading1"/>
        <w:rPr>
          <w:lang w:val="en-CA" w:eastAsia="ko-KR"/>
        </w:rPr>
      </w:pPr>
      <w:r w:rsidRPr="006D14C3">
        <w:rPr>
          <w:rFonts w:hint="eastAsia"/>
          <w:lang w:val="en-CA" w:eastAsia="ko-KR"/>
        </w:rPr>
        <w:t>Conclusion</w:t>
      </w:r>
    </w:p>
    <w:p w:rsidR="002B0133" w:rsidRPr="006D14C3" w:rsidRDefault="00E955A4" w:rsidP="00CF7A67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proposes </w:t>
      </w:r>
      <w:r>
        <w:rPr>
          <w:lang w:val="en-CA" w:eastAsia="ko-KR"/>
        </w:rPr>
        <w:t xml:space="preserve">a tile-level bit allocation of rate control to favor multi-core platform in HM. It is reported </w:t>
      </w:r>
      <w:r w:rsidR="00CF7A67" w:rsidRPr="00CF7A67">
        <w:rPr>
          <w:lang w:val="en-CA" w:eastAsia="ko-KR"/>
        </w:rPr>
        <w:t xml:space="preserve">that the proposed tile-level rate control model </w:t>
      </w:r>
      <w:r w:rsidR="00CF7A67">
        <w:rPr>
          <w:lang w:val="en-CA" w:eastAsia="ko-KR"/>
        </w:rPr>
        <w:t xml:space="preserve">can </w:t>
      </w:r>
      <w:r w:rsidR="00CF7A67" w:rsidRPr="00CF7A67">
        <w:rPr>
          <w:lang w:val="en-CA" w:eastAsia="ko-KR"/>
        </w:rPr>
        <w:t>achieve coding gain, visual quality, and bitrate accuracy improvements in both low-delay and random-access configurations</w:t>
      </w:r>
      <w:r w:rsidR="00CF7A67">
        <w:rPr>
          <w:lang w:val="en-CA" w:eastAsia="ko-KR"/>
        </w:rPr>
        <w:t xml:space="preserve"> with negligible encoding time increased. </w:t>
      </w:r>
    </w:p>
    <w:p w:rsidR="00C87889" w:rsidRPr="006D14C3" w:rsidRDefault="00C87889" w:rsidP="00E11923">
      <w:pPr>
        <w:pStyle w:val="Heading1"/>
        <w:rPr>
          <w:lang w:val="en-CA" w:eastAsia="ko-KR"/>
        </w:rPr>
      </w:pPr>
      <w:r w:rsidRPr="006D14C3">
        <w:rPr>
          <w:rFonts w:hint="eastAsia"/>
          <w:lang w:val="en-CA" w:eastAsia="ko-KR"/>
        </w:rPr>
        <w:lastRenderedPageBreak/>
        <w:t>References</w:t>
      </w:r>
    </w:p>
    <w:p w:rsidR="00592050" w:rsidRPr="006D14C3" w:rsidRDefault="00592050" w:rsidP="00592050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lang w:eastAsia="ja-JP"/>
        </w:rPr>
      </w:pPr>
      <w:bookmarkStart w:id="1" w:name="_Ref282716302"/>
      <w:r>
        <w:rPr>
          <w:lang w:eastAsia="ja-JP"/>
        </w:rPr>
        <w:t xml:space="preserve">I. Marzuki, Y. Ahn, W. Lim, and D. Sim, “Tile-level rate control for multi-core platform,” </w:t>
      </w:r>
      <w:r w:rsidRPr="00592050">
        <w:rPr>
          <w:lang w:eastAsia="ja-JP"/>
        </w:rPr>
        <w:t>JCTVC-</w:t>
      </w:r>
      <w:r w:rsidR="005D5CB3">
        <w:rPr>
          <w:lang w:eastAsia="ja-JP"/>
        </w:rPr>
        <w:t>V</w:t>
      </w:r>
      <w:r w:rsidRPr="00592050">
        <w:rPr>
          <w:lang w:eastAsia="ja-JP"/>
        </w:rPr>
        <w:t>0088</w:t>
      </w:r>
      <w:r>
        <w:rPr>
          <w:lang w:eastAsia="ja-JP"/>
        </w:rPr>
        <w:t>, 22</w:t>
      </w:r>
      <w:r w:rsidRPr="00592050">
        <w:rPr>
          <w:vertAlign w:val="superscript"/>
          <w:lang w:eastAsia="ja-JP"/>
        </w:rPr>
        <w:t>nd</w:t>
      </w:r>
      <w:r>
        <w:rPr>
          <w:lang w:eastAsia="ja-JP"/>
        </w:rPr>
        <w:t xml:space="preserve"> JCT-VC meeting, Gen</w:t>
      </w:r>
      <w:r w:rsidR="005D5CB3">
        <w:rPr>
          <w:lang w:eastAsia="ja-JP"/>
        </w:rPr>
        <w:t>e</w:t>
      </w:r>
      <w:r>
        <w:rPr>
          <w:lang w:eastAsia="ja-JP"/>
        </w:rPr>
        <w:t>va, CH, Oct. 2015.</w:t>
      </w:r>
    </w:p>
    <w:bookmarkEnd w:id="1"/>
    <w:p w:rsidR="005C3205" w:rsidRDefault="005C3205" w:rsidP="005C3205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lang w:eastAsia="ja-JP"/>
        </w:rPr>
      </w:pPr>
      <w:r w:rsidRPr="006D14C3">
        <w:rPr>
          <w:rFonts w:hint="eastAsia"/>
          <w:lang w:eastAsia="ko-KR"/>
        </w:rPr>
        <w:t xml:space="preserve">F. Bossen, </w:t>
      </w:r>
      <w:r w:rsidRPr="006D14C3">
        <w:rPr>
          <w:lang w:eastAsia="ko-KR"/>
        </w:rPr>
        <w:t>“Common HM test conditions and software reference configurations,” JCTVC-L1100, 12</w:t>
      </w:r>
      <w:r w:rsidRPr="006D14C3">
        <w:rPr>
          <w:vertAlign w:val="superscript"/>
          <w:lang w:eastAsia="ko-KR"/>
        </w:rPr>
        <w:t>th</w:t>
      </w:r>
      <w:r w:rsidRPr="006D14C3">
        <w:rPr>
          <w:lang w:eastAsia="ko-KR"/>
        </w:rPr>
        <w:t xml:space="preserve"> JCT-VC meeting, Geneva, CH, Jan. 2013.</w:t>
      </w:r>
    </w:p>
    <w:p w:rsidR="00592050" w:rsidRDefault="00592050" w:rsidP="00592050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  <w:rPr>
          <w:lang w:eastAsia="ja-JP"/>
        </w:rPr>
      </w:pPr>
    </w:p>
    <w:p w:rsidR="00CF7A67" w:rsidRPr="006D14C3" w:rsidRDefault="00CF7A67" w:rsidP="00592050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  <w:rPr>
          <w:lang w:eastAsia="ja-JP"/>
        </w:rPr>
      </w:pPr>
    </w:p>
    <w:p w:rsidR="001F2594" w:rsidRPr="006D14C3" w:rsidRDefault="001F2594" w:rsidP="00E11923">
      <w:pPr>
        <w:pStyle w:val="Heading1"/>
        <w:rPr>
          <w:lang w:val="en-CA"/>
        </w:rPr>
      </w:pPr>
      <w:r w:rsidRPr="006D14C3">
        <w:rPr>
          <w:lang w:val="en-CA"/>
        </w:rPr>
        <w:t>Patent rights declaration</w:t>
      </w:r>
      <w:r w:rsidR="00B94B06" w:rsidRPr="006D14C3">
        <w:rPr>
          <w:lang w:val="en-CA"/>
        </w:rPr>
        <w:t>(s)</w:t>
      </w:r>
    </w:p>
    <w:p w:rsidR="00FF3056" w:rsidRPr="005B217D" w:rsidRDefault="00FF3056" w:rsidP="00FF3056">
      <w:pPr>
        <w:jc w:val="both"/>
        <w:rPr>
          <w:szCs w:val="22"/>
          <w:lang w:val="en-CA"/>
        </w:rPr>
      </w:pPr>
      <w:r w:rsidRPr="00F16DDA">
        <w:rPr>
          <w:b/>
          <w:szCs w:val="22"/>
          <w:lang w:val="en-CA"/>
        </w:rPr>
        <w:t>KWU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FF3056" w:rsidRPr="005B217D" w:rsidSect="00A01439">
      <w:footerReference w:type="default" r:id="rId2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BE3" w:rsidRDefault="00551BE3">
      <w:r>
        <w:separator/>
      </w:r>
    </w:p>
  </w:endnote>
  <w:endnote w:type="continuationSeparator" w:id="0">
    <w:p w:rsidR="00551BE3" w:rsidRDefault="00551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 Sinmyeongj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CF6" w:rsidRDefault="00740CF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354C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2016-09-26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BE3" w:rsidRDefault="00551BE3">
      <w:r>
        <w:separator/>
      </w:r>
    </w:p>
  </w:footnote>
  <w:footnote w:type="continuationSeparator" w:id="0">
    <w:p w:rsidR="00551BE3" w:rsidRDefault="00551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F1A35"/>
    <w:multiLevelType w:val="hybridMultilevel"/>
    <w:tmpl w:val="2CD2C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845BB"/>
    <w:multiLevelType w:val="hybridMultilevel"/>
    <w:tmpl w:val="8722A0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n-CA" w:vendorID="64" w:dllVersion="131078" w:nlCheck="1" w:checkStyle="0"/>
  <w:activeWritingStyle w:appName="MSWord" w:lang="en-US" w:vendorID="64" w:dllVersion="131078" w:nlCheck="1" w:checkStyle="0"/>
  <w:activeWritingStyle w:appName="MSWord" w:lang="ko-KR" w:vendorID="64" w:dllVersion="131077" w:nlCheck="1" w:checkStyle="1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67A5"/>
    <w:rsid w:val="00027E11"/>
    <w:rsid w:val="00034167"/>
    <w:rsid w:val="000458BC"/>
    <w:rsid w:val="00045C41"/>
    <w:rsid w:val="00046C03"/>
    <w:rsid w:val="00052B59"/>
    <w:rsid w:val="00056FA5"/>
    <w:rsid w:val="00064F84"/>
    <w:rsid w:val="00065039"/>
    <w:rsid w:val="00066853"/>
    <w:rsid w:val="0006785B"/>
    <w:rsid w:val="0007206F"/>
    <w:rsid w:val="00074A8E"/>
    <w:rsid w:val="0007614F"/>
    <w:rsid w:val="00077875"/>
    <w:rsid w:val="00082059"/>
    <w:rsid w:val="00084E8E"/>
    <w:rsid w:val="00095211"/>
    <w:rsid w:val="000B1C6B"/>
    <w:rsid w:val="000B4847"/>
    <w:rsid w:val="000B4AA4"/>
    <w:rsid w:val="000B4FF9"/>
    <w:rsid w:val="000C0254"/>
    <w:rsid w:val="000C09AC"/>
    <w:rsid w:val="000D0FDE"/>
    <w:rsid w:val="000D2CBB"/>
    <w:rsid w:val="000D6250"/>
    <w:rsid w:val="000D70A7"/>
    <w:rsid w:val="000E00F3"/>
    <w:rsid w:val="000E34F2"/>
    <w:rsid w:val="000F158C"/>
    <w:rsid w:val="000F4EC6"/>
    <w:rsid w:val="001011F6"/>
    <w:rsid w:val="001019D7"/>
    <w:rsid w:val="00102F3D"/>
    <w:rsid w:val="0011138E"/>
    <w:rsid w:val="00120224"/>
    <w:rsid w:val="00124E38"/>
    <w:rsid w:val="0012580B"/>
    <w:rsid w:val="00125A3C"/>
    <w:rsid w:val="001273AB"/>
    <w:rsid w:val="00127920"/>
    <w:rsid w:val="00131F90"/>
    <w:rsid w:val="00133FEC"/>
    <w:rsid w:val="0013526E"/>
    <w:rsid w:val="00146152"/>
    <w:rsid w:val="00146E12"/>
    <w:rsid w:val="00151485"/>
    <w:rsid w:val="0015730A"/>
    <w:rsid w:val="00170B5D"/>
    <w:rsid w:val="00171371"/>
    <w:rsid w:val="00175A24"/>
    <w:rsid w:val="00187E58"/>
    <w:rsid w:val="00193AE8"/>
    <w:rsid w:val="001A0210"/>
    <w:rsid w:val="001A297E"/>
    <w:rsid w:val="001A368E"/>
    <w:rsid w:val="001A7329"/>
    <w:rsid w:val="001B4E28"/>
    <w:rsid w:val="001B7213"/>
    <w:rsid w:val="001C3525"/>
    <w:rsid w:val="001C7B08"/>
    <w:rsid w:val="001D1BD2"/>
    <w:rsid w:val="001D387E"/>
    <w:rsid w:val="001E02BE"/>
    <w:rsid w:val="001E0FFF"/>
    <w:rsid w:val="001E3B37"/>
    <w:rsid w:val="001E57CD"/>
    <w:rsid w:val="001E7C17"/>
    <w:rsid w:val="001F2594"/>
    <w:rsid w:val="001F543F"/>
    <w:rsid w:val="002055A6"/>
    <w:rsid w:val="00206460"/>
    <w:rsid w:val="002069B4"/>
    <w:rsid w:val="002072A2"/>
    <w:rsid w:val="002151E2"/>
    <w:rsid w:val="00215DFC"/>
    <w:rsid w:val="002212DF"/>
    <w:rsid w:val="002225CB"/>
    <w:rsid w:val="00222CD4"/>
    <w:rsid w:val="00225016"/>
    <w:rsid w:val="002264A6"/>
    <w:rsid w:val="00227BA7"/>
    <w:rsid w:val="0023011C"/>
    <w:rsid w:val="002375C1"/>
    <w:rsid w:val="00250D4D"/>
    <w:rsid w:val="00255F09"/>
    <w:rsid w:val="00263398"/>
    <w:rsid w:val="00263D7D"/>
    <w:rsid w:val="00266E22"/>
    <w:rsid w:val="002711C6"/>
    <w:rsid w:val="002718E0"/>
    <w:rsid w:val="00275850"/>
    <w:rsid w:val="00275BCF"/>
    <w:rsid w:val="00281277"/>
    <w:rsid w:val="00291E36"/>
    <w:rsid w:val="00292257"/>
    <w:rsid w:val="00293326"/>
    <w:rsid w:val="002A0DB2"/>
    <w:rsid w:val="002A2A36"/>
    <w:rsid w:val="002A4646"/>
    <w:rsid w:val="002A54E0"/>
    <w:rsid w:val="002B0133"/>
    <w:rsid w:val="002B1595"/>
    <w:rsid w:val="002B191D"/>
    <w:rsid w:val="002B26C4"/>
    <w:rsid w:val="002B6AE2"/>
    <w:rsid w:val="002C00FD"/>
    <w:rsid w:val="002C1012"/>
    <w:rsid w:val="002D0AF6"/>
    <w:rsid w:val="002D51D6"/>
    <w:rsid w:val="002F164D"/>
    <w:rsid w:val="00306206"/>
    <w:rsid w:val="00317D85"/>
    <w:rsid w:val="00327C56"/>
    <w:rsid w:val="003315A1"/>
    <w:rsid w:val="003373EC"/>
    <w:rsid w:val="00340DD6"/>
    <w:rsid w:val="00342FF4"/>
    <w:rsid w:val="00344224"/>
    <w:rsid w:val="00346148"/>
    <w:rsid w:val="00352F99"/>
    <w:rsid w:val="00353218"/>
    <w:rsid w:val="0035333F"/>
    <w:rsid w:val="00365323"/>
    <w:rsid w:val="003669EA"/>
    <w:rsid w:val="003706CC"/>
    <w:rsid w:val="003738EF"/>
    <w:rsid w:val="00377710"/>
    <w:rsid w:val="003805A3"/>
    <w:rsid w:val="00382C1D"/>
    <w:rsid w:val="00384C37"/>
    <w:rsid w:val="0038597B"/>
    <w:rsid w:val="003A2D8E"/>
    <w:rsid w:val="003A3637"/>
    <w:rsid w:val="003A74EC"/>
    <w:rsid w:val="003B0084"/>
    <w:rsid w:val="003B044F"/>
    <w:rsid w:val="003B33DE"/>
    <w:rsid w:val="003C20E4"/>
    <w:rsid w:val="003E6F90"/>
    <w:rsid w:val="003F5D0F"/>
    <w:rsid w:val="00401B07"/>
    <w:rsid w:val="00402876"/>
    <w:rsid w:val="004118B6"/>
    <w:rsid w:val="00414101"/>
    <w:rsid w:val="00422733"/>
    <w:rsid w:val="004234F0"/>
    <w:rsid w:val="004244D4"/>
    <w:rsid w:val="004338A9"/>
    <w:rsid w:val="00433DDB"/>
    <w:rsid w:val="00435D70"/>
    <w:rsid w:val="00437619"/>
    <w:rsid w:val="004575F3"/>
    <w:rsid w:val="004576CF"/>
    <w:rsid w:val="00465A1E"/>
    <w:rsid w:val="0048708D"/>
    <w:rsid w:val="0049212B"/>
    <w:rsid w:val="00493F6A"/>
    <w:rsid w:val="00494912"/>
    <w:rsid w:val="00497320"/>
    <w:rsid w:val="004A0FB5"/>
    <w:rsid w:val="004A2A63"/>
    <w:rsid w:val="004A4DF9"/>
    <w:rsid w:val="004B1B73"/>
    <w:rsid w:val="004B210C"/>
    <w:rsid w:val="004C1AA0"/>
    <w:rsid w:val="004C58ED"/>
    <w:rsid w:val="004C622C"/>
    <w:rsid w:val="004D405F"/>
    <w:rsid w:val="004E1734"/>
    <w:rsid w:val="004E4F4F"/>
    <w:rsid w:val="004E65EF"/>
    <w:rsid w:val="004E6789"/>
    <w:rsid w:val="004F61E3"/>
    <w:rsid w:val="004F7F03"/>
    <w:rsid w:val="005017D9"/>
    <w:rsid w:val="00502E10"/>
    <w:rsid w:val="0050312E"/>
    <w:rsid w:val="00507EEA"/>
    <w:rsid w:val="0051015C"/>
    <w:rsid w:val="005142D4"/>
    <w:rsid w:val="00516CF1"/>
    <w:rsid w:val="0051740B"/>
    <w:rsid w:val="00521ADA"/>
    <w:rsid w:val="00525B49"/>
    <w:rsid w:val="00526714"/>
    <w:rsid w:val="00531AE9"/>
    <w:rsid w:val="00550A66"/>
    <w:rsid w:val="005513F5"/>
    <w:rsid w:val="00551BE3"/>
    <w:rsid w:val="00553A9D"/>
    <w:rsid w:val="00554295"/>
    <w:rsid w:val="005544BE"/>
    <w:rsid w:val="00554E66"/>
    <w:rsid w:val="00560B19"/>
    <w:rsid w:val="00560C0E"/>
    <w:rsid w:val="00567EC7"/>
    <w:rsid w:val="00570013"/>
    <w:rsid w:val="00574C29"/>
    <w:rsid w:val="005801A2"/>
    <w:rsid w:val="00584435"/>
    <w:rsid w:val="00591D47"/>
    <w:rsid w:val="00592050"/>
    <w:rsid w:val="0059507E"/>
    <w:rsid w:val="005952A5"/>
    <w:rsid w:val="005958E2"/>
    <w:rsid w:val="005A042E"/>
    <w:rsid w:val="005A33A1"/>
    <w:rsid w:val="005A6FB3"/>
    <w:rsid w:val="005B1366"/>
    <w:rsid w:val="005B217D"/>
    <w:rsid w:val="005B7D3D"/>
    <w:rsid w:val="005C196E"/>
    <w:rsid w:val="005C3205"/>
    <w:rsid w:val="005C385F"/>
    <w:rsid w:val="005C4321"/>
    <w:rsid w:val="005C7003"/>
    <w:rsid w:val="005D5CB3"/>
    <w:rsid w:val="005E004E"/>
    <w:rsid w:val="005E1AC6"/>
    <w:rsid w:val="005E3D0F"/>
    <w:rsid w:val="005E61F5"/>
    <w:rsid w:val="005F5255"/>
    <w:rsid w:val="005F6F1B"/>
    <w:rsid w:val="00601A6A"/>
    <w:rsid w:val="00602E91"/>
    <w:rsid w:val="00610840"/>
    <w:rsid w:val="00610EA1"/>
    <w:rsid w:val="00611A4B"/>
    <w:rsid w:val="006127FD"/>
    <w:rsid w:val="00624B33"/>
    <w:rsid w:val="0063041A"/>
    <w:rsid w:val="00630AA2"/>
    <w:rsid w:val="00632A3E"/>
    <w:rsid w:val="006331A3"/>
    <w:rsid w:val="00635E54"/>
    <w:rsid w:val="00640A68"/>
    <w:rsid w:val="00646707"/>
    <w:rsid w:val="00646ED7"/>
    <w:rsid w:val="00651509"/>
    <w:rsid w:val="0065476C"/>
    <w:rsid w:val="006567BE"/>
    <w:rsid w:val="00656925"/>
    <w:rsid w:val="0066254A"/>
    <w:rsid w:val="00662E58"/>
    <w:rsid w:val="00664DCF"/>
    <w:rsid w:val="006709A0"/>
    <w:rsid w:val="0067388E"/>
    <w:rsid w:val="00683E03"/>
    <w:rsid w:val="006841F9"/>
    <w:rsid w:val="00693C59"/>
    <w:rsid w:val="006A7173"/>
    <w:rsid w:val="006C052F"/>
    <w:rsid w:val="006C5D39"/>
    <w:rsid w:val="006D14C3"/>
    <w:rsid w:val="006D1824"/>
    <w:rsid w:val="006D6D65"/>
    <w:rsid w:val="006D6D9B"/>
    <w:rsid w:val="006E2810"/>
    <w:rsid w:val="006E5417"/>
    <w:rsid w:val="006E7CD1"/>
    <w:rsid w:val="00712F60"/>
    <w:rsid w:val="007141A5"/>
    <w:rsid w:val="00720E3B"/>
    <w:rsid w:val="00725997"/>
    <w:rsid w:val="007261D5"/>
    <w:rsid w:val="00726389"/>
    <w:rsid w:val="00740CF6"/>
    <w:rsid w:val="00741B46"/>
    <w:rsid w:val="0074393F"/>
    <w:rsid w:val="00745F6B"/>
    <w:rsid w:val="0075458B"/>
    <w:rsid w:val="0075585E"/>
    <w:rsid w:val="00762091"/>
    <w:rsid w:val="007629E8"/>
    <w:rsid w:val="00770571"/>
    <w:rsid w:val="00771866"/>
    <w:rsid w:val="00772E82"/>
    <w:rsid w:val="007768FF"/>
    <w:rsid w:val="007775FE"/>
    <w:rsid w:val="007824D3"/>
    <w:rsid w:val="00783E33"/>
    <w:rsid w:val="00792583"/>
    <w:rsid w:val="007929C9"/>
    <w:rsid w:val="00796EE3"/>
    <w:rsid w:val="00797BA1"/>
    <w:rsid w:val="007A63E2"/>
    <w:rsid w:val="007A6652"/>
    <w:rsid w:val="007A7D29"/>
    <w:rsid w:val="007B4AB8"/>
    <w:rsid w:val="007D48FC"/>
    <w:rsid w:val="007D5577"/>
    <w:rsid w:val="007D6283"/>
    <w:rsid w:val="007E01A3"/>
    <w:rsid w:val="007E279B"/>
    <w:rsid w:val="007E34C7"/>
    <w:rsid w:val="007E7FE8"/>
    <w:rsid w:val="007F1F8B"/>
    <w:rsid w:val="007F52A9"/>
    <w:rsid w:val="007F54C7"/>
    <w:rsid w:val="007F67A1"/>
    <w:rsid w:val="008012EB"/>
    <w:rsid w:val="00811C05"/>
    <w:rsid w:val="0081455B"/>
    <w:rsid w:val="008206C8"/>
    <w:rsid w:val="008232BD"/>
    <w:rsid w:val="00823DF9"/>
    <w:rsid w:val="0082428D"/>
    <w:rsid w:val="0082592B"/>
    <w:rsid w:val="008354C2"/>
    <w:rsid w:val="00836511"/>
    <w:rsid w:val="0085615C"/>
    <w:rsid w:val="0086387C"/>
    <w:rsid w:val="00865E5B"/>
    <w:rsid w:val="00871916"/>
    <w:rsid w:val="00874A6C"/>
    <w:rsid w:val="00876C65"/>
    <w:rsid w:val="00896A29"/>
    <w:rsid w:val="00897B88"/>
    <w:rsid w:val="008A156B"/>
    <w:rsid w:val="008A4B4C"/>
    <w:rsid w:val="008A6344"/>
    <w:rsid w:val="008B25CE"/>
    <w:rsid w:val="008B63F5"/>
    <w:rsid w:val="008C1007"/>
    <w:rsid w:val="008C239F"/>
    <w:rsid w:val="008C47C3"/>
    <w:rsid w:val="008D09E3"/>
    <w:rsid w:val="008D6B83"/>
    <w:rsid w:val="008E2D5D"/>
    <w:rsid w:val="008E480C"/>
    <w:rsid w:val="008E59E3"/>
    <w:rsid w:val="008F538F"/>
    <w:rsid w:val="009044E0"/>
    <w:rsid w:val="00907757"/>
    <w:rsid w:val="00911492"/>
    <w:rsid w:val="009171CE"/>
    <w:rsid w:val="009212B0"/>
    <w:rsid w:val="00921FA1"/>
    <w:rsid w:val="009234A5"/>
    <w:rsid w:val="00933453"/>
    <w:rsid w:val="009336F7"/>
    <w:rsid w:val="00934D75"/>
    <w:rsid w:val="0093636C"/>
    <w:rsid w:val="009374A7"/>
    <w:rsid w:val="00945603"/>
    <w:rsid w:val="00951D34"/>
    <w:rsid w:val="00956768"/>
    <w:rsid w:val="00965D92"/>
    <w:rsid w:val="00972994"/>
    <w:rsid w:val="00974F9D"/>
    <w:rsid w:val="00984CFC"/>
    <w:rsid w:val="0098551D"/>
    <w:rsid w:val="009901DB"/>
    <w:rsid w:val="00991AD6"/>
    <w:rsid w:val="009924C3"/>
    <w:rsid w:val="0099518F"/>
    <w:rsid w:val="009A523D"/>
    <w:rsid w:val="009B02A1"/>
    <w:rsid w:val="009B19AF"/>
    <w:rsid w:val="009B3C13"/>
    <w:rsid w:val="009B5204"/>
    <w:rsid w:val="009C0171"/>
    <w:rsid w:val="009C4DC5"/>
    <w:rsid w:val="009C6306"/>
    <w:rsid w:val="009E05D5"/>
    <w:rsid w:val="009E4DB9"/>
    <w:rsid w:val="009F496B"/>
    <w:rsid w:val="00A01439"/>
    <w:rsid w:val="00A02E61"/>
    <w:rsid w:val="00A04889"/>
    <w:rsid w:val="00A05CFF"/>
    <w:rsid w:val="00A061F2"/>
    <w:rsid w:val="00A2171E"/>
    <w:rsid w:val="00A220AA"/>
    <w:rsid w:val="00A220E8"/>
    <w:rsid w:val="00A42D0C"/>
    <w:rsid w:val="00A43FAB"/>
    <w:rsid w:val="00A56B97"/>
    <w:rsid w:val="00A57CC4"/>
    <w:rsid w:val="00A60896"/>
    <w:rsid w:val="00A6093D"/>
    <w:rsid w:val="00A636EC"/>
    <w:rsid w:val="00A71C81"/>
    <w:rsid w:val="00A767DC"/>
    <w:rsid w:val="00A76A6D"/>
    <w:rsid w:val="00A83253"/>
    <w:rsid w:val="00A87184"/>
    <w:rsid w:val="00AA6E84"/>
    <w:rsid w:val="00AB0215"/>
    <w:rsid w:val="00AB3A50"/>
    <w:rsid w:val="00AC1AED"/>
    <w:rsid w:val="00AD3634"/>
    <w:rsid w:val="00AD4520"/>
    <w:rsid w:val="00AD64E4"/>
    <w:rsid w:val="00AE05F0"/>
    <w:rsid w:val="00AE0AD2"/>
    <w:rsid w:val="00AE341B"/>
    <w:rsid w:val="00AF49C0"/>
    <w:rsid w:val="00B015A7"/>
    <w:rsid w:val="00B07CA7"/>
    <w:rsid w:val="00B1279A"/>
    <w:rsid w:val="00B13065"/>
    <w:rsid w:val="00B1424A"/>
    <w:rsid w:val="00B157FA"/>
    <w:rsid w:val="00B3216D"/>
    <w:rsid w:val="00B3431C"/>
    <w:rsid w:val="00B4194A"/>
    <w:rsid w:val="00B426E3"/>
    <w:rsid w:val="00B5222E"/>
    <w:rsid w:val="00B53179"/>
    <w:rsid w:val="00B534E3"/>
    <w:rsid w:val="00B61C96"/>
    <w:rsid w:val="00B64287"/>
    <w:rsid w:val="00B67453"/>
    <w:rsid w:val="00B6759D"/>
    <w:rsid w:val="00B67D82"/>
    <w:rsid w:val="00B714BD"/>
    <w:rsid w:val="00B71F7E"/>
    <w:rsid w:val="00B73A2A"/>
    <w:rsid w:val="00B81FF5"/>
    <w:rsid w:val="00B84ED1"/>
    <w:rsid w:val="00B857F3"/>
    <w:rsid w:val="00B87201"/>
    <w:rsid w:val="00B9179A"/>
    <w:rsid w:val="00B94B06"/>
    <w:rsid w:val="00B94C28"/>
    <w:rsid w:val="00BC10BA"/>
    <w:rsid w:val="00BC5AFD"/>
    <w:rsid w:val="00BF14F2"/>
    <w:rsid w:val="00BF3FDD"/>
    <w:rsid w:val="00C04F43"/>
    <w:rsid w:val="00C0609D"/>
    <w:rsid w:val="00C115AB"/>
    <w:rsid w:val="00C20F45"/>
    <w:rsid w:val="00C30249"/>
    <w:rsid w:val="00C30D8A"/>
    <w:rsid w:val="00C3723B"/>
    <w:rsid w:val="00C42466"/>
    <w:rsid w:val="00C50132"/>
    <w:rsid w:val="00C5214A"/>
    <w:rsid w:val="00C5617E"/>
    <w:rsid w:val="00C57FEE"/>
    <w:rsid w:val="00C606C9"/>
    <w:rsid w:val="00C65337"/>
    <w:rsid w:val="00C726E7"/>
    <w:rsid w:val="00C778DD"/>
    <w:rsid w:val="00C80288"/>
    <w:rsid w:val="00C8269C"/>
    <w:rsid w:val="00C82CCF"/>
    <w:rsid w:val="00C84003"/>
    <w:rsid w:val="00C87889"/>
    <w:rsid w:val="00C90650"/>
    <w:rsid w:val="00C90B92"/>
    <w:rsid w:val="00C97D78"/>
    <w:rsid w:val="00CA4C50"/>
    <w:rsid w:val="00CA58C6"/>
    <w:rsid w:val="00CB0FF9"/>
    <w:rsid w:val="00CC160B"/>
    <w:rsid w:val="00CC2AAE"/>
    <w:rsid w:val="00CC5A42"/>
    <w:rsid w:val="00CC6F6D"/>
    <w:rsid w:val="00CD0EAB"/>
    <w:rsid w:val="00CE2A7E"/>
    <w:rsid w:val="00CE5E02"/>
    <w:rsid w:val="00CE7761"/>
    <w:rsid w:val="00CF34DB"/>
    <w:rsid w:val="00CF558F"/>
    <w:rsid w:val="00CF7A67"/>
    <w:rsid w:val="00D03BE4"/>
    <w:rsid w:val="00D04A15"/>
    <w:rsid w:val="00D073E2"/>
    <w:rsid w:val="00D20D3C"/>
    <w:rsid w:val="00D22EA5"/>
    <w:rsid w:val="00D230B6"/>
    <w:rsid w:val="00D25B10"/>
    <w:rsid w:val="00D2721D"/>
    <w:rsid w:val="00D30E00"/>
    <w:rsid w:val="00D34298"/>
    <w:rsid w:val="00D446EC"/>
    <w:rsid w:val="00D4753F"/>
    <w:rsid w:val="00D5092C"/>
    <w:rsid w:val="00D51BF0"/>
    <w:rsid w:val="00D520C3"/>
    <w:rsid w:val="00D55942"/>
    <w:rsid w:val="00D612F3"/>
    <w:rsid w:val="00D756E4"/>
    <w:rsid w:val="00D76BFA"/>
    <w:rsid w:val="00D807BF"/>
    <w:rsid w:val="00D8274B"/>
    <w:rsid w:val="00D82C98"/>
    <w:rsid w:val="00D82FCC"/>
    <w:rsid w:val="00D9484B"/>
    <w:rsid w:val="00D959A3"/>
    <w:rsid w:val="00DA17FC"/>
    <w:rsid w:val="00DA3B2D"/>
    <w:rsid w:val="00DA5B4B"/>
    <w:rsid w:val="00DA7887"/>
    <w:rsid w:val="00DB2C26"/>
    <w:rsid w:val="00DC1188"/>
    <w:rsid w:val="00DE1670"/>
    <w:rsid w:val="00DE6B43"/>
    <w:rsid w:val="00DF0E86"/>
    <w:rsid w:val="00DF2F4B"/>
    <w:rsid w:val="00DF6973"/>
    <w:rsid w:val="00E01100"/>
    <w:rsid w:val="00E11923"/>
    <w:rsid w:val="00E149D1"/>
    <w:rsid w:val="00E22900"/>
    <w:rsid w:val="00E260C1"/>
    <w:rsid w:val="00E262D4"/>
    <w:rsid w:val="00E36250"/>
    <w:rsid w:val="00E36EB5"/>
    <w:rsid w:val="00E4271B"/>
    <w:rsid w:val="00E53189"/>
    <w:rsid w:val="00E54511"/>
    <w:rsid w:val="00E56BD4"/>
    <w:rsid w:val="00E61DAC"/>
    <w:rsid w:val="00E66E7D"/>
    <w:rsid w:val="00E71928"/>
    <w:rsid w:val="00E72403"/>
    <w:rsid w:val="00E72B80"/>
    <w:rsid w:val="00E75FE3"/>
    <w:rsid w:val="00E85311"/>
    <w:rsid w:val="00E8698B"/>
    <w:rsid w:val="00E86C4C"/>
    <w:rsid w:val="00E91760"/>
    <w:rsid w:val="00E955A4"/>
    <w:rsid w:val="00EA5AE0"/>
    <w:rsid w:val="00EA61E6"/>
    <w:rsid w:val="00EA73E4"/>
    <w:rsid w:val="00EB7AB1"/>
    <w:rsid w:val="00EC1BF3"/>
    <w:rsid w:val="00EC29FB"/>
    <w:rsid w:val="00EE6ADC"/>
    <w:rsid w:val="00EE7CD8"/>
    <w:rsid w:val="00EF0828"/>
    <w:rsid w:val="00EF39F4"/>
    <w:rsid w:val="00EF4695"/>
    <w:rsid w:val="00EF48CC"/>
    <w:rsid w:val="00F16DDA"/>
    <w:rsid w:val="00F2211F"/>
    <w:rsid w:val="00F33BC4"/>
    <w:rsid w:val="00F539C8"/>
    <w:rsid w:val="00F6054A"/>
    <w:rsid w:val="00F72421"/>
    <w:rsid w:val="00F73032"/>
    <w:rsid w:val="00F745AE"/>
    <w:rsid w:val="00F82075"/>
    <w:rsid w:val="00F8255E"/>
    <w:rsid w:val="00F848FC"/>
    <w:rsid w:val="00F9054E"/>
    <w:rsid w:val="00F9282A"/>
    <w:rsid w:val="00F96BAD"/>
    <w:rsid w:val="00FA139D"/>
    <w:rsid w:val="00FB0E84"/>
    <w:rsid w:val="00FB36F6"/>
    <w:rsid w:val="00FB52B3"/>
    <w:rsid w:val="00FD01C2"/>
    <w:rsid w:val="00FD75BA"/>
    <w:rsid w:val="00FF0CE3"/>
    <w:rsid w:val="00FF14C9"/>
    <w:rsid w:val="00FF2AE7"/>
    <w:rsid w:val="00FF3056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B0F6A"/>
  <w15:chartTrackingRefBased/>
  <w15:docId w15:val="{551D8DF0-E01E-46EE-94A8-151D98C0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B26C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6D1824"/>
    <w:rPr>
      <w:b/>
      <w:bCs/>
      <w:sz w:val="20"/>
    </w:rPr>
  </w:style>
  <w:style w:type="table" w:styleId="TableGrid">
    <w:name w:val="Table Grid"/>
    <w:basedOn w:val="TableNormal"/>
    <w:rsid w:val="0065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7388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Gulim" w:eastAsia="Gulim" w:hAnsi="Gulim" w:cs="Gulim"/>
      <w:sz w:val="24"/>
      <w:szCs w:val="24"/>
      <w:lang w:eastAsia="ko-KR"/>
    </w:rPr>
  </w:style>
  <w:style w:type="paragraph" w:customStyle="1" w:styleId="a">
    <w:name w:val="바탕글"/>
    <w:basedOn w:val="Normal"/>
    <w:rsid w:val="001E57CD"/>
    <w:pPr>
      <w:widowControl w:val="0"/>
      <w:tabs>
        <w:tab w:val="clear" w:pos="360"/>
        <w:tab w:val="clear" w:pos="720"/>
        <w:tab w:val="clear" w:pos="1080"/>
        <w:tab w:val="clear" w:pos="1440"/>
      </w:tabs>
      <w:wordWrap w:val="0"/>
      <w:overflowPunct/>
      <w:adjustRightInd/>
      <w:snapToGrid w:val="0"/>
      <w:spacing w:before="0" w:line="384" w:lineRule="auto"/>
      <w:jc w:val="both"/>
    </w:pPr>
    <w:rPr>
      <w:rFonts w:ascii="Batang" w:eastAsia="Times New Roman"/>
      <w:color w:val="000000"/>
      <w:sz w:val="20"/>
      <w:lang w:eastAsia="ko-KR"/>
    </w:rPr>
  </w:style>
  <w:style w:type="character" w:styleId="PlaceholderText">
    <w:name w:val="Placeholder Text"/>
    <w:basedOn w:val="DefaultParagraphFont"/>
    <w:uiPriority w:val="99"/>
    <w:unhideWhenUsed/>
    <w:rsid w:val="00382C1D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F82075"/>
    <w:rPr>
      <w:rFonts w:cs="Arial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72"/>
    <w:qFormat/>
    <w:rsid w:val="001E0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sim@kw.ac.kr" TargetMode="External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footer" Target="footer1.xml"/><Relationship Id="rId10" Type="http://schemas.openxmlformats.org/officeDocument/2006/relationships/hyperlink" Target="mailto:yongjoahn@kw.ac.kr" TargetMode="External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hyperlink" Target="mailto:ismail@kw.ac.kr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7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6</Pages>
  <Words>1671</Words>
  <Characters>9525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11174</CharactersWithSpaces>
  <SharedDoc>false</SharedDoc>
  <HLinks>
    <vt:vector size="18" baseType="variant">
      <vt:variant>
        <vt:i4>5570620</vt:i4>
      </vt:variant>
      <vt:variant>
        <vt:i4>6</vt:i4>
      </vt:variant>
      <vt:variant>
        <vt:i4>0</vt:i4>
      </vt:variant>
      <vt:variant>
        <vt:i4>5</vt:i4>
      </vt:variant>
      <vt:variant>
        <vt:lpwstr>mailto:dgsim@kw.ac.kr</vt:lpwstr>
      </vt:variant>
      <vt:variant>
        <vt:lpwstr/>
      </vt:variant>
      <vt:variant>
        <vt:i4>6094909</vt:i4>
      </vt:variant>
      <vt:variant>
        <vt:i4>3</vt:i4>
      </vt:variant>
      <vt:variant>
        <vt:i4>0</vt:i4>
      </vt:variant>
      <vt:variant>
        <vt:i4>5</vt:i4>
      </vt:variant>
      <vt:variant>
        <vt:lpwstr>mailto:yongjoahn@kw.ac.kr</vt:lpwstr>
      </vt:variant>
      <vt:variant>
        <vt:lpwstr/>
      </vt:variant>
      <vt:variant>
        <vt:i4>327801</vt:i4>
      </vt:variant>
      <vt:variant>
        <vt:i4>0</vt:i4>
      </vt:variant>
      <vt:variant>
        <vt:i4>0</vt:i4>
      </vt:variant>
      <vt:variant>
        <vt:i4>5</vt:i4>
      </vt:variant>
      <vt:variant>
        <vt:lpwstr>mailto:ismail@kw.ac.kr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Ismail M</cp:lastModifiedBy>
  <cp:revision>19</cp:revision>
  <dcterms:created xsi:type="dcterms:W3CDTF">2016-09-25T11:35:00Z</dcterms:created>
  <dcterms:modified xsi:type="dcterms:W3CDTF">2016-10-05T04:38:00Z</dcterms:modified>
</cp:coreProperties>
</file>