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3596195C" w14:textId="77777777">
        <w:tc>
          <w:tcPr>
            <w:tcW w:w="6408" w:type="dxa"/>
          </w:tcPr>
          <w:p w14:paraId="47BB84D2" w14:textId="0B0EE361" w:rsidR="006C5D39" w:rsidRPr="005B217D" w:rsidRDefault="00103949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68FF5F6F" wp14:editId="27FD262A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FF980BC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q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 wp14:anchorId="35ADEC94" wp14:editId="6C59C30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 wp14:anchorId="4A9AE404" wp14:editId="332A4199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7FE34EAB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4E4DE2EB" w14:textId="77777777" w:rsidR="00E61DAC" w:rsidRPr="005B217D" w:rsidRDefault="00B600CD" w:rsidP="00BD5566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</w:t>
            </w:r>
            <w:r w:rsidR="00BD5566">
              <w:t>4th</w:t>
            </w:r>
            <w:r w:rsidR="00A767DC" w:rsidRPr="00B648F1">
              <w:t xml:space="preserve"> Meeting: </w:t>
            </w:r>
            <w:r w:rsidR="00BD5566">
              <w:rPr>
                <w:lang w:val="en-CA"/>
              </w:rPr>
              <w:t>Geneva</w:t>
            </w:r>
            <w:r w:rsidR="00657F7E" w:rsidRPr="00657F7E">
              <w:rPr>
                <w:lang w:val="en-CA"/>
              </w:rPr>
              <w:t xml:space="preserve">, </w:t>
            </w:r>
            <w:r w:rsidR="00BD5566">
              <w:rPr>
                <w:lang w:val="en-CA"/>
              </w:rPr>
              <w:t>CH</w:t>
            </w:r>
            <w:r w:rsidR="00657F7E" w:rsidRPr="00657F7E">
              <w:rPr>
                <w:lang w:val="en-CA"/>
              </w:rPr>
              <w:t xml:space="preserve">, </w:t>
            </w:r>
            <w:r w:rsidR="00BD5566">
              <w:rPr>
                <w:lang w:val="en-CA"/>
              </w:rPr>
              <w:t xml:space="preserve">26 May </w:t>
            </w:r>
            <w:r w:rsidR="00657F7E" w:rsidRPr="00657F7E">
              <w:rPr>
                <w:lang w:val="en-CA"/>
              </w:rPr>
              <w:t>–</w:t>
            </w:r>
            <w:r w:rsidR="00BD5566">
              <w:rPr>
                <w:lang w:val="en-CA"/>
              </w:rPr>
              <w:t xml:space="preserve"> 1</w:t>
            </w:r>
            <w:r w:rsidR="00657F7E" w:rsidRPr="00657F7E">
              <w:rPr>
                <w:lang w:val="en-CA"/>
              </w:rPr>
              <w:t xml:space="preserve"> </w:t>
            </w:r>
            <w:r w:rsidR="00BD5566">
              <w:rPr>
                <w:lang w:val="en-CA"/>
              </w:rPr>
              <w:t>June</w:t>
            </w:r>
            <w:r w:rsidR="00657F7E" w:rsidRPr="00657F7E">
              <w:rPr>
                <w:lang w:val="en-CA"/>
              </w:rPr>
              <w:t xml:space="preserve"> 2016</w:t>
            </w:r>
          </w:p>
        </w:tc>
        <w:tc>
          <w:tcPr>
            <w:tcW w:w="3168" w:type="dxa"/>
          </w:tcPr>
          <w:p w14:paraId="1D072152" w14:textId="028162E1" w:rsidR="008A4B4C" w:rsidRPr="005B217D" w:rsidRDefault="00E61DAC" w:rsidP="00A243B5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BD5566">
              <w:rPr>
                <w:lang w:val="en-CA"/>
              </w:rPr>
              <w:t>X</w:t>
            </w:r>
            <w:r w:rsidR="00A243B5">
              <w:rPr>
                <w:lang w:val="en-CA"/>
              </w:rPr>
              <w:t>0066 / m38469</w:t>
            </w:r>
            <w:bookmarkStart w:id="0" w:name="_GoBack"/>
            <w:bookmarkEnd w:id="0"/>
          </w:p>
        </w:tc>
      </w:tr>
    </w:tbl>
    <w:p w14:paraId="5A57BEB4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9810" w:type="dxa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402"/>
      </w:tblGrid>
      <w:tr w:rsidR="00E61DAC" w:rsidRPr="005B217D" w14:paraId="40B41E6C" w14:textId="77777777" w:rsidTr="00495A50">
        <w:tc>
          <w:tcPr>
            <w:tcW w:w="1458" w:type="dxa"/>
          </w:tcPr>
          <w:p w14:paraId="733BE8E3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352" w:type="dxa"/>
            <w:gridSpan w:val="3"/>
          </w:tcPr>
          <w:p w14:paraId="5C624313" w14:textId="032634A7" w:rsidR="00E61DAC" w:rsidRPr="005B217D" w:rsidRDefault="0002525C" w:rsidP="00B24AB5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Proposed text for </w:t>
            </w:r>
            <w:r w:rsidR="009A3104">
              <w:rPr>
                <w:b/>
                <w:szCs w:val="22"/>
                <w:lang w:val="en-CA"/>
              </w:rPr>
              <w:t xml:space="preserve">usage of </w:t>
            </w:r>
            <w:r w:rsidRPr="0002525C">
              <w:rPr>
                <w:b/>
                <w:szCs w:val="22"/>
                <w:lang w:val="en-CA"/>
              </w:rPr>
              <w:t xml:space="preserve">Colour Remapping Information (CRI) SEI message </w:t>
            </w:r>
            <w:r>
              <w:rPr>
                <w:b/>
                <w:szCs w:val="22"/>
                <w:lang w:val="en-CA"/>
              </w:rPr>
              <w:t>for</w:t>
            </w:r>
            <w:r w:rsidRPr="0002525C">
              <w:rPr>
                <w:b/>
                <w:szCs w:val="22"/>
                <w:lang w:val="en-CA"/>
              </w:rPr>
              <w:t xml:space="preserve"> Conversion and Coding Practices for HDR/WCG Video</w:t>
            </w:r>
          </w:p>
        </w:tc>
      </w:tr>
      <w:tr w:rsidR="00E61DAC" w:rsidRPr="005B217D" w14:paraId="3F2E5446" w14:textId="77777777" w:rsidTr="00495A50">
        <w:tc>
          <w:tcPr>
            <w:tcW w:w="1458" w:type="dxa"/>
          </w:tcPr>
          <w:p w14:paraId="58FFEC0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352" w:type="dxa"/>
            <w:gridSpan w:val="3"/>
          </w:tcPr>
          <w:p w14:paraId="6D0DA2E0" w14:textId="77777777" w:rsidR="00E61DAC" w:rsidRPr="005B217D" w:rsidRDefault="00E61DAC" w:rsidP="00F5196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14:paraId="6F678694" w14:textId="77777777" w:rsidTr="00495A50">
        <w:tc>
          <w:tcPr>
            <w:tcW w:w="1458" w:type="dxa"/>
          </w:tcPr>
          <w:p w14:paraId="6F63E6A8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352" w:type="dxa"/>
            <w:gridSpan w:val="3"/>
          </w:tcPr>
          <w:p w14:paraId="6694A414" w14:textId="77777777" w:rsidR="00E61DAC" w:rsidRPr="005B217D" w:rsidRDefault="00E61DAC" w:rsidP="00F5196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 w14:paraId="1445B17D" w14:textId="77777777" w:rsidTr="00495A50">
        <w:tc>
          <w:tcPr>
            <w:tcW w:w="1458" w:type="dxa"/>
          </w:tcPr>
          <w:p w14:paraId="71A2CA82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0D3FC90D" w14:textId="0A353EE3" w:rsidR="00E61DAC" w:rsidRPr="00495A50" w:rsidRDefault="00495A50" w:rsidP="002756AB">
            <w:pPr>
              <w:spacing w:before="60" w:after="60"/>
              <w:rPr>
                <w:szCs w:val="22"/>
                <w:lang w:val="fr-FR"/>
              </w:rPr>
            </w:pPr>
            <w:r w:rsidRPr="00495A50">
              <w:rPr>
                <w:szCs w:val="22"/>
                <w:lang w:val="fr-FR"/>
              </w:rPr>
              <w:t>E. François</w:t>
            </w:r>
            <w:r w:rsidR="00BE5423">
              <w:rPr>
                <w:szCs w:val="22"/>
                <w:lang w:val="fr-FR"/>
              </w:rPr>
              <w:t>, F. Hiron</w:t>
            </w:r>
            <w:r w:rsidR="004153E3">
              <w:rPr>
                <w:szCs w:val="22"/>
                <w:lang w:val="fr-FR"/>
              </w:rPr>
              <w:t>, P. Andrivon</w:t>
            </w:r>
            <w:r w:rsidRPr="00495A50">
              <w:rPr>
                <w:szCs w:val="22"/>
                <w:lang w:val="fr-FR"/>
              </w:rPr>
              <w:t xml:space="preserve"> (Techni</w:t>
            </w:r>
            <w:r w:rsidR="00277754">
              <w:rPr>
                <w:szCs w:val="22"/>
                <w:lang w:val="fr-FR"/>
              </w:rPr>
              <w:t>color</w:t>
            </w:r>
            <w:r w:rsidRPr="00495A50">
              <w:rPr>
                <w:szCs w:val="22"/>
                <w:lang w:val="fr-FR"/>
              </w:rPr>
              <w:t>)</w:t>
            </w:r>
          </w:p>
        </w:tc>
        <w:tc>
          <w:tcPr>
            <w:tcW w:w="900" w:type="dxa"/>
          </w:tcPr>
          <w:p w14:paraId="6310B9E2" w14:textId="77777777"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495A50">
              <w:rPr>
                <w:szCs w:val="22"/>
                <w:lang w:val="fr-FR"/>
              </w:rPr>
              <w:br/>
            </w: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402" w:type="dxa"/>
          </w:tcPr>
          <w:p w14:paraId="13B7FBDB" w14:textId="75ACAA2C" w:rsidR="00E61DAC" w:rsidRPr="005B217D" w:rsidRDefault="00E61DAC" w:rsidP="002756AB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hyperlink r:id="rId10" w:history="1">
              <w:r w:rsidR="00495A50" w:rsidRPr="00CC0EBB">
                <w:rPr>
                  <w:rStyle w:val="Hyperlink"/>
                  <w:szCs w:val="22"/>
                  <w:lang w:val="en-CA"/>
                </w:rPr>
                <w:t>edouard.francois@technicolor.com</w:t>
              </w:r>
            </w:hyperlink>
            <w:r w:rsidR="00495A50">
              <w:rPr>
                <w:rStyle w:val="Hyperlink"/>
                <w:szCs w:val="22"/>
                <w:lang w:val="en-CA"/>
              </w:rPr>
              <w:br/>
            </w:r>
            <w:hyperlink r:id="rId11" w:history="1">
              <w:r w:rsidR="002756AB" w:rsidRPr="000B23A9">
                <w:rPr>
                  <w:rStyle w:val="Hyperlink"/>
                  <w:szCs w:val="22"/>
                  <w:lang w:val="en-CA"/>
                </w:rPr>
                <w:t>pierre.andrivon@technicolor.com</w:t>
              </w:r>
            </w:hyperlink>
          </w:p>
        </w:tc>
      </w:tr>
      <w:tr w:rsidR="00E61DAC" w:rsidRPr="005B217D" w14:paraId="0F7920E3" w14:textId="77777777" w:rsidTr="00495A50">
        <w:tc>
          <w:tcPr>
            <w:tcW w:w="1458" w:type="dxa"/>
          </w:tcPr>
          <w:p w14:paraId="50B6D356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352" w:type="dxa"/>
            <w:gridSpan w:val="3"/>
          </w:tcPr>
          <w:p w14:paraId="10D67CA9" w14:textId="5AF44714" w:rsidR="00E61DAC" w:rsidRPr="005B217D" w:rsidRDefault="002756AB" w:rsidP="002756A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Technicolor</w:t>
            </w:r>
          </w:p>
        </w:tc>
      </w:tr>
    </w:tbl>
    <w:p w14:paraId="34EF4E80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5BA35A84" w14:textId="6CCE28B8" w:rsidR="00275BCF" w:rsidRPr="005B217D" w:rsidRDefault="00275BCF" w:rsidP="00356108">
      <w:pPr>
        <w:pStyle w:val="Heading1"/>
        <w:numPr>
          <w:ilvl w:val="0"/>
          <w:numId w:val="0"/>
        </w:numPr>
        <w:tabs>
          <w:tab w:val="clear" w:pos="1440"/>
          <w:tab w:val="left" w:pos="6860"/>
        </w:tabs>
        <w:ind w:left="432" w:hanging="432"/>
        <w:rPr>
          <w:lang w:val="en-CA"/>
        </w:rPr>
      </w:pPr>
      <w:r w:rsidRPr="005B217D">
        <w:rPr>
          <w:lang w:val="en-CA"/>
        </w:rPr>
        <w:t>Abstract</w:t>
      </w:r>
      <w:r w:rsidR="00356108">
        <w:rPr>
          <w:lang w:val="en-CA"/>
        </w:rPr>
        <w:tab/>
      </w:r>
    </w:p>
    <w:p w14:paraId="1B098F7F" w14:textId="3347CFD0" w:rsidR="00884E88" w:rsidRDefault="00FD2D13" w:rsidP="00356108">
      <w:pPr>
        <w:jc w:val="both"/>
        <w:rPr>
          <w:lang w:val="en-CA"/>
        </w:rPr>
      </w:pPr>
      <w:r>
        <w:rPr>
          <w:lang w:val="en-CA"/>
        </w:rPr>
        <w:t xml:space="preserve">The </w:t>
      </w:r>
      <w:r w:rsidR="00356108" w:rsidRPr="006640B3">
        <w:rPr>
          <w:lang w:val="en-CA"/>
        </w:rPr>
        <w:t>C</w:t>
      </w:r>
      <w:r w:rsidR="00356108">
        <w:rPr>
          <w:lang w:val="en-CA"/>
        </w:rPr>
        <w:t>olour Remapping Information (C</w:t>
      </w:r>
      <w:r w:rsidR="00356108" w:rsidRPr="006640B3">
        <w:rPr>
          <w:lang w:val="en-CA"/>
        </w:rPr>
        <w:t>RI</w:t>
      </w:r>
      <w:r w:rsidR="00356108">
        <w:rPr>
          <w:lang w:val="en-CA"/>
        </w:rPr>
        <w:t>) SEI message</w:t>
      </w:r>
      <w:r w:rsidR="00356108" w:rsidRPr="006640B3">
        <w:rPr>
          <w:lang w:val="en-CA"/>
        </w:rPr>
        <w:t xml:space="preserve"> </w:t>
      </w:r>
      <w:r w:rsidR="00356108">
        <w:rPr>
          <w:lang w:val="en-CA"/>
        </w:rPr>
        <w:t>was specified to perform content conversion from one colour volume to another one. CRI was also identified in 22</w:t>
      </w:r>
      <w:r w:rsidR="00356108" w:rsidRPr="00837ED3">
        <w:rPr>
          <w:vertAlign w:val="superscript"/>
          <w:lang w:val="en-CA"/>
        </w:rPr>
        <w:t>nd</w:t>
      </w:r>
      <w:r w:rsidR="00356108">
        <w:rPr>
          <w:lang w:val="en-CA"/>
        </w:rPr>
        <w:t xml:space="preserve"> and 23</w:t>
      </w:r>
      <w:r w:rsidR="00356108" w:rsidRPr="00837ED3">
        <w:rPr>
          <w:vertAlign w:val="superscript"/>
          <w:lang w:val="en-CA"/>
        </w:rPr>
        <w:t>rd</w:t>
      </w:r>
      <w:r w:rsidR="00356108">
        <w:rPr>
          <w:lang w:val="en-CA"/>
        </w:rPr>
        <w:t xml:space="preserve"> JCT-VC meetings as a possible relevant SEI message to perform dynamic range adaptation (DRA, a.k.a. reshaping) for improving coding efficiency</w:t>
      </w:r>
      <w:r w:rsidR="00356108" w:rsidRPr="00A01B27">
        <w:rPr>
          <w:lang w:val="en-CA"/>
        </w:rPr>
        <w:t xml:space="preserve"> </w:t>
      </w:r>
      <w:r w:rsidR="00356108">
        <w:rPr>
          <w:lang w:val="en-CA"/>
        </w:rPr>
        <w:t>of HDR10 signal</w:t>
      </w:r>
      <w:r>
        <w:rPr>
          <w:lang w:val="en-CA"/>
        </w:rPr>
        <w:t>.</w:t>
      </w:r>
      <w:r w:rsidR="006640B3" w:rsidRPr="006640B3">
        <w:rPr>
          <w:lang w:val="en-CA"/>
        </w:rPr>
        <w:t xml:space="preserve"> </w:t>
      </w:r>
      <w:r w:rsidR="00356108">
        <w:rPr>
          <w:lang w:val="en-CA"/>
        </w:rPr>
        <w:t xml:space="preserve">This contribution provides </w:t>
      </w:r>
      <w:r w:rsidR="00884E88">
        <w:rPr>
          <w:lang w:val="en-CA"/>
        </w:rPr>
        <w:t xml:space="preserve">proposed text </w:t>
      </w:r>
      <w:r w:rsidR="00356108">
        <w:rPr>
          <w:lang w:val="en-CA"/>
        </w:rPr>
        <w:t xml:space="preserve">describing the usage of CRI for DRA, to be inserted in </w:t>
      </w:r>
      <w:r w:rsidR="00356108" w:rsidRPr="006640B3">
        <w:rPr>
          <w:lang w:val="en-CA"/>
        </w:rPr>
        <w:t>Annex A of JCT-VC document untitled “</w:t>
      </w:r>
      <w:r w:rsidR="00356108" w:rsidRPr="006640B3">
        <w:rPr>
          <w:szCs w:val="22"/>
        </w:rPr>
        <w:t>Conversion and Coding Practices for HDR/WCG Video</w:t>
      </w:r>
      <w:r w:rsidR="00356108">
        <w:rPr>
          <w:lang w:val="en-CA"/>
        </w:rPr>
        <w:t>”</w:t>
      </w:r>
      <w:r w:rsidR="00884E88">
        <w:rPr>
          <w:lang w:val="en-CA"/>
        </w:rPr>
        <w:t>.</w:t>
      </w:r>
    </w:p>
    <w:p w14:paraId="03A1C1C3" w14:textId="77777777"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14:paraId="7D232666" w14:textId="72DFBCBB" w:rsidR="00884E88" w:rsidRPr="001A07DC" w:rsidRDefault="00FD2D13" w:rsidP="004234F0">
      <w:pPr>
        <w:jc w:val="both"/>
      </w:pPr>
      <w:r>
        <w:rPr>
          <w:lang w:val="en-CA"/>
        </w:rPr>
        <w:t xml:space="preserve">The </w:t>
      </w:r>
      <w:r w:rsidR="002935CD" w:rsidRPr="006640B3">
        <w:rPr>
          <w:lang w:val="en-CA"/>
        </w:rPr>
        <w:t>C</w:t>
      </w:r>
      <w:r w:rsidR="002935CD">
        <w:rPr>
          <w:lang w:val="en-CA"/>
        </w:rPr>
        <w:t>olour Remapping Information (C</w:t>
      </w:r>
      <w:r w:rsidR="002935CD" w:rsidRPr="006640B3">
        <w:rPr>
          <w:lang w:val="en-CA"/>
        </w:rPr>
        <w:t>RI</w:t>
      </w:r>
      <w:r w:rsidR="002935CD">
        <w:rPr>
          <w:lang w:val="en-CA"/>
        </w:rPr>
        <w:t>) is an SEI message</w:t>
      </w:r>
      <w:r w:rsidR="002935CD" w:rsidRPr="006640B3">
        <w:rPr>
          <w:lang w:val="en-CA"/>
        </w:rPr>
        <w:t xml:space="preserve"> </w:t>
      </w:r>
      <w:r w:rsidR="002935CD">
        <w:rPr>
          <w:lang w:val="en-CA"/>
        </w:rPr>
        <w:t xml:space="preserve">that aims at enabling conversion of a video content from one colour </w:t>
      </w:r>
      <w:r w:rsidR="002935CD" w:rsidRPr="001A07DC">
        <w:rPr>
          <w:lang w:val="en-CA"/>
        </w:rPr>
        <w:t xml:space="preserve">volume to another one. For example, CRI can be used in a post-processing step following the decoding </w:t>
      </w:r>
      <w:r>
        <w:rPr>
          <w:lang w:val="en-CA"/>
        </w:rPr>
        <w:t xml:space="preserve">for display SDR backward compatibility, that is, </w:t>
      </w:r>
      <w:r w:rsidR="002935CD" w:rsidRPr="001A07DC">
        <w:rPr>
          <w:lang w:val="en-CA"/>
        </w:rPr>
        <w:t>to convert a decoded HDR video with BT.2020 primaries and SMPTE ST 2084 transfer function to an SDR video with BT.709 primaries and BT.1886 transfer function (</w:t>
      </w:r>
      <w:hyperlink r:id="rId12" w:history="1">
        <w:r w:rsidR="002935CD" w:rsidRPr="001A07DC">
          <w:rPr>
            <w:rStyle w:val="Hyperlink"/>
          </w:rPr>
          <w:t>JCTVC-Q0074</w:t>
        </w:r>
      </w:hyperlink>
      <w:r w:rsidR="002935CD" w:rsidRPr="001A07DC">
        <w:t>).</w:t>
      </w:r>
      <w:r w:rsidR="00BE5423" w:rsidRPr="001A07DC">
        <w:t xml:space="preserve"> </w:t>
      </w:r>
      <w:r w:rsidR="00884E88" w:rsidRPr="001A07DC">
        <w:t>It</w:t>
      </w:r>
      <w:r w:rsidR="00BE5423" w:rsidRPr="001A07DC">
        <w:t xml:space="preserve"> has also been </w:t>
      </w:r>
      <w:r w:rsidR="00884E88" w:rsidRPr="001A07DC">
        <w:t xml:space="preserve">demonstrated that </w:t>
      </w:r>
      <w:r w:rsidR="00884E88" w:rsidRPr="001A07DC">
        <w:rPr>
          <w:lang w:val="en-CA"/>
        </w:rPr>
        <w:t xml:space="preserve">CRI can be used as a container for </w:t>
      </w:r>
      <w:r w:rsidR="00BE5423" w:rsidRPr="001A07DC">
        <w:t>dynamic range adaptation (DRA, also named reshaping) in order to improve compression efficiency of HDR content (</w:t>
      </w:r>
      <w:hyperlink r:id="rId13" w:history="1">
        <w:r w:rsidR="00BE5423" w:rsidRPr="001A07DC">
          <w:rPr>
            <w:rStyle w:val="Hyperlink"/>
          </w:rPr>
          <w:t>JCTVC-V0064</w:t>
        </w:r>
      </w:hyperlink>
      <w:r w:rsidR="002716DD" w:rsidRPr="001A07DC">
        <w:t xml:space="preserve">, </w:t>
      </w:r>
      <w:r w:rsidR="002716DD" w:rsidRPr="001A07DC">
        <w:rPr>
          <w:rStyle w:val="Hyperlink"/>
        </w:rPr>
        <w:t>JCTVC-X</w:t>
      </w:r>
      <w:r w:rsidR="00500ABB" w:rsidRPr="001A07DC">
        <w:rPr>
          <w:rStyle w:val="Hyperlink"/>
        </w:rPr>
        <w:t>0041</w:t>
      </w:r>
      <w:r w:rsidR="00BE5423" w:rsidRPr="001A07DC">
        <w:t xml:space="preserve">). </w:t>
      </w:r>
    </w:p>
    <w:p w14:paraId="77FE6CE7" w14:textId="0400F879" w:rsidR="00BE5423" w:rsidRDefault="00BE5423" w:rsidP="004234F0">
      <w:pPr>
        <w:jc w:val="both"/>
        <w:rPr>
          <w:lang w:val="en-CA"/>
        </w:rPr>
      </w:pPr>
      <w:r w:rsidRPr="001A07DC">
        <w:rPr>
          <w:lang w:val="en-CA"/>
        </w:rPr>
        <w:t>The contribution proposes text describing the CRI and its possible usage</w:t>
      </w:r>
      <w:r w:rsidR="00D752E9">
        <w:rPr>
          <w:lang w:val="en-CA"/>
        </w:rPr>
        <w:t xml:space="preserve"> for DRA</w:t>
      </w:r>
      <w:r w:rsidR="00884E88" w:rsidRPr="001A07DC">
        <w:rPr>
          <w:lang w:val="en-CA"/>
        </w:rPr>
        <w:t>, to be added in</w:t>
      </w:r>
      <w:r w:rsidRPr="001A07DC">
        <w:rPr>
          <w:lang w:val="en-CA"/>
        </w:rPr>
        <w:t xml:space="preserve"> Annex A of document untitled “</w:t>
      </w:r>
      <w:r w:rsidRPr="001A07DC">
        <w:rPr>
          <w:szCs w:val="22"/>
        </w:rPr>
        <w:t>Conversion and Coding Practices for HDR/WCG Video</w:t>
      </w:r>
      <w:r w:rsidRPr="001A07DC">
        <w:rPr>
          <w:lang w:val="en-CA"/>
        </w:rPr>
        <w:t>”.</w:t>
      </w:r>
    </w:p>
    <w:p w14:paraId="76A4DB51" w14:textId="374E8E2D" w:rsidR="00BE5423" w:rsidRDefault="00884E88" w:rsidP="00BE5423">
      <w:pPr>
        <w:pStyle w:val="Heading1"/>
        <w:rPr>
          <w:lang w:val="en-CA"/>
        </w:rPr>
      </w:pPr>
      <w:r>
        <w:rPr>
          <w:lang w:val="en-CA"/>
        </w:rPr>
        <w:t>Proposed added text to document “</w:t>
      </w:r>
      <w:r w:rsidRPr="00DF65DD">
        <w:rPr>
          <w:szCs w:val="22"/>
        </w:rPr>
        <w:t>Conversion and Coding Practices for HDR/WCG Video</w:t>
      </w:r>
      <w:r>
        <w:rPr>
          <w:lang w:val="en-CA"/>
        </w:rPr>
        <w:t>”, Annex A</w:t>
      </w:r>
    </w:p>
    <w:p w14:paraId="080F1F0E" w14:textId="6B2ABFC6" w:rsidR="00884E88" w:rsidRPr="00DF65DD" w:rsidRDefault="00884E88" w:rsidP="00884E88">
      <w:pPr>
        <w:pStyle w:val="Annex2"/>
        <w:numPr>
          <w:ilvl w:val="1"/>
          <w:numId w:val="12"/>
        </w:numPr>
        <w:rPr>
          <w:lang w:val="en-CA"/>
        </w:rPr>
      </w:pPr>
      <w:r>
        <w:rPr>
          <w:lang w:val="en-CA"/>
        </w:rPr>
        <w:t>Colour Remapping</w:t>
      </w:r>
      <w:r w:rsidRPr="00DF65DD">
        <w:rPr>
          <w:lang w:val="en-CA"/>
        </w:rPr>
        <w:t xml:space="preserve"> information SEI message</w:t>
      </w:r>
      <w:r w:rsidR="00833F51">
        <w:rPr>
          <w:lang w:val="en-CA"/>
        </w:rPr>
        <w:t xml:space="preserve"> for Dynamic Range Adjustment</w:t>
      </w:r>
    </w:p>
    <w:p w14:paraId="4726FEED" w14:textId="77777777" w:rsidR="00884E88" w:rsidRPr="00305177" w:rsidRDefault="00884E88" w:rsidP="00884E88">
      <w:pPr>
        <w:pStyle w:val="Annex2"/>
        <w:numPr>
          <w:ilvl w:val="2"/>
          <w:numId w:val="12"/>
        </w:numPr>
        <w:rPr>
          <w:lang w:val="en-CA"/>
        </w:rPr>
      </w:pPr>
      <w:r w:rsidRPr="00305177">
        <w:rPr>
          <w:lang w:val="en-CA"/>
        </w:rPr>
        <w:t>Context</w:t>
      </w:r>
    </w:p>
    <w:p w14:paraId="3E0EB5B2" w14:textId="3448DC46" w:rsidR="00884E88" w:rsidRDefault="00884E88" w:rsidP="00884E88">
      <w:pPr>
        <w:jc w:val="both"/>
        <w:rPr>
          <w:lang w:val="en-CA"/>
        </w:rPr>
      </w:pPr>
      <w:r>
        <w:t xml:space="preserve">The colour remapping information (CRI) SEI message defined in HEVC conveys information that is used to remap decoded pictures </w:t>
      </w:r>
      <w:r>
        <w:rPr>
          <w:lang w:val="en-CA"/>
        </w:rPr>
        <w:t xml:space="preserve">from one colour volume to another one.  </w:t>
      </w:r>
      <w:r>
        <w:t>The syntax of the CRI</w:t>
      </w:r>
      <w:r w:rsidR="00BC1978">
        <w:t xml:space="preserve"> remapping</w:t>
      </w:r>
      <w:r>
        <w:t xml:space="preserve"> model includes three parts: </w:t>
      </w:r>
      <w:r w:rsidRPr="001233EA">
        <w:t>a first piece-wise linear function applied to each colour component (</w:t>
      </w:r>
      <w:r>
        <w:t>“Pre-LUT”</w:t>
      </w:r>
      <w:r w:rsidRPr="001233EA">
        <w:t>), followed by a three</w:t>
      </w:r>
      <w:r>
        <w:t>-</w:t>
      </w:r>
      <w:r w:rsidRPr="001233EA">
        <w:t>by-three matrix applied to the three resulting colour components, followed by a second piece-wise linear function applied to each resulting colour component (</w:t>
      </w:r>
      <w:r>
        <w:t>“Post-LUT”</w:t>
      </w:r>
      <w:r w:rsidRPr="001233EA">
        <w:t>)</w:t>
      </w:r>
      <w:r>
        <w:t>.</w:t>
      </w:r>
      <w:r w:rsidRPr="000A4E9F">
        <w:rPr>
          <w:lang w:val="en-CA"/>
        </w:rPr>
        <w:t xml:space="preserve"> </w:t>
      </w:r>
      <w:r w:rsidRPr="00277754">
        <w:rPr>
          <w:lang w:val="en-CA"/>
        </w:rPr>
        <w:t xml:space="preserve">Each one of these </w:t>
      </w:r>
      <w:r>
        <w:rPr>
          <w:lang w:val="en-CA"/>
        </w:rPr>
        <w:t>set of data</w:t>
      </w:r>
      <w:r w:rsidRPr="00277754">
        <w:rPr>
          <w:lang w:val="en-CA"/>
        </w:rPr>
        <w:t xml:space="preserve"> is optional (for instance only </w:t>
      </w:r>
      <w:r>
        <w:rPr>
          <w:lang w:val="en-CA"/>
        </w:rPr>
        <w:t>the Pre-</w:t>
      </w:r>
      <w:r w:rsidRPr="00277754">
        <w:rPr>
          <w:lang w:val="en-CA"/>
        </w:rPr>
        <w:t xml:space="preserve">LUTs can apply, leading to the application of only one transfer </w:t>
      </w:r>
      <w:r w:rsidRPr="00277754">
        <w:rPr>
          <w:lang w:val="en-CA"/>
        </w:rPr>
        <w:lastRenderedPageBreak/>
        <w:t xml:space="preserve">function to each </w:t>
      </w:r>
      <w:r>
        <w:rPr>
          <w:lang w:val="en-CA"/>
        </w:rPr>
        <w:t>colour</w:t>
      </w:r>
      <w:r w:rsidRPr="00277754">
        <w:rPr>
          <w:lang w:val="en-CA"/>
        </w:rPr>
        <w:t xml:space="preserve"> component of the input signal).</w:t>
      </w:r>
      <w:r w:rsidRPr="00BF51D6">
        <w:rPr>
          <w:lang w:val="en-CA"/>
        </w:rPr>
        <w:t xml:space="preserve"> </w:t>
      </w:r>
      <w:r>
        <w:rPr>
          <w:lang w:val="en-CA"/>
        </w:rPr>
        <w:t xml:space="preserve">A maximum of 33 pivot points per LUT are coded to specify the </w:t>
      </w:r>
      <w:r w:rsidRPr="001233EA">
        <w:t>piece-wise linear function</w:t>
      </w:r>
      <w:r>
        <w:t>s.</w:t>
      </w:r>
    </w:p>
    <w:p w14:paraId="555D4135" w14:textId="77777777" w:rsidR="00884E88" w:rsidRDefault="00884E88" w:rsidP="00884E88">
      <w:pPr>
        <w:jc w:val="both"/>
      </w:pPr>
      <w:r>
        <w:t>The CRI SEI message also includes a syntax element colour_remap_id, th</w:t>
      </w:r>
      <w:r w:rsidRPr="001233EA">
        <w:t>at may be used to identify the purpose of the colour remapping information.</w:t>
      </w:r>
      <w:r w:rsidRPr="00BF51D6">
        <w:t xml:space="preserve"> </w:t>
      </w:r>
      <w:r>
        <w:t>For instance, colour_remap_id value may be used to indicate that the input of the remapping is the result of a first conversion process, such as conversion to YCbCr or GBR colour representation, or to enable cascading of different</w:t>
      </w:r>
      <w:r w:rsidRPr="001233EA">
        <w:t xml:space="preserve"> </w:t>
      </w:r>
      <w:r>
        <w:t xml:space="preserve">remapping </w:t>
      </w:r>
      <w:r w:rsidRPr="001233EA">
        <w:t>processes</w:t>
      </w:r>
      <w:r>
        <w:t>.</w:t>
      </w:r>
    </w:p>
    <w:p w14:paraId="759B7C65" w14:textId="77777777" w:rsidR="00884E88" w:rsidRPr="00305177" w:rsidRDefault="00884E88" w:rsidP="00884E88">
      <w:pPr>
        <w:pStyle w:val="Annex2"/>
        <w:numPr>
          <w:ilvl w:val="2"/>
          <w:numId w:val="12"/>
        </w:numPr>
        <w:rPr>
          <w:lang w:val="en-CA"/>
        </w:rPr>
      </w:pPr>
      <w:r>
        <w:rPr>
          <w:lang w:val="en-CA"/>
        </w:rPr>
        <w:t>Dynamic range adjustment for HDR/WCG compression</w:t>
      </w:r>
    </w:p>
    <w:p w14:paraId="7FF8470C" w14:textId="473B8E28" w:rsidR="0074718B" w:rsidRDefault="00884E88" w:rsidP="0074718B">
      <w:pPr>
        <w:jc w:val="both"/>
        <w:rPr>
          <w:lang w:eastAsia="ja-JP"/>
        </w:rPr>
      </w:pPr>
      <w:r w:rsidRPr="008D0C03">
        <w:rPr>
          <w:lang w:val="en-CA" w:eastAsia="zh-CN"/>
        </w:rPr>
        <w:t xml:space="preserve">HDR/WCG </w:t>
      </w:r>
      <w:r>
        <w:rPr>
          <w:lang w:val="en-CA" w:eastAsia="zh-CN"/>
        </w:rPr>
        <w:t>video compression can be improved by adjusting</w:t>
      </w:r>
      <w:r w:rsidR="001F3ECF">
        <w:rPr>
          <w:lang w:val="en-CA" w:eastAsia="zh-CN"/>
        </w:rPr>
        <w:t xml:space="preserve"> the</w:t>
      </w:r>
      <w:r w:rsidR="0065430D">
        <w:rPr>
          <w:lang w:val="en-CA" w:eastAsia="zh-CN"/>
        </w:rPr>
        <w:t xml:space="preserve"> distribution of the input code</w:t>
      </w:r>
      <w:r w:rsidR="001F3ECF">
        <w:rPr>
          <w:lang w:val="en-CA" w:eastAsia="zh-CN"/>
        </w:rPr>
        <w:t xml:space="preserve">words of the input encoder samples, using a dynamic range adjustment (DRA, a.k.a. reshaping) approach. </w:t>
      </w:r>
      <w:bookmarkStart w:id="1" w:name="OLE_LINK121"/>
      <w:bookmarkStart w:id="2" w:name="OLE_LINK122"/>
      <w:r w:rsidR="00554B9D">
        <w:t xml:space="preserve">The motivation of </w:t>
      </w:r>
      <w:r w:rsidR="00BD6A02">
        <w:t>reshaping</w:t>
      </w:r>
      <w:r w:rsidR="00554B9D">
        <w:t xml:space="preserve"> is based on the </w:t>
      </w:r>
      <w:r w:rsidR="00AB28B9">
        <w:t xml:space="preserve">observation that an </w:t>
      </w:r>
      <w:r w:rsidR="00854E30">
        <w:t xml:space="preserve">HDR10 signal (YCbCr 10-bit signal </w:t>
      </w:r>
      <w:r w:rsidR="00AB28B9">
        <w:t xml:space="preserve">represented </w:t>
      </w:r>
      <w:r w:rsidR="00854E30">
        <w:t>with ST 2084 transfer function</w:t>
      </w:r>
      <w:r w:rsidR="00AB28B9">
        <w:t xml:space="preserve"> and</w:t>
      </w:r>
      <w:r w:rsidR="00854E30">
        <w:t xml:space="preserve"> in BT.2020 container)</w:t>
      </w:r>
      <w:r w:rsidR="00AB28B9">
        <w:t xml:space="preserve"> does not, in </w:t>
      </w:r>
      <w:r w:rsidR="0065430D">
        <w:t>general, fully exploit the code</w:t>
      </w:r>
      <w:r w:rsidR="00AB28B9">
        <w:t>word range of [0,1023]. T</w:t>
      </w:r>
      <w:r w:rsidR="00554B9D">
        <w:t xml:space="preserve">he ST 2084 transfer function </w:t>
      </w:r>
      <w:r w:rsidR="00854E30">
        <w:t>covers a</w:t>
      </w:r>
      <w:r w:rsidR="00854E30">
        <w:rPr>
          <w:rFonts w:eastAsia="MS Mincho"/>
          <w:szCs w:val="24"/>
        </w:rPr>
        <w:t xml:space="preserve"> linear-light range </w:t>
      </w:r>
      <w:r w:rsidR="00554B9D" w:rsidRPr="00BC0115">
        <w:rPr>
          <w:rFonts w:eastAsia="MS Mincho"/>
          <w:szCs w:val="24"/>
        </w:rPr>
        <w:t>from 0 to 10,000</w:t>
      </w:r>
      <w:r w:rsidR="0074718B">
        <w:rPr>
          <w:rFonts w:eastAsia="MS Mincho"/>
          <w:szCs w:val="24"/>
        </w:rPr>
        <w:t xml:space="preserve"> nits that</w:t>
      </w:r>
      <w:r w:rsidR="00854E30">
        <w:rPr>
          <w:rFonts w:eastAsia="MS Mincho"/>
          <w:szCs w:val="24"/>
        </w:rPr>
        <w:t xml:space="preserve"> </w:t>
      </w:r>
      <w:r w:rsidR="00AB28B9">
        <w:rPr>
          <w:rFonts w:eastAsia="MS Mincho"/>
          <w:szCs w:val="24"/>
        </w:rPr>
        <w:t>can be</w:t>
      </w:r>
      <w:r w:rsidR="00854E30">
        <w:rPr>
          <w:rFonts w:eastAsia="MS Mincho"/>
          <w:szCs w:val="24"/>
        </w:rPr>
        <w:t xml:space="preserve"> much larger than the </w:t>
      </w:r>
      <w:r w:rsidR="00AB28B9">
        <w:rPr>
          <w:rFonts w:eastAsia="MS Mincho"/>
          <w:szCs w:val="24"/>
        </w:rPr>
        <w:t xml:space="preserve">actual </w:t>
      </w:r>
      <w:r w:rsidR="00854E30">
        <w:rPr>
          <w:rFonts w:eastAsia="MS Mincho"/>
          <w:szCs w:val="24"/>
        </w:rPr>
        <w:t>range</w:t>
      </w:r>
      <w:r w:rsidR="00AB28B9">
        <w:rPr>
          <w:rFonts w:eastAsia="MS Mincho"/>
          <w:szCs w:val="24"/>
        </w:rPr>
        <w:t xml:space="preserve"> of the HDR signal. Similarly, the actual colour gamut of the HDR signal can be noticeably lower than the BT.2020 colour gamut. And when the signal is represented in </w:t>
      </w:r>
      <w:r w:rsidR="00892B88">
        <w:rPr>
          <w:rFonts w:eastAsia="MS Mincho"/>
          <w:szCs w:val="24"/>
        </w:rPr>
        <w:t xml:space="preserve">limited </w:t>
      </w:r>
      <w:r w:rsidR="00AB28B9">
        <w:rPr>
          <w:rFonts w:eastAsia="MS Mincho"/>
          <w:szCs w:val="24"/>
        </w:rPr>
        <w:t>range, the foot</w:t>
      </w:r>
      <w:r w:rsidR="00C23AB5">
        <w:rPr>
          <w:rFonts w:eastAsia="MS Mincho"/>
          <w:szCs w:val="24"/>
        </w:rPr>
        <w:t>-</w:t>
      </w:r>
      <w:r w:rsidR="00AB28B9">
        <w:rPr>
          <w:rFonts w:eastAsia="MS Mincho"/>
          <w:szCs w:val="24"/>
        </w:rPr>
        <w:t>room and head</w:t>
      </w:r>
      <w:r w:rsidR="00BD6A02">
        <w:rPr>
          <w:rFonts w:eastAsia="MS Mincho"/>
          <w:szCs w:val="24"/>
        </w:rPr>
        <w:t>-</w:t>
      </w:r>
      <w:r w:rsidR="00AB28B9">
        <w:rPr>
          <w:rFonts w:eastAsia="MS Mincho"/>
          <w:szCs w:val="24"/>
        </w:rPr>
        <w:t>room values are not exploited.</w:t>
      </w:r>
      <w:bookmarkEnd w:id="1"/>
      <w:bookmarkEnd w:id="2"/>
      <w:r w:rsidR="0074718B" w:rsidRPr="0074718B">
        <w:rPr>
          <w:lang w:val="en-CA" w:eastAsia="zh-CN"/>
        </w:rPr>
        <w:t xml:space="preserve"> </w:t>
      </w:r>
      <w:r w:rsidR="0074718B">
        <w:rPr>
          <w:lang w:val="en-CA" w:eastAsia="zh-CN"/>
        </w:rPr>
        <w:t xml:space="preserve">DRA aims at adaptively redistribute the codewords </w:t>
      </w:r>
      <w:r w:rsidR="0074718B">
        <w:rPr>
          <w:lang w:eastAsia="ja-JP"/>
        </w:rPr>
        <w:t>to</w:t>
      </w:r>
      <w:r w:rsidR="0074718B" w:rsidRPr="00E535CE">
        <w:rPr>
          <w:lang w:eastAsia="ja-JP"/>
        </w:rPr>
        <w:t xml:space="preserve"> </w:t>
      </w:r>
      <w:bookmarkStart w:id="3" w:name="OLE_LINK528"/>
      <w:bookmarkStart w:id="4" w:name="OLE_LINK529"/>
      <w:bookmarkStart w:id="5" w:name="OLE_LINK530"/>
      <w:r w:rsidR="00BD6A02">
        <w:rPr>
          <w:lang w:eastAsia="ja-JP"/>
        </w:rPr>
        <w:t xml:space="preserve">reduce the impacts of quantization and therefore to </w:t>
      </w:r>
      <w:r w:rsidR="0074718B">
        <w:rPr>
          <w:lang w:eastAsia="ja-JP"/>
        </w:rPr>
        <w:t xml:space="preserve">get an </w:t>
      </w:r>
      <w:r w:rsidR="0074718B" w:rsidRPr="00E535CE">
        <w:rPr>
          <w:lang w:eastAsia="ja-JP"/>
        </w:rPr>
        <w:t>improve</w:t>
      </w:r>
      <w:r w:rsidR="0074718B">
        <w:rPr>
          <w:lang w:eastAsia="ja-JP"/>
        </w:rPr>
        <w:t>d</w:t>
      </w:r>
      <w:r w:rsidR="0074718B" w:rsidRPr="00E535CE">
        <w:rPr>
          <w:lang w:eastAsia="ja-JP"/>
        </w:rPr>
        <w:t xml:space="preserve"> texture sharpness </w:t>
      </w:r>
      <w:r w:rsidR="0074718B">
        <w:rPr>
          <w:lang w:eastAsia="ja-JP"/>
        </w:rPr>
        <w:t>and color restitution after compression.</w:t>
      </w:r>
    </w:p>
    <w:p w14:paraId="69A0E9C6" w14:textId="18AEB7EA" w:rsidR="00AE2BD2" w:rsidRPr="00AE2BD2" w:rsidRDefault="00AE2BD2" w:rsidP="002756AB">
      <w:pPr>
        <w:pStyle w:val="Annex2"/>
        <w:numPr>
          <w:ilvl w:val="3"/>
          <w:numId w:val="12"/>
        </w:numPr>
        <w:rPr>
          <w:lang w:val="en-CA"/>
        </w:rPr>
      </w:pPr>
      <w:r>
        <w:rPr>
          <w:lang w:val="en-CA"/>
        </w:rPr>
        <w:t>Encoding and decoding processes</w:t>
      </w:r>
    </w:p>
    <w:bookmarkEnd w:id="3"/>
    <w:bookmarkEnd w:id="4"/>
    <w:bookmarkEnd w:id="5"/>
    <w:p w14:paraId="5367DE67" w14:textId="22B245FF" w:rsidR="00BD4E1D" w:rsidRDefault="00BD4E1D" w:rsidP="00833F51">
      <w:pPr>
        <w:jc w:val="both"/>
        <w:rPr>
          <w:lang w:val="en-CA" w:eastAsia="zh-CN"/>
        </w:rPr>
      </w:pPr>
      <w:r>
        <w:rPr>
          <w:lang w:val="en-CA" w:eastAsia="zh-CN"/>
        </w:rPr>
        <w:t xml:space="preserve">The encoding process using DRA is illustrated in </w:t>
      </w:r>
      <w:r>
        <w:rPr>
          <w:lang w:val="en-CA" w:eastAsia="zh-CN"/>
        </w:rPr>
        <w:fldChar w:fldCharType="begin"/>
      </w:r>
      <w:r>
        <w:rPr>
          <w:lang w:val="en-CA" w:eastAsia="zh-CN"/>
        </w:rPr>
        <w:instrText xml:space="preserve"> REF _Ref450647474 \h </w:instrText>
      </w:r>
      <w:r>
        <w:rPr>
          <w:lang w:val="en-CA" w:eastAsia="zh-CN"/>
        </w:rPr>
      </w:r>
      <w:r>
        <w:rPr>
          <w:lang w:val="en-CA" w:eastAsia="zh-CN"/>
        </w:rPr>
        <w:fldChar w:fldCharType="separate"/>
      </w:r>
      <w:r w:rsidR="008443FA" w:rsidRPr="006F4038">
        <w:t xml:space="preserve">Figure </w:t>
      </w:r>
      <w:r w:rsidR="008443FA">
        <w:rPr>
          <w:noProof/>
        </w:rPr>
        <w:t>1</w:t>
      </w:r>
      <w:r>
        <w:rPr>
          <w:lang w:val="en-CA" w:eastAsia="zh-CN"/>
        </w:rPr>
        <w:fldChar w:fldCharType="end"/>
      </w:r>
      <w:r>
        <w:rPr>
          <w:lang w:val="en-CA" w:eastAsia="zh-CN"/>
        </w:rPr>
        <w:t xml:space="preserve">. </w:t>
      </w:r>
      <w:r w:rsidR="00AA0F64">
        <w:rPr>
          <w:lang w:val="en-CA" w:eastAsia="zh-CN"/>
        </w:rPr>
        <w:t>DRA typically applies three transfer functions to the Y, Cb, and Cr components of the input HDR10 signal</w:t>
      </w:r>
      <w:r>
        <w:rPr>
          <w:lang w:val="en-CA" w:eastAsia="zh-CN"/>
        </w:rPr>
        <w:t xml:space="preserve"> </w:t>
      </w:r>
      <w:r w:rsidR="00AA0F64">
        <w:rPr>
          <w:lang w:val="en-CA" w:eastAsia="zh-CN"/>
        </w:rPr>
        <w:t xml:space="preserve">resulting in </w:t>
      </w:r>
      <w:r w:rsidR="00DB59BF">
        <w:rPr>
          <w:lang w:val="en-CA" w:eastAsia="zh-CN"/>
        </w:rPr>
        <w:t>a full range</w:t>
      </w:r>
      <w:r w:rsidR="00AA0F64">
        <w:rPr>
          <w:lang w:val="en-CA" w:eastAsia="zh-CN"/>
        </w:rPr>
        <w:t xml:space="preserve"> reshaped signal</w:t>
      </w:r>
      <w:r>
        <w:rPr>
          <w:lang w:val="en-CA" w:eastAsia="zh-CN"/>
        </w:rPr>
        <w:t>. These functions are derived from the analysis of the signal properties and aim at better distributing the code values. The reshaped signal is then</w:t>
      </w:r>
      <w:r w:rsidR="00AA0F64">
        <w:rPr>
          <w:lang w:val="en-CA" w:eastAsia="zh-CN"/>
        </w:rPr>
        <w:t xml:space="preserve"> encoded, using an HEVC Main10 compliant encoder.</w:t>
      </w:r>
      <w:r w:rsidR="00396250" w:rsidRPr="00396250">
        <w:rPr>
          <w:lang w:val="en-CA"/>
        </w:rPr>
        <w:t xml:space="preserve"> </w:t>
      </w:r>
      <w:r w:rsidR="00396250">
        <w:rPr>
          <w:lang w:val="en-CA"/>
        </w:rPr>
        <w:t xml:space="preserve">The </w:t>
      </w:r>
      <w:r w:rsidR="00FE0691">
        <w:rPr>
          <w:lang w:val="en-CA"/>
        </w:rPr>
        <w:t xml:space="preserve">reshaping </w:t>
      </w:r>
      <w:r w:rsidR="00396250">
        <w:rPr>
          <w:lang w:val="en-CA"/>
        </w:rPr>
        <w:t>functions are typically implemented in the shape of 1D look-up-tables (</w:t>
      </w:r>
      <w:r w:rsidR="00396250" w:rsidRPr="00842C84">
        <w:rPr>
          <w:i/>
          <w:lang w:val="en-CA"/>
        </w:rPr>
        <w:t>LUT</w:t>
      </w:r>
      <w:r w:rsidR="00396250" w:rsidRPr="00842C84">
        <w:rPr>
          <w:i/>
          <w:vertAlign w:val="subscript"/>
          <w:lang w:val="en-CA"/>
        </w:rPr>
        <w:t>DRAk</w:t>
      </w:r>
      <w:r w:rsidR="00396250">
        <w:rPr>
          <w:lang w:val="en-CA"/>
        </w:rPr>
        <w:t xml:space="preserve">, for </w:t>
      </w:r>
      <w:r w:rsidR="00396250" w:rsidRPr="0015342F">
        <w:rPr>
          <w:i/>
          <w:lang w:val="en-CA"/>
        </w:rPr>
        <w:t>k</w:t>
      </w:r>
      <w:r w:rsidR="00396250">
        <w:rPr>
          <w:lang w:val="en-CA"/>
        </w:rPr>
        <w:t>=0, 1, 2), that directly apply to the HDR10 Y, Cb and Cr components.</w:t>
      </w:r>
    </w:p>
    <w:p w14:paraId="37A0B7E8" w14:textId="785703B1" w:rsidR="00833F51" w:rsidRDefault="00BD4E1D" w:rsidP="00833F51">
      <w:pPr>
        <w:jc w:val="both"/>
        <w:rPr>
          <w:lang w:val="en-CA"/>
        </w:rPr>
      </w:pPr>
      <w:r>
        <w:rPr>
          <w:lang w:val="en-CA" w:eastAsia="zh-CN"/>
        </w:rPr>
        <w:t xml:space="preserve">The decoding process including the inverse DRA process is illustrated in </w:t>
      </w:r>
      <w:r>
        <w:rPr>
          <w:lang w:val="en-CA" w:eastAsia="zh-CN"/>
        </w:rPr>
        <w:fldChar w:fldCharType="begin"/>
      </w:r>
      <w:r>
        <w:rPr>
          <w:lang w:val="en-CA" w:eastAsia="zh-CN"/>
        </w:rPr>
        <w:instrText xml:space="preserve"> REF _Ref450843249 \h </w:instrText>
      </w:r>
      <w:r>
        <w:rPr>
          <w:lang w:val="en-CA" w:eastAsia="zh-CN"/>
        </w:rPr>
      </w:r>
      <w:r>
        <w:rPr>
          <w:lang w:val="en-CA" w:eastAsia="zh-CN"/>
        </w:rPr>
        <w:fldChar w:fldCharType="separate"/>
      </w:r>
      <w:r w:rsidR="008443FA" w:rsidRPr="006F4038">
        <w:t xml:space="preserve">Figure </w:t>
      </w:r>
      <w:r w:rsidR="008443FA">
        <w:rPr>
          <w:noProof/>
        </w:rPr>
        <w:t>2</w:t>
      </w:r>
      <w:r>
        <w:rPr>
          <w:lang w:val="en-CA" w:eastAsia="zh-CN"/>
        </w:rPr>
        <w:fldChar w:fldCharType="end"/>
      </w:r>
      <w:r w:rsidR="00AA0F64">
        <w:rPr>
          <w:lang w:val="en-CA" w:eastAsia="zh-CN"/>
        </w:rPr>
        <w:t xml:space="preserve"> </w:t>
      </w:r>
      <w:r>
        <w:rPr>
          <w:lang w:val="en-CA" w:eastAsia="zh-CN"/>
        </w:rPr>
        <w:t xml:space="preserve"> </w:t>
      </w:r>
      <w:r w:rsidR="00AA0F64">
        <w:rPr>
          <w:lang w:val="en-CA" w:eastAsia="zh-CN"/>
        </w:rPr>
        <w:t xml:space="preserve">After </w:t>
      </w:r>
      <w:r>
        <w:rPr>
          <w:lang w:val="en-CA" w:eastAsia="zh-CN"/>
        </w:rPr>
        <w:t xml:space="preserve">HEVC Main 10-compliant </w:t>
      </w:r>
      <w:r w:rsidR="00AA0F64">
        <w:rPr>
          <w:lang w:val="en-CA" w:eastAsia="zh-CN"/>
        </w:rPr>
        <w:t>decoding, the decoded signal is post-processed to generate the HDR10 signal using the inverse DRA transfer functions</w:t>
      </w:r>
      <w:r>
        <w:rPr>
          <w:lang w:val="en-CA" w:eastAsia="zh-CN"/>
        </w:rPr>
        <w:t xml:space="preserve">. These functions are coded </w:t>
      </w:r>
      <w:r>
        <w:rPr>
          <w:lang w:val="en-CA"/>
        </w:rPr>
        <w:t>using the three Pre-LUTs</w:t>
      </w:r>
      <w:r>
        <w:rPr>
          <w:lang w:val="en-CA" w:eastAsia="zh-CN"/>
        </w:rPr>
        <w:t xml:space="preserve"> of a</w:t>
      </w:r>
      <w:r w:rsidR="00884E88">
        <w:rPr>
          <w:lang w:val="en-CA" w:eastAsia="zh-CN"/>
        </w:rPr>
        <w:t xml:space="preserve"> CRI SEI message</w:t>
      </w:r>
      <w:r w:rsidR="00884E88" w:rsidRPr="008D0C03">
        <w:rPr>
          <w:lang w:val="en-CA" w:eastAsia="zh-CN"/>
        </w:rPr>
        <w:t xml:space="preserve">. </w:t>
      </w:r>
      <w:r w:rsidR="00833F51">
        <w:rPr>
          <w:lang w:val="en-CA"/>
        </w:rPr>
        <w:t xml:space="preserve">The </w:t>
      </w:r>
      <w:r w:rsidR="00833F51" w:rsidRPr="009E0188">
        <w:rPr>
          <w:lang w:val="en-CA"/>
        </w:rPr>
        <w:t xml:space="preserve">three-by-three </w:t>
      </w:r>
      <w:r w:rsidR="00833F51">
        <w:rPr>
          <w:lang w:val="en-CA"/>
        </w:rPr>
        <w:t>matrix and the Post</w:t>
      </w:r>
      <w:r w:rsidR="00C23AB5">
        <w:rPr>
          <w:lang w:val="en-CA"/>
        </w:rPr>
        <w:t>-</w:t>
      </w:r>
      <w:r w:rsidR="00833F51">
        <w:rPr>
          <w:lang w:val="en-CA"/>
        </w:rPr>
        <w:t>LUTs are not activated. Therefore the conversion process can directly apply to 4:2:0 signal, without any chroma subsampling.</w:t>
      </w:r>
    </w:p>
    <w:p w14:paraId="4F1CE0C7" w14:textId="12B8637F" w:rsidR="00AE2BD2" w:rsidRPr="004153E3" w:rsidRDefault="000352CB" w:rsidP="00AE2BD2">
      <w:pPr>
        <w:spacing w:after="120"/>
        <w:jc w:val="center"/>
      </w:pPr>
      <w:r>
        <w:rPr>
          <w:szCs w:val="22"/>
          <w:lang w:val="en-CA"/>
        </w:rPr>
        <w:object w:dxaOrig="11683" w:dyaOrig="1941" w14:anchorId="3CFE13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62.05pt;height:78.25pt" o:ole="">
            <v:imagedata r:id="rId14" o:title=""/>
          </v:shape>
          <o:OLEObject Type="Embed" ProgID="Visio.Drawing.11" ShapeID="_x0000_i1026" DrawAspect="Content" ObjectID="_1525025830" r:id="rId15"/>
        </w:object>
      </w:r>
    </w:p>
    <w:p w14:paraId="21E80E15" w14:textId="77777777" w:rsidR="00AE2BD2" w:rsidRDefault="00AE2BD2" w:rsidP="00AE2BD2">
      <w:pPr>
        <w:pStyle w:val="Caption"/>
      </w:pPr>
      <w:bookmarkStart w:id="6" w:name="_Ref450647474"/>
      <w:r w:rsidRPr="006F4038">
        <w:t xml:space="preserve">Figure </w:t>
      </w:r>
      <w:r w:rsidR="008443FA">
        <w:fldChar w:fldCharType="begin"/>
      </w:r>
      <w:r w:rsidR="008443FA">
        <w:instrText xml:space="preserve"> SEQ Figure \* ARABIC </w:instrText>
      </w:r>
      <w:r w:rsidR="008443FA">
        <w:fldChar w:fldCharType="separate"/>
      </w:r>
      <w:r w:rsidR="008443FA">
        <w:rPr>
          <w:noProof/>
        </w:rPr>
        <w:t>1</w:t>
      </w:r>
      <w:r w:rsidR="008443FA">
        <w:rPr>
          <w:noProof/>
        </w:rPr>
        <w:fldChar w:fldCharType="end"/>
      </w:r>
      <w:bookmarkEnd w:id="6"/>
      <w:r w:rsidRPr="006F4038">
        <w:t>.</w:t>
      </w:r>
      <w:r w:rsidRPr="009A1A29">
        <w:t xml:space="preserve"> </w:t>
      </w:r>
      <w:r>
        <w:t>P</w:t>
      </w:r>
      <w:r w:rsidRPr="009A1A29">
        <w:t xml:space="preserve">re-processing </w:t>
      </w:r>
      <w:r>
        <w:t>synoptic using CRI for DRA</w:t>
      </w:r>
      <w:r w:rsidRPr="009A1A29">
        <w:t>.</w:t>
      </w:r>
    </w:p>
    <w:p w14:paraId="5E7102A9" w14:textId="77777777" w:rsidR="00AE2BD2" w:rsidRPr="0038562A" w:rsidRDefault="00AE2BD2" w:rsidP="00AE2BD2"/>
    <w:p w14:paraId="307FEEBA" w14:textId="781FC4B5" w:rsidR="00AE2BD2" w:rsidRDefault="00FE0691" w:rsidP="00AE2BD2">
      <w:pPr>
        <w:jc w:val="center"/>
        <w:rPr>
          <w:szCs w:val="22"/>
          <w:lang w:val="en-CA"/>
        </w:rPr>
      </w:pPr>
      <w:r>
        <w:rPr>
          <w:szCs w:val="22"/>
          <w:lang w:val="en-CA"/>
        </w:rPr>
        <w:object w:dxaOrig="8470" w:dyaOrig="1743" w14:anchorId="7A37F0C6">
          <v:shape id="_x0000_i1025" type="#_x0000_t75" style="width:335.6pt;height:69.5pt" o:ole="">
            <v:imagedata r:id="rId16" o:title=""/>
          </v:shape>
          <o:OLEObject Type="Embed" ProgID="Visio.Drawing.11" ShapeID="_x0000_i1025" DrawAspect="Content" ObjectID="_1525025831" r:id="rId17"/>
        </w:object>
      </w:r>
    </w:p>
    <w:p w14:paraId="36F62D89" w14:textId="77777777" w:rsidR="00AE2BD2" w:rsidRPr="00CF3712" w:rsidRDefault="00AE2BD2" w:rsidP="00AE2BD2">
      <w:pPr>
        <w:pStyle w:val="Caption"/>
      </w:pPr>
      <w:bookmarkStart w:id="7" w:name="_Ref450843249"/>
      <w:r w:rsidRPr="006F4038">
        <w:t xml:space="preserve">Figure </w:t>
      </w:r>
      <w:r w:rsidR="008443FA">
        <w:fldChar w:fldCharType="begin"/>
      </w:r>
      <w:r w:rsidR="008443FA">
        <w:instrText xml:space="preserve"> SEQ Figure \* ARABIC </w:instrText>
      </w:r>
      <w:r w:rsidR="008443FA">
        <w:fldChar w:fldCharType="separate"/>
      </w:r>
      <w:r w:rsidR="008443FA">
        <w:rPr>
          <w:noProof/>
        </w:rPr>
        <w:t>2</w:t>
      </w:r>
      <w:r w:rsidR="008443FA">
        <w:rPr>
          <w:noProof/>
        </w:rPr>
        <w:fldChar w:fldCharType="end"/>
      </w:r>
      <w:bookmarkEnd w:id="7"/>
      <w:r w:rsidRPr="006F4038">
        <w:t>.</w:t>
      </w:r>
      <w:r w:rsidRPr="009A1A29">
        <w:t xml:space="preserve"> </w:t>
      </w:r>
      <w:r>
        <w:t>Post</w:t>
      </w:r>
      <w:r w:rsidRPr="009A1A29">
        <w:t xml:space="preserve">-processing </w:t>
      </w:r>
      <w:r>
        <w:t>synoptic using CRI for DRA</w:t>
      </w:r>
      <w:r w:rsidRPr="009A1A29">
        <w:t>.</w:t>
      </w:r>
    </w:p>
    <w:p w14:paraId="6513737E" w14:textId="77777777" w:rsidR="00AE2BD2" w:rsidRDefault="00AE2BD2" w:rsidP="00833F51">
      <w:pPr>
        <w:jc w:val="both"/>
      </w:pPr>
    </w:p>
    <w:p w14:paraId="66373059" w14:textId="77777777" w:rsidR="00201A63" w:rsidRPr="001D5521" w:rsidRDefault="00201A63" w:rsidP="002756AB">
      <w:pPr>
        <w:pStyle w:val="Annex2"/>
        <w:numPr>
          <w:ilvl w:val="3"/>
          <w:numId w:val="12"/>
        </w:numPr>
        <w:rPr>
          <w:lang w:val="en-CA"/>
        </w:rPr>
      </w:pPr>
      <w:r w:rsidRPr="001D5521">
        <w:rPr>
          <w:lang w:val="en-CA"/>
        </w:rPr>
        <w:lastRenderedPageBreak/>
        <w:t>Derivation of the reshaping parameters</w:t>
      </w:r>
    </w:p>
    <w:p w14:paraId="55868315" w14:textId="77777777" w:rsidR="002756AB" w:rsidRDefault="00892B88" w:rsidP="001A07DC">
      <w:r>
        <w:t>An illustrative</w:t>
      </w:r>
      <w:r w:rsidRPr="001D5521">
        <w:t xml:space="preserve"> </w:t>
      </w:r>
      <w:r w:rsidR="0000320D" w:rsidRPr="001D5521">
        <w:t xml:space="preserve">process of </w:t>
      </w:r>
      <w:r w:rsidR="001A07DC" w:rsidRPr="001D5521">
        <w:t xml:space="preserve">DRA/reshaping parameters </w:t>
      </w:r>
      <w:r w:rsidR="0000320D" w:rsidRPr="001D5521">
        <w:t xml:space="preserve">derivation for purpose of HDR/WCG compression efficiency improvement is described in </w:t>
      </w:r>
      <w:r w:rsidR="001D5521" w:rsidRPr="001D5521">
        <w:t>JCTVC documents</w:t>
      </w:r>
      <w:r w:rsidR="00FA2FED">
        <w:t xml:space="preserve"> </w:t>
      </w:r>
      <w:hyperlink r:id="rId18" w:history="1">
        <w:r w:rsidR="00FA2FED">
          <w:rPr>
            <w:rStyle w:val="Hyperlink"/>
          </w:rPr>
          <w:t>JCTVC-W0031</w:t>
        </w:r>
      </w:hyperlink>
      <w:r w:rsidR="001D5521" w:rsidRPr="001D5521">
        <w:t xml:space="preserve"> </w:t>
      </w:r>
      <w:r w:rsidR="00FA2FED">
        <w:t xml:space="preserve">and </w:t>
      </w:r>
      <w:hyperlink r:id="rId19" w:history="1">
        <w:r w:rsidR="00FA2FED">
          <w:rPr>
            <w:rStyle w:val="Hyperlink"/>
          </w:rPr>
          <w:t>JCTVC-W0084</w:t>
        </w:r>
      </w:hyperlink>
      <w:r w:rsidR="00FA2FED">
        <w:t xml:space="preserve"> </w:t>
      </w:r>
      <w:r w:rsidR="001D5521" w:rsidRPr="001D5521">
        <w:t>[1], [2].</w:t>
      </w:r>
      <w:r w:rsidR="00AC06E7">
        <w:t xml:space="preserve"> </w:t>
      </w:r>
    </w:p>
    <w:p w14:paraId="070692C2" w14:textId="245F9E90" w:rsidR="001A07DC" w:rsidRDefault="001A07DC" w:rsidP="001A07DC">
      <w:r>
        <w:t>The steps for generating the DRA functions applied in the pre-processing are summarized as follows:</w:t>
      </w:r>
    </w:p>
    <w:p w14:paraId="2238C05F" w14:textId="6DDCDBB5" w:rsidR="001A07DC" w:rsidRDefault="001A07DC" w:rsidP="00AA4BCA">
      <w:pPr>
        <w:pStyle w:val="ListParagraph"/>
        <w:numPr>
          <w:ilvl w:val="0"/>
          <w:numId w:val="21"/>
        </w:numPr>
      </w:pPr>
      <w:r>
        <w:t xml:space="preserve">Derivation of the </w:t>
      </w:r>
      <w:r w:rsidR="00AA4BCA">
        <w:t xml:space="preserve">forward </w:t>
      </w:r>
      <w:r>
        <w:t xml:space="preserve">DRA functions </w:t>
      </w:r>
      <w:r w:rsidRPr="001A07DC">
        <w:rPr>
          <w:i/>
        </w:rPr>
        <w:t>f</w:t>
      </w:r>
      <w:r w:rsidRPr="001A07DC">
        <w:rPr>
          <w:i/>
          <w:vertAlign w:val="subscript"/>
        </w:rPr>
        <w:t>DRAc</w:t>
      </w:r>
      <w:r>
        <w:t xml:space="preserve">, for </w:t>
      </w:r>
      <w:r w:rsidRPr="001A07DC">
        <w:rPr>
          <w:i/>
        </w:rPr>
        <w:t>c</w:t>
      </w:r>
      <w:r>
        <w:t>=0 (for luma), 1,2 (for chroma);</w:t>
      </w:r>
    </w:p>
    <w:p w14:paraId="7638B036" w14:textId="4B1ECA83" w:rsidR="001A07DC" w:rsidRDefault="001A07DC" w:rsidP="00AA4BCA">
      <w:pPr>
        <w:pStyle w:val="ListParagraph"/>
        <w:numPr>
          <w:ilvl w:val="0"/>
          <w:numId w:val="21"/>
        </w:numPr>
      </w:pPr>
      <w:r>
        <w:t xml:space="preserve">Derivation of the inverse reshaping functions </w:t>
      </w:r>
      <w:r w:rsidRPr="001A07DC">
        <w:rPr>
          <w:i/>
        </w:rPr>
        <w:t>invf</w:t>
      </w:r>
      <w:r w:rsidRPr="001A07DC">
        <w:rPr>
          <w:i/>
          <w:vertAlign w:val="subscript"/>
        </w:rPr>
        <w:t>DRAc</w:t>
      </w:r>
      <w:r>
        <w:t>, for c=0,1,2;</w:t>
      </w:r>
    </w:p>
    <w:p w14:paraId="77CCEE31" w14:textId="4EF7DB4F" w:rsidR="001A07DC" w:rsidRDefault="001A07DC" w:rsidP="00AA4BCA">
      <w:pPr>
        <w:pStyle w:val="ListParagraph"/>
        <w:numPr>
          <w:ilvl w:val="0"/>
          <w:numId w:val="21"/>
        </w:numPr>
      </w:pPr>
      <w:r>
        <w:t xml:space="preserve">Modeling of the inverse reshaping functions </w:t>
      </w:r>
      <w:r w:rsidRPr="001A07DC">
        <w:rPr>
          <w:i/>
        </w:rPr>
        <w:t>invf</w:t>
      </w:r>
      <w:r w:rsidRPr="00EC486E">
        <w:rPr>
          <w:i/>
          <w:vertAlign w:val="subscript"/>
        </w:rPr>
        <w:t>DRAc</w:t>
      </w:r>
      <w:r>
        <w:t xml:space="preserve">, for c=0,1,2 by </w:t>
      </w:r>
      <w:r w:rsidR="00583820">
        <w:t>PWL</w:t>
      </w:r>
      <w:r>
        <w:t xml:space="preserve"> models</w:t>
      </w:r>
      <w:r w:rsidR="00583820">
        <w:t xml:space="preserve"> </w:t>
      </w:r>
      <w:r w:rsidR="00583820" w:rsidRPr="00583820">
        <w:rPr>
          <w:i/>
        </w:rPr>
        <w:t>Pre-LUT</w:t>
      </w:r>
      <w:r w:rsidR="00583820" w:rsidRPr="00583820">
        <w:rPr>
          <w:i/>
          <w:vertAlign w:val="subscript"/>
        </w:rPr>
        <w:t>c</w:t>
      </w:r>
      <w:r>
        <w:t>,</w:t>
      </w:r>
      <w:r w:rsidR="000352CB">
        <w:t xml:space="preserve"> and generation of correspond</w:t>
      </w:r>
      <w:r w:rsidR="00583820">
        <w:t>ing</w:t>
      </w:r>
      <w:r w:rsidR="000352CB">
        <w:t xml:space="preserve"> look-up-tables</w:t>
      </w:r>
      <w:r>
        <w:t xml:space="preserve"> </w:t>
      </w:r>
      <w:r w:rsidR="00B87EB5">
        <w:rPr>
          <w:i/>
        </w:rPr>
        <w:t>L</w:t>
      </w:r>
      <w:r w:rsidR="00B87EB5" w:rsidRPr="00EC486E">
        <w:rPr>
          <w:i/>
        </w:rPr>
        <w:t>UT</w:t>
      </w:r>
      <w:r w:rsidR="00B87EB5">
        <w:rPr>
          <w:i/>
          <w:vertAlign w:val="subscript"/>
        </w:rPr>
        <w:t>DRAc</w:t>
      </w:r>
      <w:r>
        <w:t>, with proper range management</w:t>
      </w:r>
      <w:r w:rsidR="00AA4BCA">
        <w:t>;</w:t>
      </w:r>
    </w:p>
    <w:p w14:paraId="0BDAC145" w14:textId="56C7CA8B" w:rsidR="001A07DC" w:rsidRDefault="001A07DC" w:rsidP="00AA4BCA">
      <w:pPr>
        <w:pStyle w:val="ListParagraph"/>
        <w:numPr>
          <w:ilvl w:val="0"/>
          <w:numId w:val="21"/>
        </w:numPr>
      </w:pPr>
      <w:r>
        <w:t xml:space="preserve">Derivation of the inverse </w:t>
      </w:r>
      <w:r w:rsidR="00B87EB5">
        <w:t>LUTs</w:t>
      </w:r>
      <w:r>
        <w:t xml:space="preserve"> </w:t>
      </w:r>
      <w:r w:rsidR="00B87EB5">
        <w:rPr>
          <w:i/>
        </w:rPr>
        <w:t>invLUT</w:t>
      </w:r>
      <w:r w:rsidRPr="001A07DC">
        <w:rPr>
          <w:i/>
          <w:vertAlign w:val="subscript"/>
        </w:rPr>
        <w:t>DRAc</w:t>
      </w:r>
      <w:r>
        <w:t xml:space="preserve"> derived from </w:t>
      </w:r>
      <w:r w:rsidR="00227232">
        <w:rPr>
          <w:i/>
        </w:rPr>
        <w:t>L</w:t>
      </w:r>
      <w:r w:rsidRPr="00EC486E">
        <w:rPr>
          <w:i/>
        </w:rPr>
        <w:t>UT</w:t>
      </w:r>
      <w:r w:rsidR="00B87EB5">
        <w:rPr>
          <w:i/>
          <w:vertAlign w:val="subscript"/>
        </w:rPr>
        <w:t>DRAc</w:t>
      </w:r>
      <w:r>
        <w:t>, for c=0,1,2</w:t>
      </w:r>
      <w:r w:rsidR="00AA4BCA">
        <w:t>;</w:t>
      </w:r>
    </w:p>
    <w:p w14:paraId="62352418" w14:textId="7E68FE62" w:rsidR="001A07DC" w:rsidRDefault="001A07DC" w:rsidP="00AA4BCA">
      <w:pPr>
        <w:pStyle w:val="ListParagraph"/>
        <w:numPr>
          <w:ilvl w:val="0"/>
          <w:numId w:val="21"/>
        </w:numPr>
      </w:pPr>
      <w:r>
        <w:t xml:space="preserve">Reshaping using the </w:t>
      </w:r>
      <w:r w:rsidR="00AA4BCA">
        <w:t xml:space="preserve">forward DRA </w:t>
      </w:r>
      <w:r w:rsidR="00B87EB5">
        <w:t>LUTs</w:t>
      </w:r>
      <w:r>
        <w:t xml:space="preserve"> </w:t>
      </w:r>
      <w:r w:rsidR="00B87EB5">
        <w:rPr>
          <w:i/>
        </w:rPr>
        <w:t>invLUT</w:t>
      </w:r>
      <w:r w:rsidR="00B87EB5" w:rsidRPr="001A07DC">
        <w:rPr>
          <w:i/>
          <w:vertAlign w:val="subscript"/>
        </w:rPr>
        <w:t>DRAc</w:t>
      </w:r>
      <w:r>
        <w:t>, for c=0,1,2</w:t>
      </w:r>
      <w:r w:rsidR="00AA4BCA">
        <w:t>;</w:t>
      </w:r>
    </w:p>
    <w:p w14:paraId="2BB6971E" w14:textId="2F11E3C9" w:rsidR="001A07DC" w:rsidRDefault="001A07DC" w:rsidP="00AA4BCA">
      <w:pPr>
        <w:pStyle w:val="ListParagraph"/>
        <w:numPr>
          <w:ilvl w:val="0"/>
          <w:numId w:val="21"/>
        </w:numPr>
      </w:pPr>
      <w:r>
        <w:t xml:space="preserve">Coding of the </w:t>
      </w:r>
      <w:r w:rsidR="00583820">
        <w:t>PWL</w:t>
      </w:r>
      <w:r>
        <w:t xml:space="preserve"> models of </w:t>
      </w:r>
      <w:r w:rsidR="00583820" w:rsidRPr="00583820">
        <w:rPr>
          <w:i/>
        </w:rPr>
        <w:t>Pre-LUT</w:t>
      </w:r>
      <w:r w:rsidR="00583820" w:rsidRPr="00583820">
        <w:rPr>
          <w:i/>
          <w:vertAlign w:val="subscript"/>
        </w:rPr>
        <w:t>c</w:t>
      </w:r>
      <w:r>
        <w:t>, for c=0,1,2</w:t>
      </w:r>
      <w:r w:rsidR="00AA4BCA">
        <w:t>.</w:t>
      </w:r>
    </w:p>
    <w:p w14:paraId="3916688C" w14:textId="77777777" w:rsidR="00374E0B" w:rsidRDefault="00374E0B" w:rsidP="001A07DC"/>
    <w:p w14:paraId="4BF62FFD" w14:textId="77777777" w:rsidR="001A07DC" w:rsidRDefault="001A07DC" w:rsidP="001A07DC">
      <w:r>
        <w:t>In the post-processing, the steps are summarized as follows:</w:t>
      </w:r>
    </w:p>
    <w:p w14:paraId="3E9BD134" w14:textId="7D970B9C" w:rsidR="001A07DC" w:rsidRDefault="00227232" w:rsidP="00AA4BCA">
      <w:pPr>
        <w:pStyle w:val="ListParagraph"/>
        <w:numPr>
          <w:ilvl w:val="0"/>
          <w:numId w:val="21"/>
        </w:numPr>
      </w:pPr>
      <w:r>
        <w:t>D</w:t>
      </w:r>
      <w:r w:rsidR="001A07DC">
        <w:t xml:space="preserve">ecoding of the </w:t>
      </w:r>
      <w:r w:rsidR="00583820">
        <w:t>PWL</w:t>
      </w:r>
      <w:r w:rsidR="001A07DC">
        <w:t xml:space="preserve"> models</w:t>
      </w:r>
      <w:r w:rsidR="00583820" w:rsidRPr="00583820">
        <w:rPr>
          <w:i/>
        </w:rPr>
        <w:t xml:space="preserve"> </w:t>
      </w:r>
      <w:r w:rsidR="00583820" w:rsidRPr="00583820">
        <w:rPr>
          <w:i/>
        </w:rPr>
        <w:t>Pre-LUT</w:t>
      </w:r>
      <w:r w:rsidR="00583820" w:rsidRPr="00583820">
        <w:rPr>
          <w:i/>
          <w:vertAlign w:val="subscript"/>
        </w:rPr>
        <w:t>c</w:t>
      </w:r>
      <w:r w:rsidR="001A07DC">
        <w:t xml:space="preserve">, and generation of </w:t>
      </w:r>
      <w:r w:rsidR="00583820">
        <w:t xml:space="preserve">corresponding look-up-tables </w:t>
      </w:r>
      <w:r w:rsidR="00583820">
        <w:rPr>
          <w:i/>
        </w:rPr>
        <w:t>L</w:t>
      </w:r>
      <w:r w:rsidR="00583820" w:rsidRPr="00EC486E">
        <w:rPr>
          <w:i/>
        </w:rPr>
        <w:t>UT</w:t>
      </w:r>
      <w:r w:rsidR="00583820" w:rsidRPr="00EC486E">
        <w:rPr>
          <w:i/>
          <w:vertAlign w:val="subscript"/>
        </w:rPr>
        <w:t>c</w:t>
      </w:r>
      <w:r w:rsidR="001A07DC">
        <w:t>, for c=0,1,2</w:t>
      </w:r>
      <w:r w:rsidR="00AA4BCA">
        <w:t>;</w:t>
      </w:r>
    </w:p>
    <w:p w14:paraId="01509272" w14:textId="339F0601" w:rsidR="008443FA" w:rsidRDefault="00227232" w:rsidP="00AA4BCA">
      <w:pPr>
        <w:pStyle w:val="ListParagraph"/>
        <w:numPr>
          <w:ilvl w:val="0"/>
          <w:numId w:val="21"/>
        </w:numPr>
      </w:pPr>
      <w:r>
        <w:t>I</w:t>
      </w:r>
      <w:r w:rsidR="001A07DC">
        <w:t xml:space="preserve">nverse </w:t>
      </w:r>
      <w:r w:rsidR="00374E0B">
        <w:t>DRA</w:t>
      </w:r>
      <w:r w:rsidR="001A07DC">
        <w:t xml:space="preserve"> by application of the </w:t>
      </w:r>
      <w:r>
        <w:t xml:space="preserve">CRI </w:t>
      </w:r>
      <w:r>
        <w:rPr>
          <w:i/>
        </w:rPr>
        <w:t>Pre-L</w:t>
      </w:r>
      <w:r w:rsidRPr="00EC486E">
        <w:rPr>
          <w:i/>
        </w:rPr>
        <w:t>UT</w:t>
      </w:r>
      <w:r w:rsidRPr="00EC486E">
        <w:rPr>
          <w:i/>
          <w:vertAlign w:val="subscript"/>
        </w:rPr>
        <w:t>c</w:t>
      </w:r>
      <w:r w:rsidR="001A07DC">
        <w:t>, for c=0,1,2</w:t>
      </w:r>
    </w:p>
    <w:p w14:paraId="2F4C641F" w14:textId="34EDD64D" w:rsidR="00396250" w:rsidRPr="00AE2BD2" w:rsidRDefault="00396250" w:rsidP="00833F51">
      <w:pPr>
        <w:jc w:val="both"/>
      </w:pPr>
    </w:p>
    <w:p w14:paraId="74EED5B7" w14:textId="4CD0C4EB" w:rsidR="00DB59BF" w:rsidRDefault="00DB59BF" w:rsidP="002756AB">
      <w:pPr>
        <w:pStyle w:val="Annex2"/>
        <w:numPr>
          <w:ilvl w:val="3"/>
          <w:numId w:val="12"/>
        </w:numPr>
        <w:rPr>
          <w:lang w:val="en-CA"/>
        </w:rPr>
      </w:pPr>
      <w:r>
        <w:rPr>
          <w:lang w:val="en-CA"/>
        </w:rPr>
        <w:t xml:space="preserve">Full and </w:t>
      </w:r>
      <w:r w:rsidR="00892B88">
        <w:rPr>
          <w:lang w:val="en-CA"/>
        </w:rPr>
        <w:t>limited</w:t>
      </w:r>
      <w:r w:rsidR="00187624">
        <w:rPr>
          <w:lang w:val="en-CA"/>
        </w:rPr>
        <w:t xml:space="preserve"> </w:t>
      </w:r>
      <w:r>
        <w:rPr>
          <w:lang w:val="en-CA"/>
        </w:rPr>
        <w:t>range management</w:t>
      </w:r>
    </w:p>
    <w:p w14:paraId="0989B1F7" w14:textId="4D49DC49" w:rsidR="00DB59BF" w:rsidRDefault="00DB59BF" w:rsidP="00DB59BF">
      <w:pPr>
        <w:jc w:val="both"/>
        <w:rPr>
          <w:lang w:val="en-CA"/>
        </w:rPr>
      </w:pPr>
      <w:r>
        <w:rPr>
          <w:lang w:val="en-CA"/>
        </w:rPr>
        <w:t xml:space="preserve">DRA converts a </w:t>
      </w:r>
      <w:r w:rsidR="00892B88">
        <w:rPr>
          <w:lang w:val="en-CA"/>
        </w:rPr>
        <w:t xml:space="preserve">standard </w:t>
      </w:r>
      <w:r>
        <w:rPr>
          <w:lang w:val="en-CA"/>
        </w:rPr>
        <w:t xml:space="preserve">range HDR10 signal into a full range reshaped signal. The conversion from </w:t>
      </w:r>
      <w:r w:rsidR="00892B88">
        <w:rPr>
          <w:lang w:val="en-CA"/>
        </w:rPr>
        <w:t xml:space="preserve">limited </w:t>
      </w:r>
      <w:r>
        <w:rPr>
          <w:lang w:val="en-CA"/>
        </w:rPr>
        <w:t xml:space="preserve">range to full range by the inverse DRA process is directly addressed by the </w:t>
      </w:r>
      <w:r w:rsidR="00D8658E">
        <w:rPr>
          <w:lang w:val="en-CA"/>
        </w:rPr>
        <w:t>CRI LUTs, derived from the Pre-LUTs</w:t>
      </w:r>
      <w:r>
        <w:rPr>
          <w:lang w:val="en-CA"/>
        </w:rPr>
        <w:t xml:space="preserve">. For 10-bit </w:t>
      </w:r>
      <w:r w:rsidR="00396250">
        <w:rPr>
          <w:lang w:val="en-CA"/>
        </w:rPr>
        <w:t xml:space="preserve">YCbCr </w:t>
      </w:r>
      <w:r>
        <w:rPr>
          <w:lang w:val="en-CA"/>
        </w:rPr>
        <w:t>signal, the LUTs are generated as follows:</w:t>
      </w:r>
    </w:p>
    <w:p w14:paraId="027CF42D" w14:textId="32F834AD" w:rsidR="00DB59BF" w:rsidRDefault="00DB59BF" w:rsidP="00DB59BF">
      <w:pPr>
        <w:tabs>
          <w:tab w:val="clear" w:pos="720"/>
          <w:tab w:val="clear" w:pos="1080"/>
          <w:tab w:val="clear" w:pos="1440"/>
          <w:tab w:val="left" w:pos="1710"/>
        </w:tabs>
        <w:spacing w:before="240" w:after="120"/>
        <w:ind w:left="360"/>
        <w:jc w:val="both"/>
        <w:rPr>
          <w:lang w:val="en-CA"/>
        </w:rPr>
      </w:pPr>
      <w:r>
        <w:rPr>
          <w:lang w:val="en-CA"/>
        </w:rPr>
        <w:t xml:space="preserve">For luma: </w:t>
      </w:r>
      <w:r>
        <w:rPr>
          <w:lang w:val="en-CA"/>
        </w:rPr>
        <w:tab/>
      </w:r>
      <m:oMath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LUT</m:t>
            </m:r>
          </m:e>
          <m:sub>
            <m:r>
              <w:rPr>
                <w:rFonts w:ascii="Cambria Math" w:hAnsi="Cambria Math"/>
                <w:lang w:val="en-CA"/>
              </w:rPr>
              <m:t>0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lang w:val="en-CA"/>
              </w:rPr>
            </m:ctrlPr>
          </m:dPr>
          <m:e>
            <m:r>
              <w:rPr>
                <w:rFonts w:ascii="Cambria Math" w:hAnsi="Cambria Math"/>
                <w:lang w:val="en-CA"/>
              </w:rPr>
              <m:t>i</m:t>
            </m:r>
          </m:e>
        </m:d>
        <m:r>
          <w:rPr>
            <w:rFonts w:ascii="Cambria Math" w:hAnsi="Cambria Math"/>
            <w:lang w:val="en-CA"/>
          </w:rPr>
          <m:t>=Clip(</m:t>
        </m:r>
        <m:f>
          <m:fPr>
            <m:ctrlPr>
              <w:rPr>
                <w:rFonts w:ascii="Cambria Math" w:hAnsi="Cambria Math"/>
                <w:i/>
                <w:lang w:val="en-CA"/>
              </w:rPr>
            </m:ctrlPr>
          </m:fPr>
          <m:num>
            <m:r>
              <w:rPr>
                <w:rFonts w:ascii="Cambria Math" w:hAnsi="Cambria Math"/>
                <w:lang w:val="en-CA"/>
              </w:rPr>
              <m:t>876</m:t>
            </m:r>
          </m:num>
          <m:den>
            <m:r>
              <w:rPr>
                <w:rFonts w:ascii="Cambria Math" w:hAnsi="Cambria Math"/>
                <w:lang w:val="en-CA"/>
              </w:rPr>
              <m:t>1023</m:t>
            </m:r>
          </m:den>
        </m:f>
        <m:r>
          <w:rPr>
            <w:rFonts w:ascii="Cambria Math" w:hAnsi="Cambria Math"/>
            <w:lang w:val="en-CA"/>
          </w:rPr>
          <m:t>*</m:t>
        </m:r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invLUT</m:t>
            </m:r>
          </m:e>
          <m:sub>
            <m:r>
              <w:rPr>
                <w:rFonts w:ascii="Cambria Math" w:hAnsi="Cambria Math"/>
                <w:lang w:val="en-CA"/>
              </w:rPr>
              <m:t>DR</m:t>
            </m:r>
            <m:sSub>
              <m:sSubPr>
                <m:ctrlPr>
                  <w:rPr>
                    <w:rFonts w:ascii="Cambria Math" w:hAnsi="Cambria Math"/>
                    <w:i/>
                    <w:lang w:val="en-CA"/>
                  </w:rPr>
                </m:ctrlPr>
              </m:sSubPr>
              <m:e>
                <m:r>
                  <w:rPr>
                    <w:rFonts w:ascii="Cambria Math" w:hAnsi="Cambria Math"/>
                    <w:lang w:val="en-CA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val="en-CA"/>
                  </w:rPr>
                  <m:t>0</m:t>
                </m:r>
              </m:sub>
            </m:sSub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lang w:val="en-CA"/>
              </w:rPr>
            </m:ctrlPr>
          </m:dPr>
          <m:e>
            <m:r>
              <w:rPr>
                <w:rFonts w:ascii="Cambria Math" w:hAnsi="Cambria Math"/>
                <w:lang w:val="en-CA"/>
              </w:rPr>
              <m:t>i</m:t>
            </m:r>
          </m:e>
        </m:d>
        <m:r>
          <w:rPr>
            <w:rFonts w:ascii="Cambria Math" w:hAnsi="Cambria Math"/>
            <w:lang w:val="en-CA"/>
          </w:rPr>
          <m:t>+64+0.5, 0, 1023)</m:t>
        </m:r>
      </m:oMath>
    </w:p>
    <w:p w14:paraId="0EB0129B" w14:textId="4155731E" w:rsidR="00DB59BF" w:rsidRDefault="00DB59BF" w:rsidP="00DB59BF">
      <w:pPr>
        <w:tabs>
          <w:tab w:val="clear" w:pos="720"/>
          <w:tab w:val="clear" w:pos="1080"/>
          <w:tab w:val="clear" w:pos="1440"/>
          <w:tab w:val="left" w:pos="1710"/>
        </w:tabs>
        <w:spacing w:before="120" w:after="240"/>
        <w:ind w:left="360"/>
        <w:jc w:val="both"/>
        <w:rPr>
          <w:lang w:val="en-CA"/>
        </w:rPr>
      </w:pPr>
      <w:r>
        <w:rPr>
          <w:lang w:val="en-CA"/>
        </w:rPr>
        <w:t xml:space="preserve">For chroma: </w:t>
      </w:r>
      <w:r>
        <w:rPr>
          <w:lang w:val="en-CA"/>
        </w:rPr>
        <w:tab/>
      </w:r>
      <m:oMath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LUT</m:t>
            </m:r>
          </m:e>
          <m:sub>
            <m:r>
              <w:rPr>
                <w:rFonts w:ascii="Cambria Math" w:hAnsi="Cambria Math"/>
                <w:lang w:val="en-CA"/>
              </w:rPr>
              <m:t>k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lang w:val="en-CA"/>
              </w:rPr>
            </m:ctrlPr>
          </m:dPr>
          <m:e>
            <m:r>
              <w:rPr>
                <w:rFonts w:ascii="Cambria Math" w:hAnsi="Cambria Math"/>
                <w:lang w:val="en-CA"/>
              </w:rPr>
              <m:t>i</m:t>
            </m:r>
          </m:e>
        </m:d>
        <m:r>
          <w:rPr>
            <w:rFonts w:ascii="Cambria Math" w:hAnsi="Cambria Math"/>
            <w:lang w:val="en-CA"/>
          </w:rPr>
          <m:t>=Clip(</m:t>
        </m:r>
        <m:f>
          <m:fPr>
            <m:ctrlPr>
              <w:rPr>
                <w:rFonts w:ascii="Cambria Math" w:hAnsi="Cambria Math"/>
                <w:i/>
                <w:lang w:val="en-CA"/>
              </w:rPr>
            </m:ctrlPr>
          </m:fPr>
          <m:num>
            <m:r>
              <w:rPr>
                <w:rFonts w:ascii="Cambria Math" w:hAnsi="Cambria Math"/>
                <w:lang w:val="en-CA"/>
              </w:rPr>
              <m:t>896</m:t>
            </m:r>
          </m:num>
          <m:den>
            <m:r>
              <w:rPr>
                <w:rFonts w:ascii="Cambria Math" w:hAnsi="Cambria Math"/>
                <w:lang w:val="en-CA"/>
              </w:rPr>
              <m:t>1023</m:t>
            </m:r>
          </m:den>
        </m:f>
        <m:r>
          <w:rPr>
            <w:rFonts w:ascii="Cambria Math" w:hAnsi="Cambria Math"/>
            <w:lang w:val="en-CA"/>
          </w:rPr>
          <m:t>*(</m:t>
        </m:r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invLUT</m:t>
            </m:r>
          </m:e>
          <m:sub>
            <m:r>
              <w:rPr>
                <w:rFonts w:ascii="Cambria Math" w:hAnsi="Cambria Math"/>
                <w:lang w:val="en-CA"/>
              </w:rPr>
              <m:t>DR</m:t>
            </m:r>
            <m:sSub>
              <m:sSubPr>
                <m:ctrlPr>
                  <w:rPr>
                    <w:rFonts w:ascii="Cambria Math" w:hAnsi="Cambria Math"/>
                    <w:i/>
                    <w:lang w:val="en-CA"/>
                  </w:rPr>
                </m:ctrlPr>
              </m:sSubPr>
              <m:e>
                <m:r>
                  <w:rPr>
                    <w:rFonts w:ascii="Cambria Math" w:hAnsi="Cambria Math"/>
                    <w:lang w:val="en-CA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val="en-CA"/>
                  </w:rPr>
                  <m:t>k</m:t>
                </m:r>
              </m:sub>
            </m:sSub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lang w:val="en-CA"/>
              </w:rPr>
            </m:ctrlPr>
          </m:dPr>
          <m:e>
            <m:r>
              <w:rPr>
                <w:rFonts w:ascii="Cambria Math" w:hAnsi="Cambria Math"/>
                <w:lang w:val="en-CA"/>
              </w:rPr>
              <m:t>i</m:t>
            </m:r>
          </m:e>
        </m:d>
        <m:r>
          <w:rPr>
            <w:rFonts w:ascii="Cambria Math" w:hAnsi="Cambria Math"/>
            <w:lang w:val="en-CA"/>
          </w:rPr>
          <m:t>-512)+512+0.5, 0, 1023)</m:t>
        </m:r>
      </m:oMath>
      <w:r>
        <w:rPr>
          <w:lang w:val="en-CA"/>
        </w:rPr>
        <w:t xml:space="preserve">      </w:t>
      </w:r>
      <w:r w:rsidRPr="0054503B">
        <w:rPr>
          <w:i/>
          <w:lang w:val="en-CA"/>
        </w:rPr>
        <w:t>k</w:t>
      </w:r>
      <w:r>
        <w:rPr>
          <w:lang w:val="en-CA"/>
        </w:rPr>
        <w:t>=1 or 2</w:t>
      </w:r>
    </w:p>
    <w:p w14:paraId="49FE6CF4" w14:textId="2594B8E9" w:rsidR="00396250" w:rsidRDefault="00396250" w:rsidP="00396250">
      <w:pPr>
        <w:jc w:val="both"/>
        <w:rPr>
          <w:lang w:val="en-CA"/>
        </w:rPr>
      </w:pPr>
      <w:r>
        <w:rPr>
          <w:lang w:val="en-CA"/>
        </w:rPr>
        <w:t xml:space="preserve">where </w:t>
      </w:r>
      <m:oMath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invLUT</m:t>
            </m:r>
          </m:e>
          <m:sub>
            <m:r>
              <w:rPr>
                <w:rFonts w:ascii="Cambria Math" w:hAnsi="Cambria Math"/>
                <w:lang w:val="en-CA"/>
              </w:rPr>
              <m:t>DR</m:t>
            </m:r>
            <m:sSub>
              <m:sSubPr>
                <m:ctrlPr>
                  <w:rPr>
                    <w:rFonts w:ascii="Cambria Math" w:hAnsi="Cambria Math"/>
                    <w:i/>
                    <w:lang w:val="en-CA"/>
                  </w:rPr>
                </m:ctrlPr>
              </m:sSubPr>
              <m:e>
                <m:r>
                  <w:rPr>
                    <w:rFonts w:ascii="Cambria Math" w:hAnsi="Cambria Math"/>
                    <w:lang w:val="en-CA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val="en-CA"/>
                  </w:rPr>
                  <m:t>0</m:t>
                </m:r>
              </m:sub>
            </m:sSub>
          </m:sub>
        </m:sSub>
        <m:r>
          <w:rPr>
            <w:rFonts w:ascii="Cambria Math" w:hAnsi="Cambria Math"/>
            <w:lang w:val="en-CA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invLUT</m:t>
            </m:r>
          </m:e>
          <m:sub>
            <m:r>
              <w:rPr>
                <w:rFonts w:ascii="Cambria Math" w:hAnsi="Cambria Math"/>
                <w:lang w:val="en-CA"/>
              </w:rPr>
              <m:t>DR</m:t>
            </m:r>
            <m:sSub>
              <m:sSubPr>
                <m:ctrlPr>
                  <w:rPr>
                    <w:rFonts w:ascii="Cambria Math" w:hAnsi="Cambria Math"/>
                    <w:i/>
                    <w:lang w:val="en-CA"/>
                  </w:rPr>
                </m:ctrlPr>
              </m:sSubPr>
              <m:e>
                <m:r>
                  <w:rPr>
                    <w:rFonts w:ascii="Cambria Math" w:hAnsi="Cambria Math"/>
                    <w:lang w:val="en-CA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val="en-CA"/>
                  </w:rPr>
                  <m:t>1</m:t>
                </m:r>
              </m:sub>
            </m:sSub>
          </m:sub>
        </m:sSub>
        <m:r>
          <w:rPr>
            <w:rFonts w:ascii="Cambria Math" w:hAnsi="Cambria Math"/>
            <w:lang w:val="en-CA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invLUT</m:t>
            </m:r>
          </m:e>
          <m:sub>
            <m:r>
              <w:rPr>
                <w:rFonts w:ascii="Cambria Math" w:hAnsi="Cambria Math"/>
                <w:lang w:val="en-CA"/>
              </w:rPr>
              <m:t>DR</m:t>
            </m:r>
            <m:sSub>
              <m:sSubPr>
                <m:ctrlPr>
                  <w:rPr>
                    <w:rFonts w:ascii="Cambria Math" w:hAnsi="Cambria Math"/>
                    <w:i/>
                    <w:lang w:val="en-CA"/>
                  </w:rPr>
                </m:ctrlPr>
              </m:sSubPr>
              <m:e>
                <m:r>
                  <w:rPr>
                    <w:rFonts w:ascii="Cambria Math" w:hAnsi="Cambria Math"/>
                    <w:lang w:val="en-CA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val="en-CA"/>
                  </w:rPr>
                  <m:t>2</m:t>
                </m:r>
              </m:sub>
            </m:sSub>
          </m:sub>
        </m:sSub>
      </m:oMath>
      <w:r w:rsidRPr="0054503B">
        <w:rPr>
          <w:color w:val="FF0000"/>
          <w:lang w:val="en-CA"/>
        </w:rPr>
        <w:t xml:space="preserve"> </w:t>
      </w:r>
      <w:r w:rsidRPr="0054503B">
        <w:rPr>
          <w:lang w:val="en-CA"/>
        </w:rPr>
        <w:t>are</w:t>
      </w:r>
      <w:r>
        <w:rPr>
          <w:lang w:val="en-CA"/>
        </w:rPr>
        <w:t xml:space="preserve"> the inverse of the Y, Cb, Cr DRA LUTs, respectively,  generating a full range YCbCr signal (that is, so that </w:t>
      </w:r>
      <m:oMath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invLUT</m:t>
            </m:r>
          </m:e>
          <m:sub>
            <m:r>
              <w:rPr>
                <w:rFonts w:ascii="Cambria Math" w:hAnsi="Cambria Math"/>
                <w:lang w:val="en-CA"/>
              </w:rPr>
              <m:t>DR</m:t>
            </m:r>
            <m:sSub>
              <m:sSubPr>
                <m:ctrlPr>
                  <w:rPr>
                    <w:rFonts w:ascii="Cambria Math" w:hAnsi="Cambria Math"/>
                    <w:i/>
                    <w:lang w:val="en-CA"/>
                  </w:rPr>
                </m:ctrlPr>
              </m:sSubPr>
              <m:e>
                <m:r>
                  <w:rPr>
                    <w:rFonts w:ascii="Cambria Math" w:hAnsi="Cambria Math"/>
                    <w:lang w:val="en-CA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val="en-CA"/>
                  </w:rPr>
                  <m:t>j</m:t>
                </m:r>
              </m:sub>
            </m:sSub>
          </m:sub>
        </m:sSub>
        <m:r>
          <w:rPr>
            <w:rFonts w:ascii="Cambria Math" w:hAnsi="Cambria Math"/>
            <w:lang w:val="en-CA"/>
          </w:rPr>
          <m:t>[</m:t>
        </m:r>
        <m:sSub>
          <m:sSubPr>
            <m:ctrlPr>
              <w:rPr>
                <w:rFonts w:ascii="Cambria Math" w:hAnsi="Cambria Math"/>
                <w:i/>
                <w:lang w:val="en-CA"/>
              </w:rPr>
            </m:ctrlPr>
          </m:sSubPr>
          <m:e>
            <m:r>
              <w:rPr>
                <w:rFonts w:ascii="Cambria Math" w:hAnsi="Cambria Math"/>
                <w:lang w:val="en-CA"/>
              </w:rPr>
              <m:t>LUT</m:t>
            </m:r>
          </m:e>
          <m:sub>
            <m:r>
              <w:rPr>
                <w:rFonts w:ascii="Cambria Math" w:hAnsi="Cambria Math"/>
                <w:lang w:val="en-CA"/>
              </w:rPr>
              <m:t>DR</m:t>
            </m:r>
            <m:sSub>
              <m:sSubPr>
                <m:ctrlPr>
                  <w:rPr>
                    <w:rFonts w:ascii="Cambria Math" w:hAnsi="Cambria Math"/>
                    <w:i/>
                    <w:lang w:val="en-CA"/>
                  </w:rPr>
                </m:ctrlPr>
              </m:sSubPr>
              <m:e>
                <m:r>
                  <w:rPr>
                    <w:rFonts w:ascii="Cambria Math" w:hAnsi="Cambria Math"/>
                    <w:lang w:val="en-CA"/>
                  </w:rPr>
                  <m:t>A</m:t>
                </m:r>
              </m:e>
              <m:sub>
                <m:r>
                  <w:rPr>
                    <w:rFonts w:ascii="Cambria Math" w:hAnsi="Cambria Math"/>
                    <w:lang w:val="en-CA"/>
                  </w:rPr>
                  <m:t>j</m:t>
                </m:r>
              </m:sub>
            </m:sSub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lang w:val="en-CA"/>
              </w:rPr>
            </m:ctrlPr>
          </m:dPr>
          <m:e>
            <m:r>
              <w:rPr>
                <w:rFonts w:ascii="Cambria Math" w:hAnsi="Cambria Math"/>
                <w:lang w:val="en-CA"/>
              </w:rPr>
              <m:t>x</m:t>
            </m:r>
          </m:e>
        </m:d>
        <m:r>
          <w:rPr>
            <w:rFonts w:ascii="Cambria Math" w:hAnsi="Cambria Math"/>
            <w:lang w:val="en-CA"/>
          </w:rPr>
          <m:t>]=x ∀ x ∈[0,1023]</m:t>
        </m:r>
      </m:oMath>
      <w:r>
        <w:rPr>
          <w:lang w:val="en-CA"/>
        </w:rPr>
        <w:t>).</w:t>
      </w:r>
    </w:p>
    <w:p w14:paraId="6D6683C1" w14:textId="77777777" w:rsidR="00AE2BD2" w:rsidRDefault="00AE2BD2" w:rsidP="00AE2BD2">
      <w:pPr>
        <w:jc w:val="both"/>
        <w:rPr>
          <w:b/>
          <w:lang w:val="en-CA"/>
        </w:rPr>
      </w:pPr>
    </w:p>
    <w:p w14:paraId="6E1A9135" w14:textId="77777777" w:rsidR="000306FD" w:rsidRDefault="00AE2BD2" w:rsidP="002756AB">
      <w:pPr>
        <w:pStyle w:val="Annex2"/>
        <w:numPr>
          <w:ilvl w:val="3"/>
          <w:numId w:val="12"/>
        </w:numPr>
        <w:rPr>
          <w:lang w:val="en-CA"/>
        </w:rPr>
      </w:pPr>
      <w:r>
        <w:rPr>
          <w:lang w:val="en-CA"/>
        </w:rPr>
        <w:t xml:space="preserve">VUI and CRI </w:t>
      </w:r>
      <w:r w:rsidR="000306FD">
        <w:rPr>
          <w:lang w:val="en-CA"/>
        </w:rPr>
        <w:t>settings</w:t>
      </w:r>
    </w:p>
    <w:p w14:paraId="15B5A7B0" w14:textId="6214F258" w:rsidR="00DB59BF" w:rsidRDefault="0093043A" w:rsidP="00833F51">
      <w:pPr>
        <w:jc w:val="both"/>
        <w:rPr>
          <w:lang w:val="en-CA"/>
        </w:rPr>
      </w:pPr>
      <w:r>
        <w:rPr>
          <w:lang w:val="en-CA"/>
        </w:rPr>
        <w:t>As the reshaped HDR signal is based on adaptive transfer functions not specified in the VUI transfer functions, it is recommended to set the VUI syntax element</w:t>
      </w:r>
      <w:r w:rsidRPr="0093043A">
        <w:t xml:space="preserve"> </w:t>
      </w:r>
      <w:r w:rsidRPr="0093043A">
        <w:rPr>
          <w:lang w:val="en-CA"/>
        </w:rPr>
        <w:t>transfer_characteristics</w:t>
      </w:r>
      <w:r>
        <w:rPr>
          <w:lang w:val="en-CA"/>
        </w:rPr>
        <w:t xml:space="preserve"> to “Unspecified”. The syntax element </w:t>
      </w:r>
      <w:r w:rsidRPr="0093043A">
        <w:rPr>
          <w:lang w:val="en-CA"/>
        </w:rPr>
        <w:t>video_full_range_flag</w:t>
      </w:r>
      <w:r>
        <w:rPr>
          <w:lang w:val="en-CA"/>
        </w:rPr>
        <w:t xml:space="preserve"> should be set to 1.</w:t>
      </w:r>
      <w:r w:rsidR="0002525C">
        <w:rPr>
          <w:lang w:val="en-CA"/>
        </w:rPr>
        <w:t xml:space="preserve"> The other syntax elements should not be modified compared to the settings used when DRA does not apply.</w:t>
      </w:r>
    </w:p>
    <w:p w14:paraId="7416A008" w14:textId="5C714B90" w:rsidR="00CF0528" w:rsidRDefault="00CF0528" w:rsidP="00833F51">
      <w:pPr>
        <w:jc w:val="both"/>
        <w:rPr>
          <w:lang w:val="en-CA"/>
        </w:rPr>
      </w:pPr>
      <w:r>
        <w:rPr>
          <w:lang w:val="en-CA"/>
        </w:rPr>
        <w:t xml:space="preserve">In the CRI message, </w:t>
      </w:r>
      <w:r w:rsidR="0002525C">
        <w:rPr>
          <w:lang w:val="en-CA"/>
        </w:rPr>
        <w:t xml:space="preserve">the syntax </w:t>
      </w:r>
      <w:r>
        <w:rPr>
          <w:lang w:val="en-CA"/>
        </w:rPr>
        <w:t>element</w:t>
      </w:r>
      <w:r w:rsidR="0002525C">
        <w:rPr>
          <w:lang w:val="en-CA"/>
        </w:rPr>
        <w:t>s</w:t>
      </w:r>
      <w:r w:rsidRPr="00CF0528">
        <w:rPr>
          <w:lang w:val="en-CA"/>
        </w:rPr>
        <w:t xml:space="preserve"> colour_remap_transfer_function </w:t>
      </w:r>
      <w:r>
        <w:rPr>
          <w:lang w:val="en-CA"/>
        </w:rPr>
        <w:t xml:space="preserve">should be set to 16 (ST 2084), and  </w:t>
      </w:r>
      <w:r w:rsidRPr="00CF0528">
        <w:rPr>
          <w:lang w:val="en-CA"/>
        </w:rPr>
        <w:t>colour_remap_full_range_flag should be set to 0.</w:t>
      </w:r>
    </w:p>
    <w:p w14:paraId="6D6AA651" w14:textId="7D82AE21" w:rsidR="001B2711" w:rsidRDefault="001B2711" w:rsidP="00833F51">
      <w:pPr>
        <w:jc w:val="both"/>
        <w:rPr>
          <w:lang w:val="en-CA"/>
        </w:rPr>
      </w:pPr>
      <w:r>
        <w:rPr>
          <w:lang w:val="en-CA"/>
        </w:rPr>
        <w:t>In summary, the following settings are recommended in the VUI:</w:t>
      </w:r>
    </w:p>
    <w:p w14:paraId="249ACF51" w14:textId="3B0831C5" w:rsidR="001B2711" w:rsidRPr="001B2711" w:rsidRDefault="001B2711" w:rsidP="001B2711">
      <w:pPr>
        <w:pStyle w:val="BodyText"/>
        <w:numPr>
          <w:ilvl w:val="0"/>
          <w:numId w:val="17"/>
        </w:numPr>
        <w:spacing w:before="30" w:after="30"/>
        <w:rPr>
          <w:sz w:val="22"/>
          <w:szCs w:val="22"/>
        </w:rPr>
      </w:pPr>
      <w:r w:rsidRPr="0093043A">
        <w:rPr>
          <w:lang w:val="en-CA"/>
        </w:rPr>
        <w:t>transfer_characteristics</w:t>
      </w:r>
      <w:r>
        <w:rPr>
          <w:lang w:val="en-CA"/>
        </w:rPr>
        <w:t xml:space="preserve"> </w:t>
      </w:r>
      <w:r>
        <w:rPr>
          <w:lang w:val="en-CA"/>
        </w:rPr>
        <w:t>set equal to</w:t>
      </w:r>
      <w:r>
        <w:rPr>
          <w:lang w:val="en-CA"/>
        </w:rPr>
        <w:t xml:space="preserve"> “Unspecified”.</w:t>
      </w:r>
    </w:p>
    <w:p w14:paraId="446A3552" w14:textId="659F43C5" w:rsidR="001B2711" w:rsidRPr="001B2711" w:rsidRDefault="001B2711" w:rsidP="001B2711">
      <w:pPr>
        <w:pStyle w:val="BodyTextfirstgraph"/>
        <w:numPr>
          <w:ilvl w:val="0"/>
          <w:numId w:val="17"/>
        </w:numPr>
        <w:rPr>
          <w:sz w:val="22"/>
          <w:szCs w:val="22"/>
        </w:rPr>
      </w:pPr>
      <w:r w:rsidRPr="006A3A1F">
        <w:rPr>
          <w:sz w:val="22"/>
          <w:szCs w:val="22"/>
          <w:lang w:val="en-CA"/>
        </w:rPr>
        <w:t>colour_primaries set equal to 9</w:t>
      </w:r>
      <w:r>
        <w:rPr>
          <w:sz w:val="22"/>
          <w:szCs w:val="22"/>
          <w:lang w:val="en-CA"/>
        </w:rPr>
        <w:t xml:space="preserve"> (Rec BT.2020, non constant luminance)</w:t>
      </w:r>
      <w:r w:rsidRPr="006A3A1F">
        <w:rPr>
          <w:sz w:val="22"/>
          <w:szCs w:val="22"/>
          <w:lang w:val="en-CA"/>
        </w:rPr>
        <w:t>.</w:t>
      </w:r>
    </w:p>
    <w:p w14:paraId="1BF83123" w14:textId="11228D8A" w:rsidR="001B2711" w:rsidRPr="006A3A1F" w:rsidRDefault="001B2711" w:rsidP="001B2711">
      <w:pPr>
        <w:pStyle w:val="BodyTextfirstgraph"/>
        <w:numPr>
          <w:ilvl w:val="0"/>
          <w:numId w:val="17"/>
        </w:numPr>
        <w:rPr>
          <w:sz w:val="22"/>
          <w:szCs w:val="22"/>
        </w:rPr>
      </w:pPr>
      <w:r w:rsidRPr="006A3A1F">
        <w:rPr>
          <w:sz w:val="22"/>
          <w:szCs w:val="22"/>
          <w:lang w:val="en-CA"/>
        </w:rPr>
        <w:t xml:space="preserve">matrix_coeffs </w:t>
      </w:r>
      <w:r>
        <w:rPr>
          <w:sz w:val="22"/>
          <w:szCs w:val="22"/>
          <w:lang w:val="en-CA"/>
        </w:rPr>
        <w:t>s</w:t>
      </w:r>
      <w:r w:rsidRPr="006A3A1F">
        <w:rPr>
          <w:sz w:val="22"/>
          <w:szCs w:val="22"/>
          <w:lang w:val="en-CA"/>
        </w:rPr>
        <w:t>et equal to 9.</w:t>
      </w:r>
    </w:p>
    <w:p w14:paraId="73BD1769" w14:textId="77777777" w:rsidR="001B2711" w:rsidRPr="001B2711" w:rsidRDefault="001B2711" w:rsidP="001B2711">
      <w:pPr>
        <w:pStyle w:val="BodyText"/>
        <w:numPr>
          <w:ilvl w:val="0"/>
          <w:numId w:val="17"/>
        </w:numPr>
        <w:spacing w:before="30" w:after="30"/>
        <w:rPr>
          <w:sz w:val="22"/>
          <w:szCs w:val="22"/>
        </w:rPr>
      </w:pPr>
      <w:r w:rsidRPr="006A3A1F">
        <w:rPr>
          <w:sz w:val="22"/>
          <w:szCs w:val="22"/>
          <w:lang w:val="en-CA"/>
        </w:rPr>
        <w:t xml:space="preserve">video_full_range_flag </w:t>
      </w:r>
      <w:r>
        <w:rPr>
          <w:sz w:val="22"/>
          <w:szCs w:val="22"/>
          <w:lang w:val="en-CA"/>
        </w:rPr>
        <w:t>set equal to 1.</w:t>
      </w:r>
    </w:p>
    <w:p w14:paraId="39DAE9B9" w14:textId="77777777" w:rsidR="001B2711" w:rsidRDefault="001B2711" w:rsidP="001B2711">
      <w:pPr>
        <w:pStyle w:val="BodyText"/>
        <w:spacing w:before="30" w:after="30"/>
        <w:rPr>
          <w:sz w:val="22"/>
          <w:szCs w:val="22"/>
          <w:lang w:val="en-CA"/>
        </w:rPr>
      </w:pPr>
    </w:p>
    <w:p w14:paraId="1E8BB282" w14:textId="29CAD74C" w:rsidR="001B2711" w:rsidRDefault="001B2711" w:rsidP="001B2711">
      <w:pPr>
        <w:jc w:val="both"/>
        <w:rPr>
          <w:lang w:val="en-CA"/>
        </w:rPr>
      </w:pPr>
      <w:r>
        <w:rPr>
          <w:lang w:val="en-CA"/>
        </w:rPr>
        <w:t xml:space="preserve">In summary, the following settings are recommended in the </w:t>
      </w:r>
      <w:r>
        <w:rPr>
          <w:lang w:val="en-CA"/>
        </w:rPr>
        <w:t>CRI</w:t>
      </w:r>
      <w:r>
        <w:rPr>
          <w:lang w:val="en-CA"/>
        </w:rPr>
        <w:t>:</w:t>
      </w:r>
    </w:p>
    <w:p w14:paraId="44D9F3D3" w14:textId="65B23A53" w:rsidR="001B2711" w:rsidRPr="006A3A1F" w:rsidRDefault="001B2711" w:rsidP="001B2711">
      <w:pPr>
        <w:pStyle w:val="BodyText"/>
        <w:numPr>
          <w:ilvl w:val="0"/>
          <w:numId w:val="17"/>
        </w:numPr>
        <w:spacing w:before="30" w:after="30"/>
        <w:rPr>
          <w:sz w:val="22"/>
          <w:szCs w:val="22"/>
          <w:lang w:val="en-CA"/>
        </w:rPr>
      </w:pPr>
      <w:r w:rsidRPr="006A3A1F">
        <w:rPr>
          <w:sz w:val="22"/>
          <w:szCs w:val="22"/>
          <w:lang w:val="en-CA"/>
        </w:rPr>
        <w:lastRenderedPageBreak/>
        <w:t>colour_remap_video_signal_info_present_flag set equal to 1</w:t>
      </w:r>
    </w:p>
    <w:p w14:paraId="786BBD2A" w14:textId="261F6C98" w:rsidR="001B2711" w:rsidRPr="006A3A1F" w:rsidRDefault="001B2711" w:rsidP="001B2711">
      <w:pPr>
        <w:pStyle w:val="BodyText"/>
        <w:numPr>
          <w:ilvl w:val="0"/>
          <w:numId w:val="17"/>
        </w:numPr>
        <w:spacing w:before="30" w:after="30"/>
        <w:rPr>
          <w:sz w:val="22"/>
          <w:szCs w:val="22"/>
          <w:lang w:val="en-CA"/>
        </w:rPr>
      </w:pPr>
      <w:r w:rsidRPr="006A3A1F">
        <w:rPr>
          <w:sz w:val="22"/>
          <w:szCs w:val="22"/>
          <w:lang w:val="en-CA"/>
        </w:rPr>
        <w:t>colour_remap_transfer_function set to 16</w:t>
      </w:r>
      <w:r>
        <w:rPr>
          <w:sz w:val="22"/>
          <w:szCs w:val="22"/>
          <w:lang w:val="en-CA"/>
        </w:rPr>
        <w:t xml:space="preserve"> (ST 2084)</w:t>
      </w:r>
      <w:r w:rsidRPr="006A3A1F">
        <w:rPr>
          <w:sz w:val="22"/>
          <w:szCs w:val="22"/>
          <w:lang w:val="en-CA"/>
        </w:rPr>
        <w:t>.</w:t>
      </w:r>
    </w:p>
    <w:p w14:paraId="5844FA74" w14:textId="7F1F5C41" w:rsidR="001B2711" w:rsidRPr="006A3A1F" w:rsidRDefault="001B2711" w:rsidP="001B2711">
      <w:pPr>
        <w:pStyle w:val="BodyText"/>
        <w:numPr>
          <w:ilvl w:val="0"/>
          <w:numId w:val="17"/>
        </w:numPr>
        <w:spacing w:before="30" w:after="30"/>
        <w:rPr>
          <w:sz w:val="22"/>
          <w:szCs w:val="22"/>
          <w:lang w:val="en-CA"/>
        </w:rPr>
      </w:pPr>
      <w:r w:rsidRPr="006A3A1F">
        <w:rPr>
          <w:sz w:val="22"/>
          <w:szCs w:val="22"/>
          <w:lang w:val="en-CA"/>
        </w:rPr>
        <w:t>colour_remap_full_range_flag shall be set to 0.</w:t>
      </w:r>
    </w:p>
    <w:p w14:paraId="69491A44" w14:textId="712318F4" w:rsidR="001B2711" w:rsidRPr="006A3A1F" w:rsidRDefault="001B2711" w:rsidP="001B2711">
      <w:pPr>
        <w:pStyle w:val="BodyText"/>
        <w:numPr>
          <w:ilvl w:val="0"/>
          <w:numId w:val="17"/>
        </w:numPr>
        <w:spacing w:before="30" w:after="30"/>
        <w:rPr>
          <w:sz w:val="22"/>
          <w:szCs w:val="22"/>
          <w:lang w:val="en-CA"/>
        </w:rPr>
      </w:pPr>
      <w:r w:rsidRPr="006A3A1F">
        <w:rPr>
          <w:sz w:val="22"/>
          <w:szCs w:val="22"/>
          <w:lang w:val="en-CA"/>
        </w:rPr>
        <w:t>colour_remap_primaries shall be set to 9.</w:t>
      </w:r>
    </w:p>
    <w:p w14:paraId="348192A6" w14:textId="6A8145D8" w:rsidR="001B2711" w:rsidRPr="006A3A1F" w:rsidRDefault="001B2711" w:rsidP="001B2711">
      <w:pPr>
        <w:pStyle w:val="BodyText"/>
        <w:numPr>
          <w:ilvl w:val="0"/>
          <w:numId w:val="17"/>
        </w:numPr>
        <w:spacing w:before="30" w:after="30"/>
        <w:rPr>
          <w:sz w:val="22"/>
          <w:szCs w:val="22"/>
          <w:lang w:val="en-CA"/>
        </w:rPr>
      </w:pPr>
      <w:r w:rsidRPr="006A3A1F">
        <w:rPr>
          <w:sz w:val="22"/>
          <w:szCs w:val="22"/>
          <w:lang w:val="en-CA"/>
        </w:rPr>
        <w:t>colour_remap_matrix_coefficients shall be set to 9.</w:t>
      </w:r>
    </w:p>
    <w:p w14:paraId="3E488AB6" w14:textId="0DD8BF80" w:rsidR="001B2711" w:rsidRPr="001B2711" w:rsidRDefault="001B2711" w:rsidP="00833F51">
      <w:pPr>
        <w:pStyle w:val="BodyText"/>
        <w:numPr>
          <w:ilvl w:val="0"/>
          <w:numId w:val="17"/>
        </w:numPr>
        <w:spacing w:before="30" w:after="30"/>
        <w:rPr>
          <w:sz w:val="22"/>
          <w:szCs w:val="22"/>
          <w:lang w:val="en-CA"/>
        </w:rPr>
      </w:pPr>
      <w:r w:rsidRPr="006A3A1F">
        <w:rPr>
          <w:sz w:val="22"/>
          <w:szCs w:val="22"/>
          <w:lang w:val="en-CA"/>
        </w:rPr>
        <w:t>colour_remap_output_bit_depth shall be set to 10.</w:t>
      </w:r>
    </w:p>
    <w:p w14:paraId="38D893B5" w14:textId="77777777" w:rsidR="0000320D" w:rsidRPr="001B2711" w:rsidRDefault="0000320D" w:rsidP="004234F0">
      <w:pPr>
        <w:jc w:val="both"/>
        <w:rPr>
          <w:lang w:val="en-CA"/>
        </w:rPr>
      </w:pPr>
    </w:p>
    <w:p w14:paraId="67A75427" w14:textId="674273F4" w:rsidR="0000320D" w:rsidRPr="0000320D" w:rsidRDefault="0000320D" w:rsidP="0000320D">
      <w:pPr>
        <w:pStyle w:val="Heading1"/>
        <w:numPr>
          <w:ilvl w:val="0"/>
          <w:numId w:val="0"/>
        </w:numPr>
        <w:ind w:left="360"/>
        <w:rPr>
          <w:lang w:val="en-CA"/>
        </w:rPr>
      </w:pPr>
      <w:r>
        <w:rPr>
          <w:lang w:val="en-CA"/>
        </w:rPr>
        <w:t>Reference</w:t>
      </w:r>
    </w:p>
    <w:p w14:paraId="19544E5D" w14:textId="4740FC03" w:rsidR="0000320D" w:rsidRDefault="0000320D" w:rsidP="004234F0">
      <w:pPr>
        <w:jc w:val="both"/>
      </w:pPr>
      <w:r>
        <w:t>[1]</w:t>
      </w:r>
      <w:r>
        <w:tab/>
      </w:r>
      <w:r w:rsidRPr="0000320D">
        <w:t xml:space="preserve">K. Minoo (Arris), T. Lu, P. Yin (Dolby), L. Kerofsky (InterDigital), D. Rusanovskyy (Qualcomm), E. Francois (Technicolor), </w:t>
      </w:r>
      <w:r w:rsidR="00FA2FED">
        <w:t>Description of the reshaper parameters derivation process in ETM reference software</w:t>
      </w:r>
      <w:r w:rsidRPr="0000320D">
        <w:t xml:space="preserve">, JCTVC document </w:t>
      </w:r>
      <w:r w:rsidR="00FA2FED" w:rsidRPr="0000320D">
        <w:t>W00</w:t>
      </w:r>
      <w:r w:rsidR="00FA2FED">
        <w:t>31</w:t>
      </w:r>
      <w:r w:rsidRPr="0000320D">
        <w:t xml:space="preserve">, </w:t>
      </w:r>
      <w:r>
        <w:t xml:space="preserve">San Diego, USA, </w:t>
      </w:r>
      <w:r w:rsidRPr="0000320D">
        <w:t>Feb. 2016</w:t>
      </w:r>
    </w:p>
    <w:p w14:paraId="7B674136" w14:textId="0C1F72C8" w:rsidR="0000320D" w:rsidRDefault="0000320D" w:rsidP="004234F0">
      <w:pPr>
        <w:jc w:val="both"/>
      </w:pPr>
      <w:r>
        <w:t>[2]</w:t>
      </w:r>
      <w:r>
        <w:tab/>
      </w:r>
      <w:r w:rsidRPr="0000320D">
        <w:t xml:space="preserve">T. Lu, F. Pu, P. Yin, T. Chen, W. Husak (Dolby), Y. He, L. Kerofsky, Y. Ye (InterDigital) HDR CE2: CE2.a-2, CE2.c, CE2.d and CE2.e-3, </w:t>
      </w:r>
      <w:r>
        <w:t xml:space="preserve">JCTVC document </w:t>
      </w:r>
      <w:r w:rsidRPr="0000320D">
        <w:t>W0084</w:t>
      </w:r>
      <w:r>
        <w:t>, San Diego, USA, Feb. 2016</w:t>
      </w:r>
    </w:p>
    <w:p w14:paraId="3A0303A7" w14:textId="3171753E" w:rsidR="00F63778" w:rsidRDefault="00F63778" w:rsidP="004234F0">
      <w:pPr>
        <w:jc w:val="both"/>
      </w:pPr>
    </w:p>
    <w:p w14:paraId="382466F6" w14:textId="77777777"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14:paraId="6A056160" w14:textId="77777777" w:rsidR="00BD1BE2" w:rsidRPr="005B217D" w:rsidRDefault="00BD1BE2" w:rsidP="00BD1BE2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Technicolor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14:paraId="20A8061E" w14:textId="171A66A8" w:rsidR="00305177" w:rsidRDefault="00305177" w:rsidP="0066572F">
      <w:pPr>
        <w:pStyle w:val="Heading1"/>
        <w:numPr>
          <w:ilvl w:val="0"/>
          <w:numId w:val="0"/>
        </w:numPr>
        <w:rPr>
          <w:lang w:val="en-CA" w:eastAsia="zh-CN"/>
        </w:rPr>
      </w:pPr>
    </w:p>
    <w:sectPr w:rsidR="00305177" w:rsidSect="00A01439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F22C50" w14:textId="77777777" w:rsidR="00F1561B" w:rsidRDefault="00F1561B">
      <w:r>
        <w:separator/>
      </w:r>
    </w:p>
  </w:endnote>
  <w:endnote w:type="continuationSeparator" w:id="0">
    <w:p w14:paraId="683E4042" w14:textId="77777777" w:rsidR="00F1561B" w:rsidRDefault="00F15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33135" w14:textId="77777777" w:rsidR="008443FA" w:rsidRDefault="008443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33376" w14:textId="77777777" w:rsidR="008443FA" w:rsidRDefault="008443FA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243B5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9A3104">
      <w:rPr>
        <w:rStyle w:val="PageNumber"/>
        <w:noProof/>
      </w:rPr>
      <w:t>2016-05-17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D4D76" w14:textId="77777777" w:rsidR="008443FA" w:rsidRDefault="008443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C96A09" w14:textId="77777777" w:rsidR="00F1561B" w:rsidRDefault="00F1561B">
      <w:r>
        <w:separator/>
      </w:r>
    </w:p>
  </w:footnote>
  <w:footnote w:type="continuationSeparator" w:id="0">
    <w:p w14:paraId="655C096D" w14:textId="77777777" w:rsidR="00F1561B" w:rsidRDefault="00F156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4D321" w14:textId="77777777" w:rsidR="008443FA" w:rsidRDefault="008443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A3055" w14:textId="77777777" w:rsidR="008443FA" w:rsidRDefault="008443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09961" w14:textId="77777777" w:rsidR="008443FA" w:rsidRDefault="008443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D6FFC"/>
    <w:multiLevelType w:val="hybridMultilevel"/>
    <w:tmpl w:val="DA4E84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C473B"/>
    <w:multiLevelType w:val="hybridMultilevel"/>
    <w:tmpl w:val="E2A8C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77862AD"/>
    <w:multiLevelType w:val="hybridMultilevel"/>
    <w:tmpl w:val="289E7F8A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8" w15:restartNumberingAfterBreak="0">
    <w:nsid w:val="3036569D"/>
    <w:multiLevelType w:val="hybridMultilevel"/>
    <w:tmpl w:val="1D525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6B7867"/>
    <w:multiLevelType w:val="hybridMultilevel"/>
    <w:tmpl w:val="92903240"/>
    <w:lvl w:ilvl="0" w:tplc="647A19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AF4194"/>
    <w:multiLevelType w:val="hybridMultilevel"/>
    <w:tmpl w:val="1D525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1B0AB1"/>
    <w:multiLevelType w:val="hybridMultilevel"/>
    <w:tmpl w:val="A2401482"/>
    <w:lvl w:ilvl="0" w:tplc="73A4DF76">
      <w:numFmt w:val="bullet"/>
      <w:lvlText w:val="-"/>
      <w:lvlJc w:val="left"/>
      <w:pPr>
        <w:ind w:left="1440" w:hanging="360"/>
      </w:pPr>
      <w:rPr>
        <w:rFonts w:ascii="Calibri" w:eastAsia="MS Minch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042661"/>
    <w:multiLevelType w:val="hybridMultilevel"/>
    <w:tmpl w:val="44107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8" w15:restartNumberingAfterBreak="0">
    <w:nsid w:val="6E127B90"/>
    <w:multiLevelType w:val="hybridMultilevel"/>
    <w:tmpl w:val="A8147556"/>
    <w:lvl w:ilvl="0" w:tplc="647A19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4C1C3B"/>
    <w:multiLevelType w:val="multilevel"/>
    <w:tmpl w:val="C6ECE012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" w:hAnsi="Times New Roman" w:cs="Times New Roman" w:hint="default"/>
        <w:vanish/>
        <w:webHidden w:val="0"/>
        <w:color w:val="FFFFFF"/>
        <w:specVanish w:val="0"/>
      </w:rPr>
    </w:lvl>
    <w:lvl w:ilvl="1">
      <w:start w:val="3"/>
      <w:numFmt w:val="decimal"/>
      <w:lvlText w:val="%1.%2"/>
      <w:lvlJc w:val="left"/>
      <w:pPr>
        <w:tabs>
          <w:tab w:val="num" w:pos="1020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5"/>
  </w:num>
  <w:num w:numId="4">
    <w:abstractNumId w:val="13"/>
  </w:num>
  <w:num w:numId="5">
    <w:abstractNumId w:val="14"/>
  </w:num>
  <w:num w:numId="6">
    <w:abstractNumId w:val="6"/>
  </w:num>
  <w:num w:numId="7">
    <w:abstractNumId w:val="9"/>
  </w:num>
  <w:num w:numId="8">
    <w:abstractNumId w:val="6"/>
  </w:num>
  <w:num w:numId="9">
    <w:abstractNumId w:val="1"/>
  </w:num>
  <w:num w:numId="10">
    <w:abstractNumId w:val="5"/>
  </w:num>
  <w:num w:numId="11">
    <w:abstractNumId w:val="4"/>
  </w:num>
  <w:num w:numId="12">
    <w:abstractNumId w:val="19"/>
  </w:num>
  <w:num w:numId="13">
    <w:abstractNumId w:val="3"/>
  </w:num>
  <w:num w:numId="14">
    <w:abstractNumId w:val="8"/>
  </w:num>
  <w:num w:numId="15">
    <w:abstractNumId w:val="11"/>
  </w:num>
  <w:num w:numId="16">
    <w:abstractNumId w:val="6"/>
  </w:num>
  <w:num w:numId="17">
    <w:abstractNumId w:val="7"/>
  </w:num>
  <w:num w:numId="18">
    <w:abstractNumId w:val="2"/>
  </w:num>
  <w:num w:numId="19">
    <w:abstractNumId w:val="12"/>
  </w:num>
  <w:num w:numId="20">
    <w:abstractNumId w:val="16"/>
  </w:num>
  <w:num w:numId="21">
    <w:abstractNumId w:val="1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00DE0"/>
    <w:rsid w:val="0000320D"/>
    <w:rsid w:val="00006FB0"/>
    <w:rsid w:val="00016C16"/>
    <w:rsid w:val="0002525C"/>
    <w:rsid w:val="00027BCD"/>
    <w:rsid w:val="000306FD"/>
    <w:rsid w:val="000308A3"/>
    <w:rsid w:val="000352CB"/>
    <w:rsid w:val="0003559B"/>
    <w:rsid w:val="000458BC"/>
    <w:rsid w:val="00045C41"/>
    <w:rsid w:val="00046C03"/>
    <w:rsid w:val="0005566D"/>
    <w:rsid w:val="00055C95"/>
    <w:rsid w:val="00065039"/>
    <w:rsid w:val="00075684"/>
    <w:rsid w:val="0007614F"/>
    <w:rsid w:val="00094A9A"/>
    <w:rsid w:val="000A4E9F"/>
    <w:rsid w:val="000A5A08"/>
    <w:rsid w:val="000B0C0F"/>
    <w:rsid w:val="000B1C6B"/>
    <w:rsid w:val="000B4FF9"/>
    <w:rsid w:val="000C09AC"/>
    <w:rsid w:val="000C1D58"/>
    <w:rsid w:val="000D1E08"/>
    <w:rsid w:val="000E00F3"/>
    <w:rsid w:val="000F158C"/>
    <w:rsid w:val="000F2211"/>
    <w:rsid w:val="00102F3D"/>
    <w:rsid w:val="00103949"/>
    <w:rsid w:val="00115972"/>
    <w:rsid w:val="00124E38"/>
    <w:rsid w:val="0012580B"/>
    <w:rsid w:val="001260A3"/>
    <w:rsid w:val="00131F90"/>
    <w:rsid w:val="0013526E"/>
    <w:rsid w:val="00146152"/>
    <w:rsid w:val="00171371"/>
    <w:rsid w:val="00175216"/>
    <w:rsid w:val="00175A24"/>
    <w:rsid w:val="00187624"/>
    <w:rsid w:val="00187E58"/>
    <w:rsid w:val="001A07DC"/>
    <w:rsid w:val="001A297E"/>
    <w:rsid w:val="001A368E"/>
    <w:rsid w:val="001A7329"/>
    <w:rsid w:val="001A792F"/>
    <w:rsid w:val="001B2711"/>
    <w:rsid w:val="001B4E28"/>
    <w:rsid w:val="001C3525"/>
    <w:rsid w:val="001C3AFB"/>
    <w:rsid w:val="001D1BD2"/>
    <w:rsid w:val="001D5521"/>
    <w:rsid w:val="001E02BE"/>
    <w:rsid w:val="001E3B37"/>
    <w:rsid w:val="001F2594"/>
    <w:rsid w:val="001F3ECF"/>
    <w:rsid w:val="00201A63"/>
    <w:rsid w:val="002055A6"/>
    <w:rsid w:val="00206460"/>
    <w:rsid w:val="002069B4"/>
    <w:rsid w:val="00215DFC"/>
    <w:rsid w:val="002212DF"/>
    <w:rsid w:val="00222CD4"/>
    <w:rsid w:val="00225016"/>
    <w:rsid w:val="002264A6"/>
    <w:rsid w:val="00227232"/>
    <w:rsid w:val="00227BA7"/>
    <w:rsid w:val="0023011C"/>
    <w:rsid w:val="00232C2F"/>
    <w:rsid w:val="002375C1"/>
    <w:rsid w:val="00245134"/>
    <w:rsid w:val="002540D1"/>
    <w:rsid w:val="00263398"/>
    <w:rsid w:val="00266F06"/>
    <w:rsid w:val="002716DD"/>
    <w:rsid w:val="002756AB"/>
    <w:rsid w:val="00275BCF"/>
    <w:rsid w:val="00277754"/>
    <w:rsid w:val="002851AC"/>
    <w:rsid w:val="00290D65"/>
    <w:rsid w:val="00291E36"/>
    <w:rsid w:val="00292257"/>
    <w:rsid w:val="002935CD"/>
    <w:rsid w:val="002A54E0"/>
    <w:rsid w:val="002B1595"/>
    <w:rsid w:val="002B191D"/>
    <w:rsid w:val="002C0B81"/>
    <w:rsid w:val="002D0AF6"/>
    <w:rsid w:val="002E58AD"/>
    <w:rsid w:val="002F164D"/>
    <w:rsid w:val="00305177"/>
    <w:rsid w:val="00306206"/>
    <w:rsid w:val="00317D85"/>
    <w:rsid w:val="00327C56"/>
    <w:rsid w:val="003315A1"/>
    <w:rsid w:val="00331B10"/>
    <w:rsid w:val="003373EC"/>
    <w:rsid w:val="00341E53"/>
    <w:rsid w:val="0034256B"/>
    <w:rsid w:val="00342FF4"/>
    <w:rsid w:val="00346148"/>
    <w:rsid w:val="00350033"/>
    <w:rsid w:val="00355FF1"/>
    <w:rsid w:val="00356108"/>
    <w:rsid w:val="003669EA"/>
    <w:rsid w:val="003677E5"/>
    <w:rsid w:val="003706CC"/>
    <w:rsid w:val="00374E0B"/>
    <w:rsid w:val="00377710"/>
    <w:rsid w:val="0038562A"/>
    <w:rsid w:val="00396250"/>
    <w:rsid w:val="003A2D8E"/>
    <w:rsid w:val="003A7CE6"/>
    <w:rsid w:val="003C20E4"/>
    <w:rsid w:val="003D4855"/>
    <w:rsid w:val="003D6342"/>
    <w:rsid w:val="003E6F90"/>
    <w:rsid w:val="003F5D0F"/>
    <w:rsid w:val="0041041A"/>
    <w:rsid w:val="00414101"/>
    <w:rsid w:val="004153E3"/>
    <w:rsid w:val="00421692"/>
    <w:rsid w:val="004234F0"/>
    <w:rsid w:val="0043160F"/>
    <w:rsid w:val="00433DDB"/>
    <w:rsid w:val="00437619"/>
    <w:rsid w:val="00445385"/>
    <w:rsid w:val="00452A78"/>
    <w:rsid w:val="00465A1E"/>
    <w:rsid w:val="00495A50"/>
    <w:rsid w:val="004A2A63"/>
    <w:rsid w:val="004B210C"/>
    <w:rsid w:val="004D405F"/>
    <w:rsid w:val="004E26DA"/>
    <w:rsid w:val="004E4F4F"/>
    <w:rsid w:val="004E6789"/>
    <w:rsid w:val="004F415D"/>
    <w:rsid w:val="004F61E3"/>
    <w:rsid w:val="004F7B2F"/>
    <w:rsid w:val="00500ABB"/>
    <w:rsid w:val="00502E10"/>
    <w:rsid w:val="00504569"/>
    <w:rsid w:val="0051015C"/>
    <w:rsid w:val="00516CF1"/>
    <w:rsid w:val="005209C8"/>
    <w:rsid w:val="005233C7"/>
    <w:rsid w:val="00531AE9"/>
    <w:rsid w:val="0054575F"/>
    <w:rsid w:val="00550A66"/>
    <w:rsid w:val="00554B9D"/>
    <w:rsid w:val="00567EC7"/>
    <w:rsid w:val="00570013"/>
    <w:rsid w:val="00572F38"/>
    <w:rsid w:val="00576505"/>
    <w:rsid w:val="005801A2"/>
    <w:rsid w:val="00583820"/>
    <w:rsid w:val="00585FFC"/>
    <w:rsid w:val="005952A5"/>
    <w:rsid w:val="005A33A1"/>
    <w:rsid w:val="005B217D"/>
    <w:rsid w:val="005C00A0"/>
    <w:rsid w:val="005C14C1"/>
    <w:rsid w:val="005C385F"/>
    <w:rsid w:val="005D1D5D"/>
    <w:rsid w:val="005E1AC6"/>
    <w:rsid w:val="005F563B"/>
    <w:rsid w:val="005F6F1B"/>
    <w:rsid w:val="00604E1A"/>
    <w:rsid w:val="00605946"/>
    <w:rsid w:val="00624B33"/>
    <w:rsid w:val="0063041A"/>
    <w:rsid w:val="00630AA2"/>
    <w:rsid w:val="00646707"/>
    <w:rsid w:val="0065430D"/>
    <w:rsid w:val="00654A28"/>
    <w:rsid w:val="00654D31"/>
    <w:rsid w:val="00657F7E"/>
    <w:rsid w:val="00662E58"/>
    <w:rsid w:val="006640B3"/>
    <w:rsid w:val="00664DCF"/>
    <w:rsid w:val="0066572F"/>
    <w:rsid w:val="00681813"/>
    <w:rsid w:val="006A3A1F"/>
    <w:rsid w:val="006A52B7"/>
    <w:rsid w:val="006A557E"/>
    <w:rsid w:val="006C5D39"/>
    <w:rsid w:val="006C6C75"/>
    <w:rsid w:val="006D6D9B"/>
    <w:rsid w:val="006E2810"/>
    <w:rsid w:val="006E5417"/>
    <w:rsid w:val="006F4038"/>
    <w:rsid w:val="007023DE"/>
    <w:rsid w:val="00707E62"/>
    <w:rsid w:val="00712F60"/>
    <w:rsid w:val="00720E3B"/>
    <w:rsid w:val="00742701"/>
    <w:rsid w:val="0074393F"/>
    <w:rsid w:val="00745F6B"/>
    <w:rsid w:val="0074718B"/>
    <w:rsid w:val="0075585E"/>
    <w:rsid w:val="00756536"/>
    <w:rsid w:val="007643E3"/>
    <w:rsid w:val="00770571"/>
    <w:rsid w:val="007768FF"/>
    <w:rsid w:val="007824D3"/>
    <w:rsid w:val="00796EE3"/>
    <w:rsid w:val="007A7D29"/>
    <w:rsid w:val="007B4AB8"/>
    <w:rsid w:val="007C2049"/>
    <w:rsid w:val="007D1181"/>
    <w:rsid w:val="007D2F9D"/>
    <w:rsid w:val="007E01A3"/>
    <w:rsid w:val="007F1F8B"/>
    <w:rsid w:val="007F6519"/>
    <w:rsid w:val="007F67A1"/>
    <w:rsid w:val="00811C05"/>
    <w:rsid w:val="008206C8"/>
    <w:rsid w:val="0083144E"/>
    <w:rsid w:val="00833F51"/>
    <w:rsid w:val="0083652D"/>
    <w:rsid w:val="00837ED3"/>
    <w:rsid w:val="008443FA"/>
    <w:rsid w:val="00851E67"/>
    <w:rsid w:val="00854E30"/>
    <w:rsid w:val="0086387C"/>
    <w:rsid w:val="00865B35"/>
    <w:rsid w:val="008739D9"/>
    <w:rsid w:val="00874A6C"/>
    <w:rsid w:val="00876C65"/>
    <w:rsid w:val="00884E88"/>
    <w:rsid w:val="00892B88"/>
    <w:rsid w:val="00895681"/>
    <w:rsid w:val="008A4B4C"/>
    <w:rsid w:val="008A5FF7"/>
    <w:rsid w:val="008B7325"/>
    <w:rsid w:val="008C239F"/>
    <w:rsid w:val="008D19E4"/>
    <w:rsid w:val="008E289C"/>
    <w:rsid w:val="008E480C"/>
    <w:rsid w:val="008F3F98"/>
    <w:rsid w:val="00907757"/>
    <w:rsid w:val="009212B0"/>
    <w:rsid w:val="00921FA1"/>
    <w:rsid w:val="009234A5"/>
    <w:rsid w:val="00924F92"/>
    <w:rsid w:val="0093043A"/>
    <w:rsid w:val="00933453"/>
    <w:rsid w:val="009336F7"/>
    <w:rsid w:val="0093636C"/>
    <w:rsid w:val="009374A7"/>
    <w:rsid w:val="009507CD"/>
    <w:rsid w:val="00955F6D"/>
    <w:rsid w:val="0098551D"/>
    <w:rsid w:val="0099518F"/>
    <w:rsid w:val="009A1A29"/>
    <w:rsid w:val="009A3104"/>
    <w:rsid w:val="009A430C"/>
    <w:rsid w:val="009A523D"/>
    <w:rsid w:val="009B02A1"/>
    <w:rsid w:val="009B0E39"/>
    <w:rsid w:val="009F496B"/>
    <w:rsid w:val="00A01439"/>
    <w:rsid w:val="00A02E61"/>
    <w:rsid w:val="00A05CFF"/>
    <w:rsid w:val="00A13048"/>
    <w:rsid w:val="00A243B5"/>
    <w:rsid w:val="00A43066"/>
    <w:rsid w:val="00A46843"/>
    <w:rsid w:val="00A56B97"/>
    <w:rsid w:val="00A6093D"/>
    <w:rsid w:val="00A767DC"/>
    <w:rsid w:val="00A76A6D"/>
    <w:rsid w:val="00A82EB9"/>
    <w:rsid w:val="00A83253"/>
    <w:rsid w:val="00A8634E"/>
    <w:rsid w:val="00A8785C"/>
    <w:rsid w:val="00AA0982"/>
    <w:rsid w:val="00AA0F64"/>
    <w:rsid w:val="00AA4BCA"/>
    <w:rsid w:val="00AA6248"/>
    <w:rsid w:val="00AA6E84"/>
    <w:rsid w:val="00AB28B9"/>
    <w:rsid w:val="00AC06E7"/>
    <w:rsid w:val="00AC10BA"/>
    <w:rsid w:val="00AD05A8"/>
    <w:rsid w:val="00AE1371"/>
    <w:rsid w:val="00AE2BD2"/>
    <w:rsid w:val="00AE341B"/>
    <w:rsid w:val="00B07CA7"/>
    <w:rsid w:val="00B1279A"/>
    <w:rsid w:val="00B24AB5"/>
    <w:rsid w:val="00B24B92"/>
    <w:rsid w:val="00B4194A"/>
    <w:rsid w:val="00B5222E"/>
    <w:rsid w:val="00B53179"/>
    <w:rsid w:val="00B600CD"/>
    <w:rsid w:val="00B61C96"/>
    <w:rsid w:val="00B73A2A"/>
    <w:rsid w:val="00B742BC"/>
    <w:rsid w:val="00B828FE"/>
    <w:rsid w:val="00B832CA"/>
    <w:rsid w:val="00B83A2D"/>
    <w:rsid w:val="00B87EB5"/>
    <w:rsid w:val="00B94B06"/>
    <w:rsid w:val="00B94C28"/>
    <w:rsid w:val="00B963DD"/>
    <w:rsid w:val="00BA59B6"/>
    <w:rsid w:val="00BA62C9"/>
    <w:rsid w:val="00BC10BA"/>
    <w:rsid w:val="00BC1978"/>
    <w:rsid w:val="00BC5AFD"/>
    <w:rsid w:val="00BD0264"/>
    <w:rsid w:val="00BD1BE2"/>
    <w:rsid w:val="00BD4E1D"/>
    <w:rsid w:val="00BD5566"/>
    <w:rsid w:val="00BD6A02"/>
    <w:rsid w:val="00BE5423"/>
    <w:rsid w:val="00BF51D6"/>
    <w:rsid w:val="00C044C2"/>
    <w:rsid w:val="00C04F43"/>
    <w:rsid w:val="00C0609D"/>
    <w:rsid w:val="00C115AB"/>
    <w:rsid w:val="00C23AB5"/>
    <w:rsid w:val="00C26CCB"/>
    <w:rsid w:val="00C30249"/>
    <w:rsid w:val="00C3723B"/>
    <w:rsid w:val="00C42466"/>
    <w:rsid w:val="00C606C9"/>
    <w:rsid w:val="00C80288"/>
    <w:rsid w:val="00C84003"/>
    <w:rsid w:val="00C8694D"/>
    <w:rsid w:val="00C90650"/>
    <w:rsid w:val="00C97D78"/>
    <w:rsid w:val="00CB4112"/>
    <w:rsid w:val="00CB7CD5"/>
    <w:rsid w:val="00CC2AAE"/>
    <w:rsid w:val="00CC5A42"/>
    <w:rsid w:val="00CD0EAB"/>
    <w:rsid w:val="00CD5AA5"/>
    <w:rsid w:val="00CE3CA5"/>
    <w:rsid w:val="00CE5E02"/>
    <w:rsid w:val="00CF0528"/>
    <w:rsid w:val="00CF34DB"/>
    <w:rsid w:val="00CF3712"/>
    <w:rsid w:val="00CF558F"/>
    <w:rsid w:val="00D010C0"/>
    <w:rsid w:val="00D073E2"/>
    <w:rsid w:val="00D1404C"/>
    <w:rsid w:val="00D20631"/>
    <w:rsid w:val="00D32AC7"/>
    <w:rsid w:val="00D35B0A"/>
    <w:rsid w:val="00D446EC"/>
    <w:rsid w:val="00D51BF0"/>
    <w:rsid w:val="00D55942"/>
    <w:rsid w:val="00D632D3"/>
    <w:rsid w:val="00D752E9"/>
    <w:rsid w:val="00D807BF"/>
    <w:rsid w:val="00D82FCC"/>
    <w:rsid w:val="00D85060"/>
    <w:rsid w:val="00D8658E"/>
    <w:rsid w:val="00DA17FC"/>
    <w:rsid w:val="00DA7887"/>
    <w:rsid w:val="00DB2C26"/>
    <w:rsid w:val="00DB59BF"/>
    <w:rsid w:val="00DB7EAA"/>
    <w:rsid w:val="00DD0051"/>
    <w:rsid w:val="00DD02F4"/>
    <w:rsid w:val="00DE6B43"/>
    <w:rsid w:val="00E0203D"/>
    <w:rsid w:val="00E02DA4"/>
    <w:rsid w:val="00E0526C"/>
    <w:rsid w:val="00E11923"/>
    <w:rsid w:val="00E12BDE"/>
    <w:rsid w:val="00E262D4"/>
    <w:rsid w:val="00E3009D"/>
    <w:rsid w:val="00E36250"/>
    <w:rsid w:val="00E54511"/>
    <w:rsid w:val="00E61DAC"/>
    <w:rsid w:val="00E72B80"/>
    <w:rsid w:val="00E75FE3"/>
    <w:rsid w:val="00E86C4C"/>
    <w:rsid w:val="00E907A3"/>
    <w:rsid w:val="00E97FE9"/>
    <w:rsid w:val="00EA116B"/>
    <w:rsid w:val="00EA5AE0"/>
    <w:rsid w:val="00EA5FDA"/>
    <w:rsid w:val="00EB7AB1"/>
    <w:rsid w:val="00ED15EA"/>
    <w:rsid w:val="00EE6E87"/>
    <w:rsid w:val="00EE7CD8"/>
    <w:rsid w:val="00EF48CC"/>
    <w:rsid w:val="00F00801"/>
    <w:rsid w:val="00F068FE"/>
    <w:rsid w:val="00F1561B"/>
    <w:rsid w:val="00F16846"/>
    <w:rsid w:val="00F5196C"/>
    <w:rsid w:val="00F576F1"/>
    <w:rsid w:val="00F62217"/>
    <w:rsid w:val="00F62BDA"/>
    <w:rsid w:val="00F63778"/>
    <w:rsid w:val="00F65A72"/>
    <w:rsid w:val="00F73032"/>
    <w:rsid w:val="00F8470A"/>
    <w:rsid w:val="00F848FC"/>
    <w:rsid w:val="00F9282A"/>
    <w:rsid w:val="00F96BAD"/>
    <w:rsid w:val="00FA139D"/>
    <w:rsid w:val="00FA2FED"/>
    <w:rsid w:val="00FA3AE3"/>
    <w:rsid w:val="00FB0E84"/>
    <w:rsid w:val="00FC5A4F"/>
    <w:rsid w:val="00FD01C2"/>
    <w:rsid w:val="00FD2D13"/>
    <w:rsid w:val="00FE0691"/>
    <w:rsid w:val="00FE595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09DD33"/>
  <w15:chartTrackingRefBased/>
  <w15:docId w15:val="{2DDA0F5B-01D0-4FB8-8E20-68282978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Annex2Char">
    <w:name w:val="Annex 2 Char"/>
    <w:link w:val="Annex2"/>
    <w:uiPriority w:val="99"/>
    <w:locked/>
    <w:rsid w:val="00F5196C"/>
    <w:rPr>
      <w:b/>
      <w:bCs/>
      <w:sz w:val="22"/>
      <w:szCs w:val="22"/>
      <w:lang w:val="en-GB"/>
    </w:rPr>
  </w:style>
  <w:style w:type="paragraph" w:customStyle="1" w:styleId="Annex2">
    <w:name w:val="Annex 2"/>
    <w:basedOn w:val="Normal"/>
    <w:next w:val="Normal"/>
    <w:link w:val="Annex2Char"/>
    <w:uiPriority w:val="99"/>
    <w:qFormat/>
    <w:rsid w:val="00F5196C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  <w:tab w:val="left" w:pos="4853"/>
        <w:tab w:val="right" w:pos="9691"/>
      </w:tabs>
      <w:spacing w:before="313"/>
      <w:ind w:left="1440" w:hanging="360"/>
      <w:jc w:val="both"/>
      <w:textAlignment w:val="auto"/>
      <w:outlineLvl w:val="1"/>
    </w:pPr>
    <w:rPr>
      <w:b/>
      <w:bCs/>
      <w:szCs w:val="22"/>
      <w:lang w:val="en-GB" w:eastAsia="ja-JP"/>
    </w:rPr>
  </w:style>
  <w:style w:type="paragraph" w:customStyle="1" w:styleId="Text">
    <w:name w:val="Text"/>
    <w:basedOn w:val="Normal"/>
    <w:rsid w:val="00103949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line="252" w:lineRule="auto"/>
      <w:ind w:firstLine="202"/>
      <w:jc w:val="both"/>
      <w:textAlignment w:val="auto"/>
    </w:pPr>
    <w:rPr>
      <w:sz w:val="20"/>
    </w:rPr>
  </w:style>
  <w:style w:type="paragraph" w:styleId="Caption">
    <w:name w:val="caption"/>
    <w:basedOn w:val="Normal"/>
    <w:next w:val="Normal"/>
    <w:unhideWhenUsed/>
    <w:qFormat/>
    <w:rsid w:val="006F4038"/>
    <w:pPr>
      <w:spacing w:before="0" w:after="200"/>
      <w:jc w:val="center"/>
    </w:pPr>
    <w:rPr>
      <w:b/>
      <w:iCs/>
      <w:sz w:val="18"/>
      <w:szCs w:val="18"/>
    </w:rPr>
  </w:style>
  <w:style w:type="table" w:styleId="TableGrid">
    <w:name w:val="Table Grid"/>
    <w:basedOn w:val="TableNormal"/>
    <w:rsid w:val="00C0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500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350033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35003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500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50033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75653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4270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AA0982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120"/>
      <w:jc w:val="both"/>
      <w:textAlignment w:val="auto"/>
    </w:pPr>
    <w:rPr>
      <w:rFonts w:eastAsia="MS Mincho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AA0982"/>
    <w:rPr>
      <w:rFonts w:eastAsia="MS Mincho"/>
      <w:sz w:val="24"/>
      <w:szCs w:val="24"/>
      <w:lang w:eastAsia="en-US"/>
    </w:rPr>
  </w:style>
  <w:style w:type="paragraph" w:customStyle="1" w:styleId="BodyTextfirstgraph">
    <w:name w:val="Body Text (first graph)"/>
    <w:basedOn w:val="BodyText"/>
    <w:next w:val="BodyText"/>
    <w:link w:val="BodyTextfirstgraphChar"/>
    <w:uiPriority w:val="99"/>
    <w:qFormat/>
    <w:rsid w:val="00A82EB9"/>
    <w:pPr>
      <w:spacing w:before="30" w:after="30"/>
    </w:pPr>
    <w:rPr>
      <w:rFonts w:eastAsia="Times New Roman"/>
    </w:rPr>
  </w:style>
  <w:style w:type="character" w:customStyle="1" w:styleId="BodyTextfirstgraphChar">
    <w:name w:val="Body Text (first graph) Char"/>
    <w:link w:val="BodyTextfirstgraph"/>
    <w:uiPriority w:val="99"/>
    <w:locked/>
    <w:rsid w:val="00A82EB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phenix.it-sudparis.eu/jct/doc_end_user/documents/22_Geneva/wg11/JCTVC-V0064-v1.zip" TargetMode="External"/><Relationship Id="rId18" Type="http://schemas.openxmlformats.org/officeDocument/2006/relationships/hyperlink" Target="http://phenix.it-sudparis.eu/jct/doc_end_user/documents/23_San%20Diego/wg11/JCTVC-W0031-v1.zip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phenix.it-sudparis.eu/jct/doc_end_user/documents/17_Valencia/wg11/JCTVC-Q0074-v4.zip" TargetMode="External"/><Relationship Id="rId17" Type="http://schemas.openxmlformats.org/officeDocument/2006/relationships/oleObject" Target="embeddings/oleObject2.bin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ierre.andrivon@technicolor.com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footer" Target="footer2.xml"/><Relationship Id="rId10" Type="http://schemas.openxmlformats.org/officeDocument/2006/relationships/hyperlink" Target="mailto:edouard.francois@technicolor.com" TargetMode="External"/><Relationship Id="rId19" Type="http://schemas.openxmlformats.org/officeDocument/2006/relationships/hyperlink" Target="http://phenix.it-sudparis.eu/jct/doc_end_user/documents/23_San%20Diego/wg11/JCTVC-W0084-v2.zi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emf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1B890-A22E-414A-BCA0-F9AE17387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1514</Words>
  <Characters>8634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10128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dc:description/>
  <cp:lastModifiedBy>Francois Edouard</cp:lastModifiedBy>
  <cp:revision>19</cp:revision>
  <cp:lastPrinted>1900-01-01T07:00:00Z</cp:lastPrinted>
  <dcterms:created xsi:type="dcterms:W3CDTF">2016-05-17T18:55:00Z</dcterms:created>
  <dcterms:modified xsi:type="dcterms:W3CDTF">2016-05-17T19:30:00Z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-383968442</vt:i4>
  </property>
  <property fmtid="{D5CDD505-2E9C-101B-9397-08002B2CF9AE}" pid="3" name="_NewReviewCycle">
    <vt:lpwstr/>
  </property>
  <property fmtid="{D5CDD505-2E9C-101B-9397-08002B2CF9AE}" pid="4" name="_EmailSubject">
    <vt:lpwstr>RE : CRI for DRA contributions</vt:lpwstr>
  </property>
  <property fmtid="{D5CDD505-2E9C-101B-9397-08002B2CF9AE}" pid="5" name="_AuthorEmail">
    <vt:lpwstr>dmytror@qti.qualcomm.com</vt:lpwstr>
  </property>
  <property fmtid="{D5CDD505-2E9C-101B-9397-08002B2CF9AE}" pid="6" name="_AuthorEmailDisplayName">
    <vt:lpwstr>Rusanovskyy, Dmytro</vt:lpwstr>
  </property>
  <property fmtid="{D5CDD505-2E9C-101B-9397-08002B2CF9AE}" pid="7" name="_ReviewingToolsShownOnce">
    <vt:lpwstr/>
  </property>
</Properties>
</file>