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400EB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294DBC" w:rsidP="0049229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4BB">
              <w:t>24th Meeting: Geneva, CH, 26 May – 1 June 2016</w:t>
            </w:r>
          </w:p>
        </w:tc>
        <w:tc>
          <w:tcPr>
            <w:tcW w:w="3168" w:type="dxa"/>
          </w:tcPr>
          <w:p w:rsidR="008A4B4C" w:rsidRPr="00367021" w:rsidRDefault="00E61DAC" w:rsidP="00294DB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294DBC">
              <w:rPr>
                <w:lang w:val="en-CA"/>
              </w:rPr>
              <w:t>X</w:t>
            </w:r>
            <w:r w:rsidR="0055488A" w:rsidRPr="00CC0818">
              <w:rPr>
                <w:lang w:val="en-CA"/>
              </w:rPr>
              <w:t>0</w:t>
            </w:r>
            <w:r w:rsidR="00294DBC">
              <w:rPr>
                <w:lang w:val="en-CA"/>
              </w:rPr>
              <w:t>056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F622A" w:rsidRDefault="00294DBC" w:rsidP="00BF622A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  <w:lang w:val="en-CA"/>
              </w:rPr>
              <w:t xml:space="preserve">AHG13: Crosscheck report of JCTVC-X0043: on </w:t>
            </w:r>
            <w:proofErr w:type="spellStart"/>
            <w:r>
              <w:rPr>
                <w:b/>
                <w:szCs w:val="22"/>
                <w:lang w:val="en-CA"/>
              </w:rPr>
              <w:t>Luma</w:t>
            </w:r>
            <w:proofErr w:type="spellEnd"/>
            <w:r>
              <w:rPr>
                <w:b/>
                <w:szCs w:val="22"/>
                <w:lang w:val="en-CA"/>
              </w:rPr>
              <w:t xml:space="preserve"> Adjustment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D235DE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A74D0B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5350D" w:rsidRDefault="00E61DAC" w:rsidP="00C5350D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Pr="00367021">
              <w:rPr>
                <w:szCs w:val="22"/>
                <w:lang w:val="en-CA"/>
              </w:rPr>
              <w:br/>
            </w:r>
            <w:hyperlink r:id="rId10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</w:p>
          <w:p w:rsidR="009B2C58" w:rsidRPr="009B2C58" w:rsidRDefault="00400EB1" w:rsidP="00C5350D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hyperlink r:id="rId11" w:history="1">
              <w:r w:rsidR="00EC42FA" w:rsidRPr="003948CB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 xml:space="preserve">This document reports </w:t>
      </w:r>
      <w:bookmarkStart w:id="0" w:name="_GoBack"/>
      <w:bookmarkEnd w:id="0"/>
      <w:del w:id="1" w:author="Yan Ye" w:date="2016-05-29T00:12:00Z">
        <w:r w:rsidDel="00EB683B">
          <w:rPr>
            <w:lang w:val="en-CA"/>
          </w:rPr>
          <w:delText xml:space="preserve">the </w:delText>
        </w:r>
      </w:del>
      <w:r>
        <w:rPr>
          <w:lang w:val="en-CA"/>
        </w:rPr>
        <w:t xml:space="preserve">crosscheck results for </w:t>
      </w:r>
      <w:r w:rsidR="00913D0B">
        <w:rPr>
          <w:lang w:val="en-CA"/>
        </w:rPr>
        <w:t>proposal JCTVC-</w:t>
      </w:r>
      <w:r w:rsidR="00107B89">
        <w:rPr>
          <w:lang w:val="en-CA"/>
        </w:rPr>
        <w:t>X</w:t>
      </w:r>
      <w:r w:rsidR="00913D0B">
        <w:rPr>
          <w:lang w:val="en-CA"/>
        </w:rPr>
        <w:t>0</w:t>
      </w:r>
      <w:r w:rsidR="00107B89">
        <w:rPr>
          <w:lang w:val="en-CA"/>
        </w:rPr>
        <w:t>043</w:t>
      </w:r>
      <w:r>
        <w:rPr>
          <w:lang w:val="en-CA"/>
        </w:rPr>
        <w:t xml:space="preserve"> on </w:t>
      </w:r>
      <w:proofErr w:type="spellStart"/>
      <w:r w:rsidR="00107B89">
        <w:rPr>
          <w:lang w:val="en-CA"/>
        </w:rPr>
        <w:t>Luma</w:t>
      </w:r>
      <w:proofErr w:type="spellEnd"/>
      <w:r w:rsidR="00107B89">
        <w:rPr>
          <w:lang w:val="en-CA"/>
        </w:rPr>
        <w:t xml:space="preserve"> Adjustment</w:t>
      </w:r>
      <w:r>
        <w:rPr>
          <w:lang w:val="en-CA"/>
        </w:rPr>
        <w:t xml:space="preserve">. </w:t>
      </w:r>
      <w:r w:rsidR="00107B89">
        <w:rPr>
          <w:lang w:val="en-CA"/>
        </w:rPr>
        <w:t xml:space="preserve">The </w:t>
      </w:r>
      <w:proofErr w:type="spellStart"/>
      <w:r w:rsidR="00107B89">
        <w:rPr>
          <w:lang w:val="en-CA"/>
        </w:rPr>
        <w:t>luma</w:t>
      </w:r>
      <w:proofErr w:type="spellEnd"/>
      <w:r w:rsidR="00107B89">
        <w:rPr>
          <w:lang w:val="en-CA"/>
        </w:rPr>
        <w:t xml:space="preserve"> adjustment functionality can be switched on/off via the setting of parameter “</w:t>
      </w:r>
      <w:proofErr w:type="spellStart"/>
      <w:r w:rsidR="00107B89" w:rsidRPr="00107B89">
        <w:rPr>
          <w:lang w:val="en-CA"/>
        </w:rPr>
        <w:t>ClosedLoopConversion</w:t>
      </w:r>
      <w:proofErr w:type="spellEnd"/>
      <w:r w:rsidR="00107B89">
        <w:rPr>
          <w:lang w:val="en-CA"/>
        </w:rPr>
        <w:t>” in configuration file</w:t>
      </w:r>
      <w:r>
        <w:rPr>
          <w:lang w:val="en-CA"/>
        </w:rPr>
        <w:t xml:space="preserve">. </w:t>
      </w:r>
      <w:r w:rsidR="00107B89">
        <w:rPr>
          <w:lang w:val="en-CA"/>
        </w:rPr>
        <w:t xml:space="preserve">The </w:t>
      </w:r>
      <w:proofErr w:type="spellStart"/>
      <w:r w:rsidR="00107B89">
        <w:rPr>
          <w:lang w:val="en-CA"/>
        </w:rPr>
        <w:t>luma</w:t>
      </w:r>
      <w:proofErr w:type="spellEnd"/>
      <w:r w:rsidR="00107B89">
        <w:rPr>
          <w:lang w:val="en-CA"/>
        </w:rPr>
        <w:t xml:space="preserve"> adjustment off test is carried out by setting </w:t>
      </w:r>
      <w:proofErr w:type="spellStart"/>
      <w:r w:rsidR="00107B89" w:rsidRPr="00107B89">
        <w:rPr>
          <w:lang w:val="en-CA"/>
        </w:rPr>
        <w:t>ClosedLoopConversion</w:t>
      </w:r>
      <w:proofErr w:type="spellEnd"/>
      <w:r w:rsidR="00107B89">
        <w:rPr>
          <w:lang w:val="en-CA"/>
        </w:rPr>
        <w:t xml:space="preserve"> equal to 0. </w:t>
      </w:r>
      <w:r w:rsidR="000B4A92">
        <w:rPr>
          <w:lang w:val="en-CA"/>
        </w:rPr>
        <w:t xml:space="preserve">Two types of tests, </w:t>
      </w:r>
      <w:r w:rsidR="00D04044">
        <w:rPr>
          <w:lang w:val="en-CA"/>
        </w:rPr>
        <w:t>conversion</w:t>
      </w:r>
      <w:r w:rsidR="000B4A92">
        <w:rPr>
          <w:lang w:val="en-CA"/>
        </w:rPr>
        <w:t xml:space="preserve"> only (without compression) and </w:t>
      </w:r>
      <w:r w:rsidR="00D04044">
        <w:rPr>
          <w:lang w:val="en-CA"/>
        </w:rPr>
        <w:t>conversion</w:t>
      </w:r>
      <w:r w:rsidR="000B4A92">
        <w:rPr>
          <w:lang w:val="en-CA"/>
        </w:rPr>
        <w:t xml:space="preserve"> plus compression, were conducted and c</w:t>
      </w:r>
      <w:r w:rsidR="00107B89">
        <w:rPr>
          <w:lang w:val="en-CA"/>
        </w:rPr>
        <w:t>ompared with HDR/WCG anchor v3.2</w:t>
      </w:r>
      <w:r w:rsidR="000B4A92">
        <w:rPr>
          <w:lang w:val="en-CA"/>
        </w:rPr>
        <w:t xml:space="preserve">. For objective metrics, </w:t>
      </w:r>
      <w:r w:rsidR="00107B89">
        <w:rPr>
          <w:lang w:val="en-CA"/>
        </w:rPr>
        <w:t xml:space="preserve">they </w:t>
      </w:r>
      <w:r>
        <w:rPr>
          <w:lang w:val="en-CA"/>
        </w:rPr>
        <w:t>match</w:t>
      </w:r>
      <w:r w:rsidR="000B4A92">
        <w:rPr>
          <w:lang w:val="en-CA"/>
        </w:rPr>
        <w:t>ed</w:t>
      </w:r>
      <w:r>
        <w:rPr>
          <w:lang w:val="en-CA"/>
        </w:rPr>
        <w:t xml:space="preserve"> </w:t>
      </w:r>
      <w:r w:rsidR="00107B89">
        <w:rPr>
          <w:lang w:val="en-CA"/>
        </w:rPr>
        <w:t xml:space="preserve">those results </w:t>
      </w:r>
      <w:r>
        <w:rPr>
          <w:lang w:val="en-CA"/>
        </w:rPr>
        <w:t>provided in JCTVC-</w:t>
      </w:r>
      <w:r w:rsidR="00107B89">
        <w:rPr>
          <w:lang w:val="en-CA"/>
        </w:rPr>
        <w:t>X0043</w:t>
      </w:r>
      <w:r w:rsidR="00BF622A">
        <w:rPr>
          <w:lang w:val="en-CA"/>
        </w:rPr>
        <w:t>.</w:t>
      </w:r>
      <w:r>
        <w:rPr>
          <w:lang w:val="en-CA"/>
        </w:rPr>
        <w:t xml:space="preserve"> </w:t>
      </w:r>
      <w:r w:rsidR="000B4A92">
        <w:rPr>
          <w:lang w:val="en-CA"/>
        </w:rPr>
        <w:t>Subjective evaluation was also conducted.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725E47" w:rsidRDefault="00B8375E" w:rsidP="00725E47">
      <w:pPr>
        <w:jc w:val="both"/>
        <w:rPr>
          <w:lang w:eastAsia="zh-TW"/>
        </w:rPr>
      </w:pPr>
      <w:proofErr w:type="spellStart"/>
      <w:r>
        <w:rPr>
          <w:szCs w:val="22"/>
          <w:lang w:val="en-CA"/>
        </w:rPr>
        <w:t>Luma</w:t>
      </w:r>
      <w:proofErr w:type="spellEnd"/>
      <w:r>
        <w:rPr>
          <w:szCs w:val="22"/>
          <w:lang w:val="en-CA"/>
        </w:rPr>
        <w:t xml:space="preserve"> adjustment was initially introduced in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_Ref451258082 \n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[3]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to correct the </w:t>
      </w:r>
      <w:proofErr w:type="spellStart"/>
      <w:r>
        <w:rPr>
          <w:szCs w:val="22"/>
          <w:lang w:val="en-CA"/>
        </w:rPr>
        <w:t>luma</w:t>
      </w:r>
      <w:proofErr w:type="spellEnd"/>
      <w:r>
        <w:rPr>
          <w:szCs w:val="22"/>
          <w:lang w:val="en-CA"/>
        </w:rPr>
        <w:t xml:space="preserve"> error caused by </w:t>
      </w:r>
      <w:proofErr w:type="spellStart"/>
      <w:r>
        <w:rPr>
          <w:szCs w:val="22"/>
          <w:lang w:val="en-CA"/>
        </w:rPr>
        <w:t>chroma</w:t>
      </w:r>
      <w:proofErr w:type="spellEnd"/>
      <w:r>
        <w:rPr>
          <w:szCs w:val="22"/>
          <w:lang w:val="en-CA"/>
        </w:rPr>
        <w:t xml:space="preserve"> </w:t>
      </w:r>
      <w:proofErr w:type="spellStart"/>
      <w:r>
        <w:rPr>
          <w:szCs w:val="22"/>
          <w:lang w:val="en-CA"/>
        </w:rPr>
        <w:t>downsampling</w:t>
      </w:r>
      <w:proofErr w:type="spellEnd"/>
      <w:r>
        <w:rPr>
          <w:szCs w:val="22"/>
          <w:lang w:val="en-CA"/>
        </w:rPr>
        <w:t xml:space="preserve"> in the pre-processing </w:t>
      </w:r>
      <w:r w:rsidR="00D04044">
        <w:rPr>
          <w:szCs w:val="22"/>
          <w:lang w:val="en-CA"/>
        </w:rPr>
        <w:t xml:space="preserve">(that is, conversion) </w:t>
      </w:r>
      <w:r>
        <w:rPr>
          <w:szCs w:val="22"/>
          <w:lang w:val="en-CA"/>
        </w:rPr>
        <w:t xml:space="preserve">stage before encoding. </w:t>
      </w:r>
      <w:r w:rsidR="0011057F">
        <w:rPr>
          <w:szCs w:val="22"/>
          <w:lang w:val="en-CA"/>
        </w:rPr>
        <w:t>JCTVC-</w:t>
      </w:r>
      <w:r w:rsidR="00107B89">
        <w:rPr>
          <w:szCs w:val="22"/>
          <w:lang w:val="en-CA"/>
        </w:rPr>
        <w:t>X</w:t>
      </w:r>
      <w:r w:rsidR="000168A5">
        <w:rPr>
          <w:szCs w:val="22"/>
          <w:lang w:val="en-CA"/>
        </w:rPr>
        <w:t>0</w:t>
      </w:r>
      <w:r w:rsidR="00107B89">
        <w:rPr>
          <w:szCs w:val="22"/>
          <w:lang w:val="en-CA"/>
        </w:rPr>
        <w:t>043</w:t>
      </w:r>
      <w:r w:rsidR="0011057F">
        <w:rPr>
          <w:szCs w:val="22"/>
          <w:lang w:val="en-CA"/>
        </w:rPr>
        <w:t xml:space="preserve"> </w:t>
      </w:r>
      <w:r w:rsidR="00C20878">
        <w:rPr>
          <w:szCs w:val="22"/>
          <w:lang w:val="en-CA"/>
        </w:rPr>
        <w:t>further</w:t>
      </w:r>
      <w:r>
        <w:rPr>
          <w:szCs w:val="22"/>
          <w:lang w:val="en-CA"/>
        </w:rPr>
        <w:t xml:space="preserve"> test</w:t>
      </w:r>
      <w:r w:rsidR="00C20878">
        <w:rPr>
          <w:szCs w:val="22"/>
          <w:lang w:val="en-CA"/>
        </w:rPr>
        <w:t>ed</w:t>
      </w:r>
      <w:r>
        <w:rPr>
          <w:szCs w:val="22"/>
          <w:lang w:val="en-CA"/>
        </w:rPr>
        <w:t xml:space="preserve"> its </w:t>
      </w:r>
      <w:r w:rsidR="00D04044">
        <w:rPr>
          <w:szCs w:val="22"/>
          <w:lang w:val="en-CA"/>
        </w:rPr>
        <w:t>e</w:t>
      </w:r>
      <w:r>
        <w:rPr>
          <w:szCs w:val="22"/>
          <w:lang w:val="en-CA"/>
        </w:rPr>
        <w:t xml:space="preserve">ffect </w:t>
      </w:r>
      <w:r w:rsidR="000B4A92">
        <w:rPr>
          <w:szCs w:val="22"/>
          <w:lang w:val="en-CA"/>
        </w:rPr>
        <w:t>under</w:t>
      </w:r>
      <w:r>
        <w:rPr>
          <w:szCs w:val="22"/>
          <w:lang w:val="en-CA"/>
        </w:rPr>
        <w:t xml:space="preserve"> various conditions</w:t>
      </w:r>
      <w:r w:rsidR="00BF622A">
        <w:rPr>
          <w:szCs w:val="22"/>
          <w:lang w:val="en-CA"/>
        </w:rPr>
        <w:t xml:space="preserve">. </w:t>
      </w:r>
      <w:r>
        <w:rPr>
          <w:szCs w:val="22"/>
          <w:lang w:val="en-CA"/>
        </w:rPr>
        <w:t>We cross</w:t>
      </w:r>
      <w:r w:rsidR="00793F7F">
        <w:rPr>
          <w:szCs w:val="22"/>
          <w:lang w:val="en-CA"/>
        </w:rPr>
        <w:t xml:space="preserve">-checked two simulation results based on HDR/WCG CTC </w:t>
      </w:r>
      <w:r w:rsidR="00793F7F">
        <w:rPr>
          <w:szCs w:val="22"/>
          <w:lang w:val="en-CA"/>
        </w:rPr>
        <w:fldChar w:fldCharType="begin"/>
      </w:r>
      <w:r w:rsidR="00793F7F">
        <w:rPr>
          <w:szCs w:val="22"/>
          <w:lang w:val="en-CA"/>
        </w:rPr>
        <w:instrText xml:space="preserve"> REF _Ref450252013 \n \h </w:instrText>
      </w:r>
      <w:r w:rsidR="00793F7F">
        <w:rPr>
          <w:szCs w:val="22"/>
          <w:lang w:val="en-CA"/>
        </w:rPr>
      </w:r>
      <w:r w:rsidR="00793F7F">
        <w:rPr>
          <w:szCs w:val="22"/>
          <w:lang w:val="en-CA"/>
        </w:rPr>
        <w:fldChar w:fldCharType="separate"/>
      </w:r>
      <w:r w:rsidR="00793F7F">
        <w:rPr>
          <w:szCs w:val="22"/>
          <w:lang w:val="en-CA"/>
        </w:rPr>
        <w:t>[2]</w:t>
      </w:r>
      <w:r w:rsidR="00793F7F">
        <w:rPr>
          <w:szCs w:val="22"/>
          <w:lang w:val="en-CA"/>
        </w:rPr>
        <w:fldChar w:fldCharType="end"/>
      </w:r>
      <w:r w:rsidR="00793F7F">
        <w:rPr>
          <w:szCs w:val="22"/>
          <w:lang w:val="en-CA"/>
        </w:rPr>
        <w:t>:</w:t>
      </w:r>
      <w:r>
        <w:rPr>
          <w:szCs w:val="22"/>
          <w:lang w:val="en-CA"/>
        </w:rPr>
        <w:t xml:space="preserve"> </w:t>
      </w:r>
      <w:r w:rsidR="00793F7F">
        <w:rPr>
          <w:szCs w:val="22"/>
          <w:lang w:val="en-CA"/>
        </w:rPr>
        <w:t xml:space="preserve">(1) </w:t>
      </w:r>
      <w:r>
        <w:rPr>
          <w:szCs w:val="22"/>
          <w:lang w:val="en-CA"/>
        </w:rPr>
        <w:t xml:space="preserve">PSNR </w:t>
      </w:r>
      <w:r w:rsidR="00793F7F">
        <w:rPr>
          <w:szCs w:val="22"/>
          <w:lang w:val="en-CA"/>
        </w:rPr>
        <w:t xml:space="preserve">results </w:t>
      </w:r>
      <w:r>
        <w:rPr>
          <w:szCs w:val="22"/>
          <w:lang w:val="en-CA"/>
        </w:rPr>
        <w:t xml:space="preserve">of </w:t>
      </w:r>
      <w:r w:rsidR="00793F7F">
        <w:rPr>
          <w:szCs w:val="22"/>
          <w:lang w:val="en-CA"/>
        </w:rPr>
        <w:t xml:space="preserve">conversion without </w:t>
      </w:r>
      <w:proofErr w:type="spellStart"/>
      <w:r w:rsidR="00793F7F">
        <w:rPr>
          <w:szCs w:val="22"/>
          <w:lang w:val="en-CA"/>
        </w:rPr>
        <w:t>luma</w:t>
      </w:r>
      <w:proofErr w:type="spellEnd"/>
      <w:r w:rsidR="00793F7F">
        <w:rPr>
          <w:szCs w:val="22"/>
          <w:lang w:val="en-CA"/>
        </w:rPr>
        <w:t xml:space="preserve"> adjustment</w:t>
      </w:r>
      <w:r w:rsidR="000B4A92">
        <w:rPr>
          <w:szCs w:val="22"/>
          <w:lang w:val="en-CA"/>
        </w:rPr>
        <w:t xml:space="preserve"> (EXR to YUV and converted back to EXR without compression)</w:t>
      </w:r>
      <w:r w:rsidR="00793F7F">
        <w:rPr>
          <w:szCs w:val="22"/>
          <w:lang w:val="en-CA"/>
        </w:rPr>
        <w:t xml:space="preserve">; (2) </w:t>
      </w:r>
      <w:r w:rsidR="000B4A92">
        <w:rPr>
          <w:szCs w:val="22"/>
          <w:lang w:val="en-CA"/>
        </w:rPr>
        <w:t xml:space="preserve">end-to-end </w:t>
      </w:r>
      <w:r w:rsidR="00793F7F">
        <w:rPr>
          <w:szCs w:val="22"/>
          <w:lang w:val="en-CA"/>
        </w:rPr>
        <w:t xml:space="preserve">RD performance </w:t>
      </w:r>
      <w:r w:rsidR="000B4A92">
        <w:rPr>
          <w:szCs w:val="22"/>
          <w:lang w:val="en-CA"/>
        </w:rPr>
        <w:t xml:space="preserve">of </w:t>
      </w:r>
      <w:r w:rsidR="00D04044">
        <w:rPr>
          <w:szCs w:val="22"/>
          <w:lang w:val="en-CA"/>
        </w:rPr>
        <w:t xml:space="preserve">conversion </w:t>
      </w:r>
      <w:r w:rsidR="00793F7F">
        <w:rPr>
          <w:szCs w:val="22"/>
          <w:lang w:val="en-CA"/>
        </w:rPr>
        <w:t xml:space="preserve">without </w:t>
      </w:r>
      <w:proofErr w:type="spellStart"/>
      <w:r w:rsidR="00793F7F">
        <w:rPr>
          <w:szCs w:val="22"/>
          <w:lang w:val="en-CA"/>
        </w:rPr>
        <w:t>luma</w:t>
      </w:r>
      <w:proofErr w:type="spellEnd"/>
      <w:r w:rsidR="00793F7F">
        <w:rPr>
          <w:szCs w:val="22"/>
          <w:lang w:val="en-CA"/>
        </w:rPr>
        <w:t xml:space="preserve"> adjustment</w:t>
      </w:r>
      <w:r w:rsidR="000B4A92">
        <w:rPr>
          <w:szCs w:val="22"/>
          <w:lang w:val="en-CA"/>
        </w:rPr>
        <w:t xml:space="preserve"> plus compression</w:t>
      </w:r>
      <w:r w:rsidR="00793F7F">
        <w:rPr>
          <w:szCs w:val="22"/>
          <w:lang w:val="en-CA"/>
        </w:rPr>
        <w:t>.</w:t>
      </w:r>
      <w:r>
        <w:rPr>
          <w:szCs w:val="22"/>
          <w:lang w:val="en-CA"/>
        </w:rPr>
        <w:t xml:space="preserve"> </w:t>
      </w: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2" w:name="_Toc341951811"/>
      <w:r>
        <w:t>Simulation results</w:t>
      </w:r>
      <w:r w:rsidR="00F35982" w:rsidRPr="006D1415">
        <w:t xml:space="preserve"> </w:t>
      </w:r>
      <w:bookmarkEnd w:id="2"/>
    </w:p>
    <w:p w:rsidR="00793F7F" w:rsidRDefault="00793F7F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lang w:val="en-CA"/>
        </w:rPr>
      </w:pP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_Ref368998184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 w:rsidRPr="00FA1324">
        <w:t xml:space="preserve">Table </w:t>
      </w:r>
      <w:r>
        <w:rPr>
          <w:noProof/>
        </w:rPr>
        <w:t>1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shows the PSNR results for conversion </w:t>
      </w:r>
      <w:r w:rsidR="000B4A92">
        <w:rPr>
          <w:szCs w:val="22"/>
          <w:lang w:val="en-CA"/>
        </w:rPr>
        <w:t xml:space="preserve">only </w:t>
      </w:r>
      <w:r>
        <w:rPr>
          <w:szCs w:val="22"/>
          <w:lang w:val="en-CA"/>
        </w:rPr>
        <w:t xml:space="preserve">without </w:t>
      </w:r>
      <w:proofErr w:type="spellStart"/>
      <w:r>
        <w:rPr>
          <w:szCs w:val="22"/>
          <w:lang w:val="en-CA"/>
        </w:rPr>
        <w:t>luma</w:t>
      </w:r>
      <w:proofErr w:type="spellEnd"/>
      <w:r>
        <w:rPr>
          <w:szCs w:val="22"/>
          <w:lang w:val="en-CA"/>
        </w:rPr>
        <w:t xml:space="preserve"> adjustment.</w:t>
      </w:r>
      <w:r w:rsidR="003F7D8E">
        <w:rPr>
          <w:lang w:val="en-CA"/>
        </w:rPr>
        <w:t xml:space="preserve">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_Ref369001934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Pr="00FA1324">
        <w:t xml:space="preserve">Table </w:t>
      </w:r>
      <w:r>
        <w:rPr>
          <w:noProof/>
        </w:rPr>
        <w:t>2</w:t>
      </w:r>
      <w:r>
        <w:rPr>
          <w:lang w:val="en-CA"/>
        </w:rPr>
        <w:fldChar w:fldCharType="end"/>
      </w:r>
      <w:r>
        <w:rPr>
          <w:lang w:val="en-CA"/>
        </w:rPr>
        <w:t xml:space="preserve"> shows the </w:t>
      </w:r>
      <w:r w:rsidR="00D04044">
        <w:rPr>
          <w:lang w:val="en-CA"/>
        </w:rPr>
        <w:t xml:space="preserve">coding </w:t>
      </w:r>
      <w:r>
        <w:rPr>
          <w:lang w:val="en-CA"/>
        </w:rPr>
        <w:t xml:space="preserve">BD rate performance without </w:t>
      </w:r>
      <w:proofErr w:type="spellStart"/>
      <w:r>
        <w:rPr>
          <w:lang w:val="en-CA"/>
        </w:rPr>
        <w:t>luma</w:t>
      </w:r>
      <w:proofErr w:type="spellEnd"/>
      <w:r>
        <w:rPr>
          <w:lang w:val="en-CA"/>
        </w:rPr>
        <w:t xml:space="preserve"> adjustment compared to HDR/WCG anchor v3.2 with </w:t>
      </w:r>
      <w:proofErr w:type="spellStart"/>
      <w:r>
        <w:rPr>
          <w:lang w:val="en-CA"/>
        </w:rPr>
        <w:t>luma</w:t>
      </w:r>
      <w:proofErr w:type="spellEnd"/>
      <w:r>
        <w:rPr>
          <w:lang w:val="en-CA"/>
        </w:rPr>
        <w:t xml:space="preserve"> adjustment. </w:t>
      </w:r>
      <w:r w:rsidR="00BA5BED">
        <w:rPr>
          <w:lang w:val="en-CA"/>
        </w:rPr>
        <w:t xml:space="preserve">These two results match those provided in JCTVC-X0043 (Table 2 and Table 3). </w:t>
      </w:r>
    </w:p>
    <w:p w:rsidR="00725E47" w:rsidRDefault="005B1D3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lang w:val="en-CA"/>
        </w:rPr>
        <w:t>The detailed results can be found in the attached excel datasheets.</w:t>
      </w:r>
      <w:r w:rsidR="00226CF2">
        <w:rPr>
          <w:lang w:val="en-CA"/>
        </w:rPr>
        <w:t xml:space="preserve">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3" w:name="_Ref368998184"/>
      <w:bookmarkStart w:id="4" w:name="_Ref361310567"/>
      <w:r w:rsidRPr="00FA1324">
        <w:t xml:space="preserve">Table </w:t>
      </w:r>
      <w:r w:rsidR="00A56CA4" w:rsidRPr="00FA1324">
        <w:fldChar w:fldCharType="begin"/>
      </w:r>
      <w:r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1</w:t>
      </w:r>
      <w:r w:rsidR="00A56CA4" w:rsidRPr="00FA1324">
        <w:fldChar w:fldCharType="end"/>
      </w:r>
      <w:bookmarkEnd w:id="3"/>
      <w:r w:rsidRPr="00FA1324">
        <w:t xml:space="preserve">. </w:t>
      </w:r>
      <w:r w:rsidR="001870FB">
        <w:t xml:space="preserve">PSNR for conversion results of </w:t>
      </w:r>
      <w:proofErr w:type="spellStart"/>
      <w:r w:rsidR="001870FB">
        <w:t>Y’CbCr</w:t>
      </w:r>
      <w:proofErr w:type="spellEnd"/>
      <w:r w:rsidR="001870FB">
        <w:t xml:space="preserve"> without </w:t>
      </w:r>
      <w:proofErr w:type="spellStart"/>
      <w:r w:rsidR="001870FB">
        <w:t>luma</w:t>
      </w:r>
      <w:proofErr w:type="spellEnd"/>
      <w:r w:rsidR="001870FB">
        <w:t xml:space="preserve"> adjustment </w:t>
      </w:r>
    </w:p>
    <w:tbl>
      <w:tblPr>
        <w:tblW w:w="9024" w:type="dxa"/>
        <w:jc w:val="center"/>
        <w:tblLook w:val="04A0" w:firstRow="1" w:lastRow="0" w:firstColumn="1" w:lastColumn="0" w:noHBand="0" w:noVBand="1"/>
      </w:tblPr>
      <w:tblGrid>
        <w:gridCol w:w="1890"/>
        <w:gridCol w:w="820"/>
        <w:gridCol w:w="820"/>
        <w:gridCol w:w="820"/>
        <w:gridCol w:w="1040"/>
        <w:gridCol w:w="1080"/>
        <w:gridCol w:w="820"/>
        <w:gridCol w:w="820"/>
        <w:gridCol w:w="1017"/>
      </w:tblGrid>
      <w:tr w:rsidR="00FD2BD1" w:rsidRPr="00FD2BD1" w:rsidTr="00FD2BD1">
        <w:trPr>
          <w:trHeight w:val="255"/>
          <w:jc w:val="center"/>
        </w:trPr>
        <w:tc>
          <w:tcPr>
            <w:tcW w:w="189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tPSNR</w:t>
            </w:r>
            <w:proofErr w:type="spellEnd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X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tPSNR</w:t>
            </w:r>
            <w:proofErr w:type="spellEnd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Y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tPSNR</w:t>
            </w:r>
            <w:proofErr w:type="spellEnd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Z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tPSNR</w:t>
            </w:r>
            <w:proofErr w:type="spellEnd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XYZ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tOSNR</w:t>
            </w:r>
            <w:proofErr w:type="spellEnd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-XYZ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DE100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MD100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PSNRL100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FireEaterClip4000r1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58.73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64.38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53.39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56.78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54.86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48.42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24.69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55.05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Market3Clip4000r2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53.48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62.05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46.24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50.16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49.75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36.77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21.88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46.85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SunRise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58.60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67.76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51.34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55.28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54.62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37.87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24.21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47.70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BikeSparklers</w:t>
            </w:r>
            <w:proofErr w:type="spellEnd"/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 xml:space="preserve"> cut 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46.39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58.98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37.27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41.52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39.81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34.17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21.82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48.20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BikeSparklers</w:t>
            </w:r>
            <w:proofErr w:type="spellEnd"/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 xml:space="preserve"> cut 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47.57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59.92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38.65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42.87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41.60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34.51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21.77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48.46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GarageExit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55.21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65.61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47.08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51.17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49.89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38.08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22.85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48.77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ShowGirl2Teaser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52.11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62.98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44.86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48.81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47.49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39.23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22.50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50.84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StEM_MagicHour</w:t>
            </w:r>
            <w:proofErr w:type="spellEnd"/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 xml:space="preserve"> cut 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52.66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63.91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40.06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44.59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42.01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36.55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24.95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50.33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lastRenderedPageBreak/>
              <w:t>StEM_MagicHour</w:t>
            </w:r>
            <w:proofErr w:type="spellEnd"/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 xml:space="preserve"> cut 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50.22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62.70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38.62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43.08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40.59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35.97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24.70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50.27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StEM_MagicHour</w:t>
            </w:r>
            <w:proofErr w:type="spellEnd"/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 xml:space="preserve"> cut 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49.48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61.22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37.39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41.88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39.46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36.03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24.28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50.10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StEM_WarmNight</w:t>
            </w:r>
            <w:proofErr w:type="spellEnd"/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 xml:space="preserve"> cut 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51.10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61.83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38.65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43.16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40.73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36.64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25.11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50.59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StEM_WarmNight</w:t>
            </w:r>
            <w:proofErr w:type="spellEnd"/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 xml:space="preserve"> cut 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52.05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61.07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39.45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43.96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41.81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37.00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23.35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49.76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BalloonFestival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52.78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62.06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45.61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49.54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51.91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40.62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21.15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46.98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EBU_04_Hurdles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52.12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62.75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46.85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50.41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48.82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36.84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22.23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45.36</w:t>
            </w:r>
          </w:p>
        </w:tc>
      </w:tr>
      <w:tr w:rsidR="00FD2BD1" w:rsidRPr="00FD2BD1" w:rsidTr="00FD2BD1">
        <w:trPr>
          <w:trHeight w:val="255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EBU_06_Start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49.73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61.87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44.19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47.83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47.52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36.10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21.27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46.11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Average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52.15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62.61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43.31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47.40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46.06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37.65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23.12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49.02</w:t>
            </w:r>
          </w:p>
        </w:tc>
      </w:tr>
    </w:tbl>
    <w:p w:rsidR="00032A2C" w:rsidRDefault="00032A2C" w:rsidP="00560DCB">
      <w:pPr>
        <w:pStyle w:val="Caption"/>
        <w:jc w:val="center"/>
      </w:pPr>
    </w:p>
    <w:p w:rsidR="00CD623F" w:rsidRDefault="004E0C98" w:rsidP="00560DCB">
      <w:pPr>
        <w:pStyle w:val="Caption"/>
        <w:jc w:val="center"/>
      </w:pPr>
      <w:bookmarkStart w:id="5" w:name="_Ref369001934"/>
      <w:bookmarkStart w:id="6" w:name="_Ref375145019"/>
      <w:r w:rsidRPr="00FA1324">
        <w:t xml:space="preserve">Table </w:t>
      </w:r>
      <w:r w:rsidR="00A56CA4" w:rsidRPr="00FA1324">
        <w:fldChar w:fldCharType="begin"/>
      </w:r>
      <w:r w:rsidR="00EA2D55"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2</w:t>
      </w:r>
      <w:r w:rsidR="00A56CA4" w:rsidRPr="00FA1324">
        <w:fldChar w:fldCharType="end"/>
      </w:r>
      <w:bookmarkEnd w:id="4"/>
      <w:bookmarkEnd w:id="5"/>
      <w:r w:rsidR="00560DCB" w:rsidRPr="00FA1324">
        <w:t xml:space="preserve">. </w:t>
      </w:r>
      <w:bookmarkEnd w:id="6"/>
      <w:r w:rsidR="001870FB">
        <w:t xml:space="preserve">Comparison of Anchor 3.2 without </w:t>
      </w:r>
      <w:proofErr w:type="spellStart"/>
      <w:r w:rsidR="001870FB">
        <w:t>luma</w:t>
      </w:r>
      <w:proofErr w:type="spellEnd"/>
      <w:r w:rsidR="001870FB">
        <w:t xml:space="preserve"> adjustment against Anchor 3.2 (with </w:t>
      </w:r>
      <w:proofErr w:type="spellStart"/>
      <w:r w:rsidR="001870FB">
        <w:t>luma</w:t>
      </w:r>
      <w:proofErr w:type="spellEnd"/>
      <w:r w:rsidR="001870FB">
        <w:t xml:space="preserve"> adjustment) under HDR/WCG CTC </w:t>
      </w:r>
      <w:r w:rsidR="001870FB">
        <w:fldChar w:fldCharType="begin"/>
      </w:r>
      <w:r w:rsidR="001870FB">
        <w:instrText xml:space="preserve"> REF _Ref450252013 \n \h </w:instrText>
      </w:r>
      <w:r w:rsidR="001870FB">
        <w:fldChar w:fldCharType="separate"/>
      </w:r>
      <w:r w:rsidR="001870FB">
        <w:t>[2]</w:t>
      </w:r>
      <w:r w:rsidR="001870FB">
        <w:fldChar w:fldCharType="end"/>
      </w:r>
    </w:p>
    <w:tbl>
      <w:tblPr>
        <w:tblW w:w="9180" w:type="dxa"/>
        <w:jc w:val="center"/>
        <w:tblLook w:val="04A0" w:firstRow="1" w:lastRow="0" w:firstColumn="1" w:lastColumn="0" w:noHBand="0" w:noVBand="1"/>
      </w:tblPr>
      <w:tblGrid>
        <w:gridCol w:w="900"/>
        <w:gridCol w:w="1980"/>
        <w:gridCol w:w="720"/>
        <w:gridCol w:w="630"/>
        <w:gridCol w:w="720"/>
        <w:gridCol w:w="810"/>
        <w:gridCol w:w="990"/>
        <w:gridCol w:w="706"/>
        <w:gridCol w:w="914"/>
        <w:gridCol w:w="1017"/>
      </w:tblGrid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Z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XYZ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tOSNR</w:t>
            </w:r>
            <w:proofErr w:type="spellEnd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-XYZ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DE100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MD100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PSNRL100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A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FireEaterClip4000r1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3.8%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2.7%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-4.1%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1.3%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2.5%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-2.5%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1.9%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Market3Clip4000r2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1.1%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-0.7%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-66.9%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SunRise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1.3%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-2.3%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1.0%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15.9%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B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BikeSparklers</w:t>
            </w:r>
            <w:proofErr w:type="spellEnd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cut 1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2.0%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0.8%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-3.4%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-0.3%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0.6%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BikeSparklers</w:t>
            </w:r>
            <w:proofErr w:type="spellEnd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cut 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1.8%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0.7%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-3.5%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-0.3%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1.4%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GarageExit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0.9%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1.8%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C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ShowGirl2Teaser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1.3%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3.7%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0.7%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22.2%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StEM_MagicHour</w:t>
            </w:r>
            <w:proofErr w:type="spellEnd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cut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-0.6%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-0.3%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-8.5%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StEM_MagicHour</w:t>
            </w:r>
            <w:proofErr w:type="spellEnd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cut 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0.7%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-3.5%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StEM_MagicHour</w:t>
            </w:r>
            <w:proofErr w:type="spellEnd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cut 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0.7%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2.6%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StEM_WarmNight</w:t>
            </w:r>
            <w:proofErr w:type="spellEnd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cut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0.8%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-0.8%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1.6%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StEM_WarmNight</w:t>
            </w:r>
            <w:proofErr w:type="spellEnd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cut 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-1.3%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-0.3%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37.6%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G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BalloonFestival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1.1%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0.6%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-2.5%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-0.6%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1.0%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1.0%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0.7%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H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EBU_04_Hurdles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1.8%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-1.0%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13.4%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-0.1%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EBU_06_Start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2.6%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-1.1%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4.2%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-0.1%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Calibri" w:eastAsia="Times New Roman" w:hAnsi="Calibri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Overall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1.4%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-1.4%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1.3%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</w:tr>
    </w:tbl>
    <w:p w:rsidR="001870FB" w:rsidRPr="006D1415" w:rsidRDefault="001870FB" w:rsidP="001870FB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Subjective quality comparisons</w:t>
      </w:r>
    </w:p>
    <w:p w:rsidR="00002A2C" w:rsidRDefault="00002A2C" w:rsidP="00226CF2">
      <w:pPr>
        <w:rPr>
          <w:lang w:val="en-GB"/>
        </w:rPr>
      </w:pPr>
      <w:r>
        <w:rPr>
          <w:lang w:val="en-GB"/>
        </w:rPr>
        <w:t xml:space="preserve">Subjective viewing was conducted by the cross-checkers on SIM2 display. There are two viewings: (1) conversion without </w:t>
      </w:r>
      <w:proofErr w:type="spellStart"/>
      <w:r>
        <w:rPr>
          <w:lang w:val="en-GB"/>
        </w:rPr>
        <w:t>luma</w:t>
      </w:r>
      <w:proofErr w:type="spellEnd"/>
      <w:r>
        <w:rPr>
          <w:lang w:val="en-GB"/>
        </w:rPr>
        <w:t xml:space="preserve"> adjustment </w:t>
      </w:r>
      <w:r w:rsidR="001F7AFD">
        <w:rPr>
          <w:lang w:val="en-GB"/>
        </w:rPr>
        <w:t>vs.</w:t>
      </w:r>
      <w:r>
        <w:rPr>
          <w:lang w:val="en-GB"/>
        </w:rPr>
        <w:t xml:space="preserve"> </w:t>
      </w:r>
      <w:r w:rsidR="001F7AFD">
        <w:rPr>
          <w:lang w:val="en-GB"/>
        </w:rPr>
        <w:t xml:space="preserve">conversion </w:t>
      </w:r>
      <w:r>
        <w:rPr>
          <w:lang w:val="en-GB"/>
        </w:rPr>
        <w:t xml:space="preserve">with </w:t>
      </w:r>
      <w:proofErr w:type="spellStart"/>
      <w:r>
        <w:rPr>
          <w:lang w:val="en-GB"/>
        </w:rPr>
        <w:t>luma</w:t>
      </w:r>
      <w:proofErr w:type="spellEnd"/>
      <w:r>
        <w:rPr>
          <w:lang w:val="en-GB"/>
        </w:rPr>
        <w:t xml:space="preserve"> adjustment; (2) the coding results without </w:t>
      </w:r>
      <w:proofErr w:type="spellStart"/>
      <w:r>
        <w:rPr>
          <w:lang w:val="en-GB"/>
        </w:rPr>
        <w:t>luma</w:t>
      </w:r>
      <w:proofErr w:type="spellEnd"/>
      <w:r>
        <w:rPr>
          <w:lang w:val="en-GB"/>
        </w:rPr>
        <w:t xml:space="preserve"> adjustment </w:t>
      </w:r>
      <w:r w:rsidR="001F7AFD">
        <w:rPr>
          <w:lang w:val="en-GB"/>
        </w:rPr>
        <w:t>vs.</w:t>
      </w:r>
      <w:r>
        <w:rPr>
          <w:lang w:val="en-GB"/>
        </w:rPr>
        <w:t xml:space="preserve"> </w:t>
      </w:r>
      <w:r w:rsidR="001F7AFD">
        <w:rPr>
          <w:lang w:val="en-GB"/>
        </w:rPr>
        <w:t xml:space="preserve">the coding results of HDR/WCG </w:t>
      </w:r>
      <w:r>
        <w:rPr>
          <w:lang w:val="en-GB"/>
        </w:rPr>
        <w:t xml:space="preserve">anchor </w:t>
      </w:r>
      <w:r w:rsidR="001F7AFD">
        <w:rPr>
          <w:lang w:val="en-GB"/>
        </w:rPr>
        <w:t>v</w:t>
      </w:r>
      <w:r>
        <w:rPr>
          <w:lang w:val="en-GB"/>
        </w:rPr>
        <w:t xml:space="preserve">3.2 (with </w:t>
      </w:r>
      <w:proofErr w:type="spellStart"/>
      <w:r>
        <w:rPr>
          <w:lang w:val="en-GB"/>
        </w:rPr>
        <w:t>luma</w:t>
      </w:r>
      <w:proofErr w:type="spellEnd"/>
      <w:r>
        <w:rPr>
          <w:lang w:val="en-GB"/>
        </w:rPr>
        <w:t xml:space="preserve"> adjustment). </w:t>
      </w:r>
    </w:p>
    <w:p w:rsidR="00002A2C" w:rsidRDefault="00002A2C" w:rsidP="00226CF2">
      <w:pPr>
        <w:rPr>
          <w:lang w:val="en-GB"/>
        </w:rPr>
      </w:pPr>
      <w:r>
        <w:rPr>
          <w:lang w:val="en-GB"/>
        </w:rPr>
        <w:t xml:space="preserve">Regarding viewing 1, the Market sequence </w:t>
      </w:r>
      <w:r w:rsidR="001F7AFD">
        <w:rPr>
          <w:lang w:val="en-GB"/>
        </w:rPr>
        <w:t>was</w:t>
      </w:r>
      <w:r>
        <w:rPr>
          <w:lang w:val="en-GB"/>
        </w:rPr>
        <w:t xml:space="preserve"> selected based on the observation in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_Ref451258082 \n \h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[3]</w:t>
      </w:r>
      <w:r>
        <w:rPr>
          <w:lang w:val="en-GB"/>
        </w:rPr>
        <w:fldChar w:fldCharType="end"/>
      </w:r>
      <w:r>
        <w:rPr>
          <w:lang w:val="en-GB"/>
        </w:rPr>
        <w:t xml:space="preserve"> (initial proposal). The cross-checkers observed no visual difference </w:t>
      </w:r>
      <w:r w:rsidR="000B4A92">
        <w:rPr>
          <w:lang w:val="en-GB"/>
        </w:rPr>
        <w:t xml:space="preserve">between with and without </w:t>
      </w:r>
      <w:proofErr w:type="spellStart"/>
      <w:r w:rsidR="000B4A92">
        <w:rPr>
          <w:lang w:val="en-GB"/>
        </w:rPr>
        <w:t>luma</w:t>
      </w:r>
      <w:proofErr w:type="spellEnd"/>
      <w:r w:rsidR="000B4A92">
        <w:rPr>
          <w:lang w:val="en-GB"/>
        </w:rPr>
        <w:t xml:space="preserve"> adjustment </w:t>
      </w:r>
      <w:r>
        <w:rPr>
          <w:lang w:val="en-GB"/>
        </w:rPr>
        <w:t xml:space="preserve">in continuous playback </w:t>
      </w:r>
      <w:r w:rsidR="000B4A92">
        <w:rPr>
          <w:lang w:val="en-GB"/>
        </w:rPr>
        <w:t xml:space="preserve">mode </w:t>
      </w:r>
      <w:r>
        <w:rPr>
          <w:lang w:val="en-GB"/>
        </w:rPr>
        <w:t xml:space="preserve">and </w:t>
      </w:r>
      <w:r w:rsidR="000B4A92">
        <w:rPr>
          <w:lang w:val="en-GB"/>
        </w:rPr>
        <w:t xml:space="preserve">in </w:t>
      </w:r>
      <w:r>
        <w:rPr>
          <w:lang w:val="en-GB"/>
        </w:rPr>
        <w:t xml:space="preserve">toggle mode.  </w:t>
      </w:r>
    </w:p>
    <w:p w:rsidR="00226CF2" w:rsidRPr="00226CF2" w:rsidRDefault="00002A2C" w:rsidP="00226CF2">
      <w:r>
        <w:rPr>
          <w:lang w:val="en-GB"/>
        </w:rPr>
        <w:t xml:space="preserve">Regarding viewing 2, all rates for all sequences </w:t>
      </w:r>
      <w:r w:rsidR="001F7AFD">
        <w:rPr>
          <w:lang w:val="en-GB"/>
        </w:rPr>
        <w:t>were</w:t>
      </w:r>
      <w:r>
        <w:rPr>
          <w:lang w:val="en-GB"/>
        </w:rPr>
        <w:t xml:space="preserve"> viewed</w:t>
      </w:r>
      <w:r w:rsidR="001F7AFD">
        <w:rPr>
          <w:lang w:val="en-GB"/>
        </w:rPr>
        <w:t xml:space="preserve"> in continuous playback</w:t>
      </w:r>
      <w:r>
        <w:rPr>
          <w:lang w:val="en-GB"/>
        </w:rPr>
        <w:t xml:space="preserve">. In terms of texture and </w:t>
      </w:r>
      <w:proofErr w:type="spellStart"/>
      <w:r>
        <w:rPr>
          <w:lang w:val="en-GB"/>
        </w:rPr>
        <w:t>color</w:t>
      </w:r>
      <w:proofErr w:type="spellEnd"/>
      <w:r>
        <w:rPr>
          <w:lang w:val="en-GB"/>
        </w:rPr>
        <w:t xml:space="preserve"> appearance, the cross-checkers </w:t>
      </w:r>
      <w:r w:rsidR="001F7AFD">
        <w:rPr>
          <w:lang w:val="en-GB"/>
        </w:rPr>
        <w:t xml:space="preserve">did not see any </w:t>
      </w:r>
      <w:r>
        <w:rPr>
          <w:lang w:val="en-GB"/>
        </w:rPr>
        <w:t>visual difference.</w:t>
      </w: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7" w:name="_Toc258950902"/>
      <w:bookmarkStart w:id="8" w:name="_Toc341951835"/>
      <w:r w:rsidRPr="00855F5E">
        <w:rPr>
          <w:rFonts w:hint="eastAsia"/>
        </w:rPr>
        <w:t>References</w:t>
      </w:r>
      <w:bookmarkEnd w:id="7"/>
      <w:bookmarkEnd w:id="8"/>
    </w:p>
    <w:p w:rsidR="00322929" w:rsidRPr="00727D61" w:rsidRDefault="00294DBC" w:rsidP="000168A5">
      <w:pPr>
        <w:pStyle w:val="SPIEreferencelisting"/>
        <w:numPr>
          <w:ilvl w:val="0"/>
          <w:numId w:val="20"/>
        </w:numPr>
        <w:rPr>
          <w:rFonts w:eastAsia="SimSun"/>
          <w:sz w:val="22"/>
          <w:szCs w:val="20"/>
          <w:lang w:val="en-GB"/>
        </w:rPr>
      </w:pPr>
      <w:bookmarkStart w:id="9" w:name="_Ref391027170"/>
      <w:bookmarkStart w:id="10" w:name="_Ref391049742"/>
      <w:r w:rsidRPr="00727D61">
        <w:rPr>
          <w:rFonts w:eastAsia="SimSun"/>
          <w:sz w:val="22"/>
          <w:szCs w:val="20"/>
          <w:lang w:val="en-GB"/>
        </w:rPr>
        <w:t>F. Pu, T. Lu, P. Yin, T. Chen, W. Husak</w:t>
      </w:r>
      <w:r w:rsidR="00191885" w:rsidRPr="00727D61">
        <w:rPr>
          <w:rFonts w:eastAsia="SimSun"/>
          <w:sz w:val="22"/>
          <w:szCs w:val="20"/>
          <w:lang w:val="en-GB"/>
        </w:rPr>
        <w:t>,</w:t>
      </w:r>
      <w:r w:rsidR="006F3FCA" w:rsidRPr="00727D61">
        <w:rPr>
          <w:rFonts w:eastAsia="SimSun"/>
          <w:sz w:val="22"/>
          <w:szCs w:val="20"/>
          <w:lang w:val="en-GB"/>
        </w:rPr>
        <w:t xml:space="preserve"> </w:t>
      </w:r>
      <w:r w:rsidR="00882FEA" w:rsidRPr="00727D61">
        <w:rPr>
          <w:rFonts w:eastAsia="SimSun"/>
          <w:sz w:val="22"/>
          <w:szCs w:val="20"/>
          <w:lang w:val="en-GB"/>
        </w:rPr>
        <w:t>“</w:t>
      </w:r>
      <w:r w:rsidRPr="00727D61">
        <w:rPr>
          <w:rFonts w:eastAsia="SimSun"/>
          <w:sz w:val="22"/>
          <w:szCs w:val="20"/>
          <w:lang w:val="en-GB"/>
        </w:rPr>
        <w:t xml:space="preserve">AHG13: on </w:t>
      </w:r>
      <w:proofErr w:type="spellStart"/>
      <w:r w:rsidRPr="00727D61">
        <w:rPr>
          <w:rFonts w:eastAsia="SimSun"/>
          <w:sz w:val="22"/>
          <w:szCs w:val="20"/>
          <w:lang w:val="en-GB"/>
        </w:rPr>
        <w:t>Luma</w:t>
      </w:r>
      <w:proofErr w:type="spellEnd"/>
      <w:r w:rsidRPr="00727D61">
        <w:rPr>
          <w:rFonts w:eastAsia="SimSun"/>
          <w:sz w:val="22"/>
          <w:szCs w:val="20"/>
          <w:lang w:val="en-GB"/>
        </w:rPr>
        <w:t xml:space="preserve"> Adjustment</w:t>
      </w:r>
      <w:r w:rsidR="006F3FCA" w:rsidRPr="00727D61">
        <w:rPr>
          <w:rFonts w:eastAsia="SimSun"/>
          <w:sz w:val="22"/>
          <w:szCs w:val="20"/>
          <w:lang w:val="en-GB"/>
        </w:rPr>
        <w:t>”</w:t>
      </w:r>
      <w:r w:rsidR="00882FEA" w:rsidRPr="00727D61">
        <w:rPr>
          <w:rFonts w:eastAsia="SimSun"/>
          <w:sz w:val="22"/>
          <w:szCs w:val="20"/>
          <w:lang w:val="en-GB"/>
        </w:rPr>
        <w:t>, JCTVC-</w:t>
      </w:r>
      <w:r w:rsidRPr="00727D61">
        <w:rPr>
          <w:rFonts w:eastAsia="SimSun"/>
          <w:sz w:val="22"/>
          <w:szCs w:val="20"/>
          <w:lang w:val="en-GB"/>
        </w:rPr>
        <w:t>X</w:t>
      </w:r>
      <w:r w:rsidR="006F3FCA" w:rsidRPr="00727D61">
        <w:rPr>
          <w:rFonts w:eastAsia="SimSun"/>
          <w:sz w:val="22"/>
          <w:szCs w:val="20"/>
          <w:lang w:val="en-GB"/>
        </w:rPr>
        <w:t>0</w:t>
      </w:r>
      <w:r w:rsidRPr="00727D61">
        <w:rPr>
          <w:rFonts w:eastAsia="SimSun"/>
          <w:sz w:val="22"/>
          <w:szCs w:val="20"/>
          <w:lang w:val="en-GB"/>
        </w:rPr>
        <w:t>043</w:t>
      </w:r>
      <w:r w:rsidR="00882FEA" w:rsidRPr="00727D61">
        <w:rPr>
          <w:rFonts w:eastAsia="SimSun"/>
          <w:sz w:val="22"/>
          <w:szCs w:val="20"/>
          <w:lang w:val="en-GB"/>
        </w:rPr>
        <w:t xml:space="preserve">, </w:t>
      </w:r>
      <w:r w:rsidRPr="00727D61">
        <w:rPr>
          <w:rFonts w:eastAsia="SimSun"/>
          <w:sz w:val="22"/>
          <w:szCs w:val="20"/>
          <w:lang w:val="en-GB"/>
        </w:rPr>
        <w:t>May</w:t>
      </w:r>
      <w:r w:rsidR="00882FEA" w:rsidRPr="00727D61">
        <w:rPr>
          <w:rFonts w:eastAsia="SimSun"/>
          <w:sz w:val="22"/>
          <w:szCs w:val="20"/>
          <w:lang w:val="en-GB"/>
        </w:rPr>
        <w:t>. 201</w:t>
      </w:r>
      <w:r w:rsidRPr="00727D61">
        <w:rPr>
          <w:rFonts w:eastAsia="SimSun"/>
          <w:sz w:val="22"/>
          <w:szCs w:val="20"/>
          <w:lang w:val="en-GB"/>
        </w:rPr>
        <w:t>6</w:t>
      </w:r>
      <w:r w:rsidR="00D26082" w:rsidRPr="00727D61">
        <w:rPr>
          <w:rFonts w:eastAsia="SimSun"/>
          <w:sz w:val="22"/>
          <w:szCs w:val="20"/>
          <w:lang w:val="en-GB"/>
        </w:rPr>
        <w:t>, Geneva, CH</w:t>
      </w:r>
      <w:r w:rsidR="00882FEA" w:rsidRPr="00727D61">
        <w:rPr>
          <w:rFonts w:eastAsia="SimSun"/>
          <w:sz w:val="22"/>
          <w:szCs w:val="20"/>
          <w:lang w:val="en-GB"/>
        </w:rPr>
        <w:t>.</w:t>
      </w:r>
      <w:bookmarkEnd w:id="9"/>
      <w:bookmarkEnd w:id="10"/>
    </w:p>
    <w:p w:rsidR="001870FB" w:rsidRPr="00727D61" w:rsidRDefault="001870FB" w:rsidP="00B8375E">
      <w:pPr>
        <w:pStyle w:val="SPIEreferencelisting"/>
        <w:numPr>
          <w:ilvl w:val="0"/>
          <w:numId w:val="20"/>
        </w:numPr>
        <w:rPr>
          <w:rFonts w:eastAsia="SimSun"/>
          <w:sz w:val="22"/>
          <w:szCs w:val="20"/>
          <w:lang w:val="en-GB"/>
        </w:rPr>
      </w:pPr>
      <w:bookmarkStart w:id="11" w:name="OLE_LINK903"/>
      <w:bookmarkStart w:id="12" w:name="OLE_LINK904"/>
      <w:bookmarkStart w:id="13" w:name="_Ref450252013"/>
      <w:bookmarkStart w:id="14" w:name="OLE_LINK892"/>
      <w:bookmarkStart w:id="15" w:name="OLE_LINK893"/>
      <w:r w:rsidRPr="00727D61">
        <w:rPr>
          <w:rFonts w:eastAsia="SimSun"/>
          <w:sz w:val="22"/>
          <w:szCs w:val="20"/>
          <w:lang w:val="en-GB"/>
        </w:rPr>
        <w:t>“</w:t>
      </w:r>
      <w:bookmarkEnd w:id="11"/>
      <w:bookmarkEnd w:id="12"/>
      <w:r w:rsidRPr="00727D61">
        <w:rPr>
          <w:rFonts w:eastAsia="SimSun"/>
          <w:sz w:val="22"/>
          <w:szCs w:val="20"/>
          <w:lang w:val="en-GB"/>
        </w:rPr>
        <w:t>Common Test Conditions for HDR/WCG video coding experiments</w:t>
      </w:r>
      <w:bookmarkStart w:id="16" w:name="OLE_LINK905"/>
      <w:bookmarkStart w:id="17" w:name="OLE_LINK906"/>
      <w:bookmarkStart w:id="18" w:name="OLE_LINK907"/>
      <w:r w:rsidRPr="00727D61">
        <w:rPr>
          <w:rFonts w:eastAsia="SimSun"/>
          <w:sz w:val="22"/>
          <w:szCs w:val="20"/>
          <w:lang w:val="en-GB"/>
        </w:rPr>
        <w:t>”</w:t>
      </w:r>
      <w:bookmarkEnd w:id="16"/>
      <w:bookmarkEnd w:id="17"/>
      <w:bookmarkEnd w:id="18"/>
      <w:r w:rsidRPr="00727D61">
        <w:rPr>
          <w:rFonts w:eastAsia="SimSun"/>
          <w:sz w:val="22"/>
          <w:szCs w:val="20"/>
          <w:lang w:val="en-GB"/>
        </w:rPr>
        <w:t xml:space="preserve">, </w:t>
      </w:r>
      <w:bookmarkStart w:id="19" w:name="OLE_LINK900"/>
      <w:bookmarkStart w:id="20" w:name="OLE_LINK901"/>
      <w:bookmarkStart w:id="21" w:name="OLE_LINK902"/>
      <w:r w:rsidRPr="00727D61">
        <w:rPr>
          <w:rFonts w:eastAsia="SimSun"/>
          <w:sz w:val="22"/>
          <w:szCs w:val="20"/>
          <w:lang w:val="en-GB"/>
        </w:rPr>
        <w:t>JCTVC-W1020, March 2016.</w:t>
      </w:r>
      <w:bookmarkEnd w:id="13"/>
      <w:bookmarkEnd w:id="14"/>
      <w:bookmarkEnd w:id="15"/>
      <w:bookmarkEnd w:id="19"/>
      <w:bookmarkEnd w:id="20"/>
      <w:bookmarkEnd w:id="21"/>
    </w:p>
    <w:p w:rsidR="00294DBC" w:rsidRPr="00727D61" w:rsidRDefault="009E59B1" w:rsidP="000168A5">
      <w:pPr>
        <w:pStyle w:val="SPIEreferencelisting"/>
        <w:numPr>
          <w:ilvl w:val="0"/>
          <w:numId w:val="20"/>
        </w:numPr>
        <w:rPr>
          <w:rFonts w:eastAsia="SimSun"/>
          <w:sz w:val="22"/>
          <w:szCs w:val="20"/>
          <w:lang w:val="en-GB"/>
        </w:rPr>
      </w:pPr>
      <w:bookmarkStart w:id="22" w:name="_Ref451258082"/>
      <w:r w:rsidRPr="00727D61">
        <w:rPr>
          <w:rFonts w:eastAsia="SimSun"/>
          <w:sz w:val="22"/>
          <w:szCs w:val="20"/>
          <w:lang w:val="en-GB"/>
        </w:rPr>
        <w:t xml:space="preserve">J. Strom, J. Samuelsson, M. Pettersson, K. Andersson, P. </w:t>
      </w:r>
      <w:proofErr w:type="spellStart"/>
      <w:r w:rsidRPr="00727D61">
        <w:rPr>
          <w:rFonts w:eastAsia="SimSun"/>
          <w:sz w:val="22"/>
          <w:szCs w:val="20"/>
          <w:lang w:val="en-GB"/>
        </w:rPr>
        <w:t>Wennersten</w:t>
      </w:r>
      <w:proofErr w:type="spellEnd"/>
      <w:r w:rsidRPr="00727D61">
        <w:rPr>
          <w:rFonts w:eastAsia="SimSun"/>
          <w:sz w:val="22"/>
          <w:szCs w:val="20"/>
          <w:lang w:val="en-GB"/>
        </w:rPr>
        <w:t xml:space="preserve">, R. Sjöberg, “Ericsson’s response to </w:t>
      </w:r>
      <w:proofErr w:type="spellStart"/>
      <w:r w:rsidRPr="00727D61">
        <w:rPr>
          <w:rFonts w:eastAsia="SimSun"/>
          <w:sz w:val="22"/>
          <w:szCs w:val="20"/>
          <w:lang w:val="en-GB"/>
        </w:rPr>
        <w:t>CfE</w:t>
      </w:r>
      <w:proofErr w:type="spellEnd"/>
      <w:r w:rsidRPr="00727D61">
        <w:rPr>
          <w:rFonts w:eastAsia="SimSun"/>
          <w:sz w:val="22"/>
          <w:szCs w:val="20"/>
          <w:lang w:val="en-GB"/>
        </w:rPr>
        <w:t xml:space="preserve"> for HDR and WCG”, MPEG m36184, Feb. 2015, Geneva, CH.</w:t>
      </w:r>
      <w:bookmarkEnd w:id="22"/>
    </w:p>
    <w:sectPr w:rsidR="00294DBC" w:rsidRPr="00727D61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EB1" w:rsidRDefault="00400EB1">
      <w:r>
        <w:separator/>
      </w:r>
    </w:p>
  </w:endnote>
  <w:endnote w:type="continuationSeparator" w:id="0">
    <w:p w:rsidR="00400EB1" w:rsidRDefault="00400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75E" w:rsidRDefault="00B8375E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B683B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EB683B">
      <w:rPr>
        <w:rStyle w:val="PageNumber"/>
        <w:noProof/>
      </w:rPr>
      <w:t>2016-05-29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EB1" w:rsidRDefault="00400EB1">
      <w:r>
        <w:separator/>
      </w:r>
    </w:p>
  </w:footnote>
  <w:footnote w:type="continuationSeparator" w:id="0">
    <w:p w:rsidR="00400EB1" w:rsidRDefault="00400E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 w15:restartNumberingAfterBreak="0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D6067"/>
    <w:multiLevelType w:val="hybridMultilevel"/>
    <w:tmpl w:val="3A9E117A"/>
    <w:lvl w:ilvl="0" w:tplc="B84496F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 w15:restartNumberingAfterBreak="0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5"/>
  </w:num>
  <w:num w:numId="14">
    <w:abstractNumId w:val="9"/>
  </w:num>
  <w:num w:numId="15">
    <w:abstractNumId w:val="17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n Ye">
    <w15:presenceInfo w15:providerId="None" w15:userId="Yan Y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2A2C"/>
    <w:rsid w:val="0000337D"/>
    <w:rsid w:val="000055D1"/>
    <w:rsid w:val="00011A3E"/>
    <w:rsid w:val="00016727"/>
    <w:rsid w:val="000168A5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A92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07B89"/>
    <w:rsid w:val="0011057F"/>
    <w:rsid w:val="00112578"/>
    <w:rsid w:val="001179FF"/>
    <w:rsid w:val="001217A8"/>
    <w:rsid w:val="00123186"/>
    <w:rsid w:val="00123623"/>
    <w:rsid w:val="00124309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0FB"/>
    <w:rsid w:val="00187E58"/>
    <w:rsid w:val="00191885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1FEF"/>
    <w:rsid w:val="001F23F8"/>
    <w:rsid w:val="001F2594"/>
    <w:rsid w:val="001F3719"/>
    <w:rsid w:val="001F4185"/>
    <w:rsid w:val="001F465B"/>
    <w:rsid w:val="001F53A9"/>
    <w:rsid w:val="001F75C6"/>
    <w:rsid w:val="001F7AFD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6CF2"/>
    <w:rsid w:val="00227BA7"/>
    <w:rsid w:val="0023134A"/>
    <w:rsid w:val="00233C1D"/>
    <w:rsid w:val="00235ABE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4DBC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ECF"/>
    <w:rsid w:val="00361FB2"/>
    <w:rsid w:val="00367021"/>
    <w:rsid w:val="003670C0"/>
    <w:rsid w:val="003706CC"/>
    <w:rsid w:val="00371F2D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E7AE5"/>
    <w:rsid w:val="003F1093"/>
    <w:rsid w:val="003F26F4"/>
    <w:rsid w:val="003F5608"/>
    <w:rsid w:val="003F5D0F"/>
    <w:rsid w:val="003F7D8E"/>
    <w:rsid w:val="00400EB1"/>
    <w:rsid w:val="0040272C"/>
    <w:rsid w:val="00414101"/>
    <w:rsid w:val="00414B4C"/>
    <w:rsid w:val="0041600C"/>
    <w:rsid w:val="004169B4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2291"/>
    <w:rsid w:val="004935C2"/>
    <w:rsid w:val="004961A0"/>
    <w:rsid w:val="00497F78"/>
    <w:rsid w:val="004A2A63"/>
    <w:rsid w:val="004B210C"/>
    <w:rsid w:val="004B33C7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713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3693A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773"/>
    <w:rsid w:val="005F6F1B"/>
    <w:rsid w:val="005F7ADF"/>
    <w:rsid w:val="006008B9"/>
    <w:rsid w:val="00602211"/>
    <w:rsid w:val="006028DB"/>
    <w:rsid w:val="006039E1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106E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6F3FC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27D61"/>
    <w:rsid w:val="00732350"/>
    <w:rsid w:val="00737E2A"/>
    <w:rsid w:val="007419D6"/>
    <w:rsid w:val="00743D9A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3F7F"/>
    <w:rsid w:val="00796EE3"/>
    <w:rsid w:val="007A5AD9"/>
    <w:rsid w:val="007A63E0"/>
    <w:rsid w:val="007A7D29"/>
    <w:rsid w:val="007B4AB8"/>
    <w:rsid w:val="007C3E57"/>
    <w:rsid w:val="007C64E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3C32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56B7A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264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6FFB"/>
    <w:rsid w:val="008F75BE"/>
    <w:rsid w:val="008F7796"/>
    <w:rsid w:val="00900089"/>
    <w:rsid w:val="00907757"/>
    <w:rsid w:val="00910BEA"/>
    <w:rsid w:val="0091223E"/>
    <w:rsid w:val="00913D0B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2ACA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E59B1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796"/>
    <w:rsid w:val="00A419EE"/>
    <w:rsid w:val="00A4230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216B"/>
    <w:rsid w:val="00AA6E84"/>
    <w:rsid w:val="00AC09A4"/>
    <w:rsid w:val="00AC4A60"/>
    <w:rsid w:val="00AC7441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375E"/>
    <w:rsid w:val="00B84470"/>
    <w:rsid w:val="00B857EC"/>
    <w:rsid w:val="00B859C8"/>
    <w:rsid w:val="00B8620F"/>
    <w:rsid w:val="00B87CE3"/>
    <w:rsid w:val="00B90899"/>
    <w:rsid w:val="00B94B06"/>
    <w:rsid w:val="00B94C28"/>
    <w:rsid w:val="00B965BB"/>
    <w:rsid w:val="00BA0EAD"/>
    <w:rsid w:val="00BA5BED"/>
    <w:rsid w:val="00BB225E"/>
    <w:rsid w:val="00BB38CF"/>
    <w:rsid w:val="00BB3FAB"/>
    <w:rsid w:val="00BB54C3"/>
    <w:rsid w:val="00BC10BA"/>
    <w:rsid w:val="00BC276B"/>
    <w:rsid w:val="00BC5AFD"/>
    <w:rsid w:val="00BD6051"/>
    <w:rsid w:val="00BD6E0C"/>
    <w:rsid w:val="00BE6479"/>
    <w:rsid w:val="00BF3FB8"/>
    <w:rsid w:val="00BF42C4"/>
    <w:rsid w:val="00BF5B1F"/>
    <w:rsid w:val="00BF622A"/>
    <w:rsid w:val="00C04F43"/>
    <w:rsid w:val="00C0609D"/>
    <w:rsid w:val="00C1033E"/>
    <w:rsid w:val="00C10490"/>
    <w:rsid w:val="00C115AB"/>
    <w:rsid w:val="00C1202B"/>
    <w:rsid w:val="00C13DD5"/>
    <w:rsid w:val="00C152F6"/>
    <w:rsid w:val="00C20878"/>
    <w:rsid w:val="00C30249"/>
    <w:rsid w:val="00C344FD"/>
    <w:rsid w:val="00C3723B"/>
    <w:rsid w:val="00C373E6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6608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0ED6"/>
    <w:rsid w:val="00D01330"/>
    <w:rsid w:val="00D04044"/>
    <w:rsid w:val="00D073E2"/>
    <w:rsid w:val="00D115B0"/>
    <w:rsid w:val="00D1561B"/>
    <w:rsid w:val="00D175BD"/>
    <w:rsid w:val="00D17D3E"/>
    <w:rsid w:val="00D21A01"/>
    <w:rsid w:val="00D235DE"/>
    <w:rsid w:val="00D26082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524C"/>
    <w:rsid w:val="00E47763"/>
    <w:rsid w:val="00E50183"/>
    <w:rsid w:val="00E504B8"/>
    <w:rsid w:val="00E53C79"/>
    <w:rsid w:val="00E54511"/>
    <w:rsid w:val="00E5721A"/>
    <w:rsid w:val="00E572E7"/>
    <w:rsid w:val="00E575ED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683B"/>
    <w:rsid w:val="00EB7AB1"/>
    <w:rsid w:val="00EC15D4"/>
    <w:rsid w:val="00EC18AA"/>
    <w:rsid w:val="00EC42FA"/>
    <w:rsid w:val="00ED0350"/>
    <w:rsid w:val="00ED2F61"/>
    <w:rsid w:val="00ED3E12"/>
    <w:rsid w:val="00EE4BCD"/>
    <w:rsid w:val="00EE6084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286B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A7882"/>
    <w:rsid w:val="00FB0742"/>
    <w:rsid w:val="00FB0E84"/>
    <w:rsid w:val="00FC7B65"/>
    <w:rsid w:val="00FD01C2"/>
    <w:rsid w:val="00FD2BD1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  <w15:docId w15:val="{A643F1D2-693B-413E-A1F1-81515C40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.ye@interdigita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yuwen.he@interdigita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B2455-CF36-45A8-BB89-6168DFF26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870</Words>
  <Characters>4959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5818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Yan Ye</cp:lastModifiedBy>
  <cp:revision>3</cp:revision>
  <cp:lastPrinted>2013-04-08T19:19:00Z</cp:lastPrinted>
  <dcterms:created xsi:type="dcterms:W3CDTF">2016-05-29T07:12:00Z</dcterms:created>
  <dcterms:modified xsi:type="dcterms:W3CDTF">2016-05-29T07:12:00Z</dcterms:modified>
</cp:coreProperties>
</file>