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596195C" w14:textId="77777777">
        <w:tc>
          <w:tcPr>
            <w:tcW w:w="6408" w:type="dxa"/>
          </w:tcPr>
          <w:p w14:paraId="47BB84D2" w14:textId="77777777" w:rsidR="006C5D39" w:rsidRPr="005B217D" w:rsidRDefault="0010394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FF5F6F" wp14:editId="27FD262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98D3E5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35ADEC94" wp14:editId="6C59C30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4A9AE404" wp14:editId="332A419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7FE34EAB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E4DE2EB" w14:textId="77777777" w:rsidR="00E61DAC" w:rsidRPr="005B217D" w:rsidRDefault="00B600CD" w:rsidP="00BD556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BD5566">
              <w:t>4th</w:t>
            </w:r>
            <w:r w:rsidR="00A767DC" w:rsidRPr="00B648F1">
              <w:t xml:space="preserve"> Meeting: </w:t>
            </w:r>
            <w:r w:rsidR="00BD5566">
              <w:rPr>
                <w:lang w:val="en-CA"/>
              </w:rPr>
              <w:t>Geneva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>CH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 xml:space="preserve">26 May </w:t>
            </w:r>
            <w:r w:rsidR="00657F7E" w:rsidRPr="00657F7E">
              <w:rPr>
                <w:lang w:val="en-CA"/>
              </w:rPr>
              <w:t>–</w:t>
            </w:r>
            <w:r w:rsidR="00BD5566">
              <w:rPr>
                <w:lang w:val="en-CA"/>
              </w:rPr>
              <w:t xml:space="preserve"> 1</w:t>
            </w:r>
            <w:r w:rsidR="00657F7E" w:rsidRPr="00657F7E">
              <w:rPr>
                <w:lang w:val="en-CA"/>
              </w:rPr>
              <w:t xml:space="preserve"> </w:t>
            </w:r>
            <w:r w:rsidR="00BD5566">
              <w:rPr>
                <w:lang w:val="en-CA"/>
              </w:rPr>
              <w:t>June</w:t>
            </w:r>
            <w:r w:rsidR="00657F7E" w:rsidRPr="00657F7E">
              <w:rPr>
                <w:lang w:val="en-CA"/>
              </w:rPr>
              <w:t xml:space="preserve"> 2016</w:t>
            </w:r>
          </w:p>
        </w:tc>
        <w:tc>
          <w:tcPr>
            <w:tcW w:w="3168" w:type="dxa"/>
          </w:tcPr>
          <w:p w14:paraId="1D072152" w14:textId="139E16A2" w:rsidR="008A4B4C" w:rsidRPr="005B217D" w:rsidRDefault="00E61DAC" w:rsidP="000E352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D5566">
              <w:rPr>
                <w:lang w:val="en-CA"/>
              </w:rPr>
              <w:t>X</w:t>
            </w:r>
            <w:r w:rsidR="000E3528">
              <w:rPr>
                <w:lang w:val="en-CA"/>
              </w:rPr>
              <w:t>0041</w:t>
            </w:r>
            <w:r w:rsidR="004A1969">
              <w:rPr>
                <w:lang w:val="en-CA"/>
              </w:rPr>
              <w:t xml:space="preserve"> / m38408</w:t>
            </w:r>
          </w:p>
        </w:tc>
      </w:tr>
    </w:tbl>
    <w:p w14:paraId="5A57BEB4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810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402"/>
      </w:tblGrid>
      <w:tr w:rsidR="00E61DAC" w:rsidRPr="005B217D" w14:paraId="40B41E6C" w14:textId="77777777" w:rsidTr="00495A50">
        <w:tc>
          <w:tcPr>
            <w:tcW w:w="1458" w:type="dxa"/>
          </w:tcPr>
          <w:p w14:paraId="733BE8E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352" w:type="dxa"/>
            <w:gridSpan w:val="3"/>
          </w:tcPr>
          <w:p w14:paraId="5C624313" w14:textId="32757857" w:rsidR="00E61DAC" w:rsidRPr="005B217D" w:rsidRDefault="00F5196C" w:rsidP="00F5196C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Usage of CRI for HDR video compression</w:t>
            </w:r>
            <w:r w:rsidR="000E3528">
              <w:rPr>
                <w:b/>
                <w:szCs w:val="22"/>
                <w:lang w:val="en-CA"/>
              </w:rPr>
              <w:t xml:space="preserve"> with dynamic range adaptation</w:t>
            </w:r>
          </w:p>
        </w:tc>
      </w:tr>
      <w:tr w:rsidR="00E61DAC" w:rsidRPr="005B217D" w14:paraId="3F2E5446" w14:textId="77777777" w:rsidTr="00495A50">
        <w:tc>
          <w:tcPr>
            <w:tcW w:w="1458" w:type="dxa"/>
          </w:tcPr>
          <w:p w14:paraId="58FFEC0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352" w:type="dxa"/>
            <w:gridSpan w:val="3"/>
          </w:tcPr>
          <w:p w14:paraId="6D0DA2E0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6F678694" w14:textId="77777777" w:rsidTr="00495A50">
        <w:tc>
          <w:tcPr>
            <w:tcW w:w="1458" w:type="dxa"/>
          </w:tcPr>
          <w:p w14:paraId="6F63E6A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352" w:type="dxa"/>
            <w:gridSpan w:val="3"/>
          </w:tcPr>
          <w:p w14:paraId="6694A414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445B17D" w14:textId="77777777" w:rsidTr="00495A50">
        <w:tc>
          <w:tcPr>
            <w:tcW w:w="1458" w:type="dxa"/>
          </w:tcPr>
          <w:p w14:paraId="71A2CA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0D3FC90D" w14:textId="4EC74BCB" w:rsidR="00E61DAC" w:rsidRPr="00495A50" w:rsidRDefault="00495A50" w:rsidP="0069319A">
            <w:pPr>
              <w:spacing w:before="60" w:after="60"/>
              <w:rPr>
                <w:szCs w:val="22"/>
                <w:lang w:val="fr-FR"/>
              </w:rPr>
            </w:pPr>
            <w:r w:rsidRPr="00495A50">
              <w:rPr>
                <w:szCs w:val="22"/>
                <w:lang w:val="fr-FR"/>
              </w:rPr>
              <w:t>E. François</w:t>
            </w:r>
            <w:r w:rsidR="00BE5423">
              <w:rPr>
                <w:szCs w:val="22"/>
                <w:lang w:val="fr-FR"/>
              </w:rPr>
              <w:t xml:space="preserve">, </w:t>
            </w:r>
            <w:r w:rsidR="00E74FC5">
              <w:rPr>
                <w:szCs w:val="22"/>
                <w:lang w:val="fr-FR"/>
              </w:rPr>
              <w:br/>
            </w:r>
            <w:r w:rsidR="00BE5423">
              <w:rPr>
                <w:szCs w:val="22"/>
                <w:lang w:val="fr-FR"/>
              </w:rPr>
              <w:t>F. Hiron</w:t>
            </w:r>
            <w:r w:rsidR="004153E3">
              <w:rPr>
                <w:szCs w:val="22"/>
                <w:lang w:val="fr-FR"/>
              </w:rPr>
              <w:t xml:space="preserve">, </w:t>
            </w:r>
            <w:r w:rsidR="00E74FC5">
              <w:rPr>
                <w:szCs w:val="22"/>
                <w:lang w:val="fr-FR"/>
              </w:rPr>
              <w:br/>
            </w:r>
            <w:r w:rsidR="004153E3">
              <w:rPr>
                <w:szCs w:val="22"/>
                <w:lang w:val="fr-FR"/>
              </w:rPr>
              <w:t>P. Andrivon</w:t>
            </w:r>
          </w:p>
        </w:tc>
        <w:tc>
          <w:tcPr>
            <w:tcW w:w="900" w:type="dxa"/>
          </w:tcPr>
          <w:p w14:paraId="6310B9E2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495A50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14:paraId="13B7FBDB" w14:textId="2FF8D938" w:rsidR="00E61DAC" w:rsidRPr="005B217D" w:rsidRDefault="00E61DAC" w:rsidP="00E74FC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495A50" w:rsidRPr="00CC0EBB">
                <w:rPr>
                  <w:rStyle w:val="Hyperlink"/>
                  <w:szCs w:val="22"/>
                  <w:lang w:val="en-CA"/>
                </w:rPr>
                <w:t>edouard.francois@technicolor.com</w:t>
              </w:r>
            </w:hyperlink>
            <w:r w:rsidR="00E74FC5">
              <w:rPr>
                <w:rStyle w:val="Hyperlink"/>
                <w:szCs w:val="22"/>
                <w:lang w:val="en-CA"/>
              </w:rPr>
              <w:br/>
            </w:r>
            <w:hyperlink r:id="rId11" w:history="1">
              <w:r w:rsidR="00E74FC5">
                <w:rPr>
                  <w:rStyle w:val="Hyperlink"/>
                  <w:szCs w:val="22"/>
                  <w:lang w:val="en-CA"/>
                </w:rPr>
                <w:t>franck.hiron@technicolor.com</w:t>
              </w:r>
            </w:hyperlink>
            <w:r w:rsidR="00E74FC5">
              <w:rPr>
                <w:rStyle w:val="Hyperlink"/>
                <w:szCs w:val="22"/>
                <w:lang w:val="en-CA"/>
              </w:rPr>
              <w:br/>
            </w:r>
            <w:hyperlink r:id="rId12" w:history="1">
              <w:r w:rsidR="00E74FC5">
                <w:rPr>
                  <w:rStyle w:val="Hyperlink"/>
                  <w:szCs w:val="22"/>
                  <w:lang w:val="en-CA"/>
                </w:rPr>
                <w:t>pierre.andrivon@technicolor.com</w:t>
              </w:r>
            </w:hyperlink>
          </w:p>
        </w:tc>
      </w:tr>
      <w:tr w:rsidR="00E61DAC" w:rsidRPr="005B217D" w14:paraId="0F7920E3" w14:textId="77777777" w:rsidTr="00495A50">
        <w:tc>
          <w:tcPr>
            <w:tcW w:w="1458" w:type="dxa"/>
          </w:tcPr>
          <w:p w14:paraId="50B6D35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352" w:type="dxa"/>
            <w:gridSpan w:val="3"/>
          </w:tcPr>
          <w:p w14:paraId="10D67CA9" w14:textId="6D714727" w:rsidR="00E61DAC" w:rsidRPr="005B217D" w:rsidRDefault="00E74FC5" w:rsidP="00E74FC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14:paraId="34EF4E80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BA35A84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4D467E0" w14:textId="4738B8CA" w:rsidR="00837ED3" w:rsidRDefault="006640B3" w:rsidP="00F83505">
      <w:pPr>
        <w:jc w:val="both"/>
        <w:rPr>
          <w:lang w:val="en-CA"/>
        </w:rPr>
      </w:pPr>
      <w:r>
        <w:rPr>
          <w:lang w:val="en-CA"/>
        </w:rPr>
        <w:t xml:space="preserve">This </w:t>
      </w:r>
      <w:r w:rsidRPr="006640B3">
        <w:rPr>
          <w:lang w:val="en-CA"/>
        </w:rPr>
        <w:t xml:space="preserve">contribution </w:t>
      </w:r>
      <w:r w:rsidR="00387C36">
        <w:rPr>
          <w:lang w:val="en-CA"/>
        </w:rPr>
        <w:t>presents results of experiments consisting in using CRI for Dynamic Range Adaptation</w:t>
      </w:r>
      <w:r w:rsidR="00097C32">
        <w:rPr>
          <w:lang w:val="en-CA"/>
        </w:rPr>
        <w:t xml:space="preserve"> (DRA) (a.k.a. </w:t>
      </w:r>
      <w:r w:rsidR="00E51A0C">
        <w:rPr>
          <w:lang w:val="en-CA"/>
        </w:rPr>
        <w:t>r</w:t>
      </w:r>
      <w:r w:rsidR="00387C36">
        <w:rPr>
          <w:lang w:val="en-CA"/>
        </w:rPr>
        <w:t>eshaping</w:t>
      </w:r>
      <w:r w:rsidR="00097C32">
        <w:rPr>
          <w:lang w:val="en-CA"/>
        </w:rPr>
        <w:t>) for</w:t>
      </w:r>
      <w:r w:rsidR="00387C36">
        <w:rPr>
          <w:lang w:val="en-CA"/>
        </w:rPr>
        <w:t xml:space="preserve"> HDR/WCG </w:t>
      </w:r>
      <w:r w:rsidR="00A01B27">
        <w:rPr>
          <w:lang w:val="en-CA"/>
        </w:rPr>
        <w:t>video</w:t>
      </w:r>
      <w:r w:rsidR="00387C36">
        <w:rPr>
          <w:lang w:val="en-CA"/>
        </w:rPr>
        <w:t xml:space="preserve"> compression efficiency.</w:t>
      </w:r>
      <w:r>
        <w:rPr>
          <w:lang w:val="en-CA"/>
        </w:rPr>
        <w:t xml:space="preserve"> </w:t>
      </w:r>
      <w:r w:rsidR="00837ED3">
        <w:rPr>
          <w:lang w:val="en-CA"/>
        </w:rPr>
        <w:t xml:space="preserve">CRI was specified to perform content conversion from one colour volume to another one. </w:t>
      </w:r>
      <w:r>
        <w:rPr>
          <w:lang w:val="en-CA"/>
        </w:rPr>
        <w:t xml:space="preserve">CRI was </w:t>
      </w:r>
      <w:r w:rsidR="00837ED3">
        <w:rPr>
          <w:lang w:val="en-CA"/>
        </w:rPr>
        <w:t xml:space="preserve">also </w:t>
      </w:r>
      <w:r w:rsidR="003E01BC">
        <w:rPr>
          <w:lang w:val="en-CA"/>
        </w:rPr>
        <w:t>mentioned</w:t>
      </w:r>
      <w:r>
        <w:rPr>
          <w:lang w:val="en-CA"/>
        </w:rPr>
        <w:t xml:space="preserve"> in </w:t>
      </w:r>
      <w:r w:rsidR="00837ED3">
        <w:rPr>
          <w:lang w:val="en-CA"/>
        </w:rPr>
        <w:t>22</w:t>
      </w:r>
      <w:r w:rsidR="00837ED3" w:rsidRPr="00837ED3">
        <w:rPr>
          <w:vertAlign w:val="superscript"/>
          <w:lang w:val="en-CA"/>
        </w:rPr>
        <w:t>nd</w:t>
      </w:r>
      <w:r w:rsidR="00837ED3">
        <w:rPr>
          <w:lang w:val="en-CA"/>
        </w:rPr>
        <w:t xml:space="preserve"> and 23</w:t>
      </w:r>
      <w:r w:rsidR="00837ED3" w:rsidRPr="00837ED3">
        <w:rPr>
          <w:vertAlign w:val="superscript"/>
          <w:lang w:val="en-CA"/>
        </w:rPr>
        <w:t>rd</w:t>
      </w:r>
      <w:r w:rsidR="00837ED3">
        <w:rPr>
          <w:lang w:val="en-CA"/>
        </w:rPr>
        <w:t xml:space="preserve"> JCT-VC meetings </w:t>
      </w:r>
      <w:r>
        <w:rPr>
          <w:lang w:val="en-CA"/>
        </w:rPr>
        <w:t xml:space="preserve">as a relevant SEI </w:t>
      </w:r>
      <w:r w:rsidR="00A01B27">
        <w:rPr>
          <w:lang w:val="en-CA"/>
        </w:rPr>
        <w:t xml:space="preserve">message </w:t>
      </w:r>
      <w:r>
        <w:rPr>
          <w:lang w:val="en-CA"/>
        </w:rPr>
        <w:t>to perform DRA for improv</w:t>
      </w:r>
      <w:r w:rsidR="00A01B27">
        <w:rPr>
          <w:lang w:val="en-CA"/>
        </w:rPr>
        <w:t>ing</w:t>
      </w:r>
      <w:r>
        <w:rPr>
          <w:lang w:val="en-CA"/>
        </w:rPr>
        <w:t xml:space="preserve"> coding efficiency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of HDR10 signal</w:t>
      </w:r>
      <w:r w:rsidR="00837ED3">
        <w:rPr>
          <w:lang w:val="en-CA"/>
        </w:rPr>
        <w:t xml:space="preserve">, as achieved by the </w:t>
      </w:r>
      <w:r w:rsidR="00D73F6E">
        <w:rPr>
          <w:lang w:val="en-CA"/>
        </w:rPr>
        <w:t xml:space="preserve">modified </w:t>
      </w:r>
      <w:r w:rsidR="00837ED3">
        <w:rPr>
          <w:lang w:val="en-CA"/>
        </w:rPr>
        <w:t>HDR Exploratory Test Model (ETM)</w:t>
      </w:r>
      <w:r w:rsidR="00D73F6E">
        <w:rPr>
          <w:lang w:val="en-CA"/>
        </w:rPr>
        <w:t xml:space="preserve"> presented in JCTVC-W0084</w:t>
      </w:r>
      <w:r>
        <w:rPr>
          <w:lang w:val="en-CA"/>
        </w:rPr>
        <w:t xml:space="preserve">. </w:t>
      </w:r>
      <w:r w:rsidR="00097C32">
        <w:rPr>
          <w:lang w:val="en-CA"/>
        </w:rPr>
        <w:t xml:space="preserve">Experiments </w:t>
      </w:r>
      <w:r w:rsidR="00D73F6E">
        <w:rPr>
          <w:lang w:val="en-CA"/>
        </w:rPr>
        <w:t>presented in th</w:t>
      </w:r>
      <w:r w:rsidR="003E01BC">
        <w:rPr>
          <w:lang w:val="en-CA"/>
        </w:rPr>
        <w:t>e present</w:t>
      </w:r>
      <w:r w:rsidR="00D73F6E">
        <w:rPr>
          <w:lang w:val="en-CA"/>
        </w:rPr>
        <w:t xml:space="preserve"> contribution are</w:t>
      </w:r>
      <w:r>
        <w:rPr>
          <w:lang w:val="en-CA"/>
        </w:rPr>
        <w:t xml:space="preserve"> </w:t>
      </w:r>
      <w:r w:rsidR="00837ED3">
        <w:rPr>
          <w:lang w:val="en-CA"/>
        </w:rPr>
        <w:t xml:space="preserve">based on </w:t>
      </w:r>
      <w:r w:rsidR="00D73F6E">
        <w:rPr>
          <w:lang w:val="en-CA"/>
        </w:rPr>
        <w:t>the modified</w:t>
      </w:r>
      <w:r w:rsidR="00837ED3">
        <w:rPr>
          <w:lang w:val="en-CA"/>
        </w:rPr>
        <w:t xml:space="preserve"> ETM</w:t>
      </w:r>
      <w:r w:rsidR="00D73F6E">
        <w:rPr>
          <w:lang w:val="en-CA"/>
        </w:rPr>
        <w:t xml:space="preserve"> of </w:t>
      </w:r>
      <w:r w:rsidR="00D73F6E">
        <w:rPr>
          <w:lang w:val="en-CA"/>
        </w:rPr>
        <w:t>JCTVC-W0084</w:t>
      </w:r>
      <w:r w:rsidR="00837ED3">
        <w:rPr>
          <w:lang w:val="en-CA"/>
        </w:rPr>
        <w:t>, in which</w:t>
      </w:r>
      <w:r w:rsidR="00097C32">
        <w:rPr>
          <w:lang w:val="en-CA"/>
        </w:rPr>
        <w:t xml:space="preserve"> the DRA</w:t>
      </w:r>
      <w:r w:rsidR="00837ED3">
        <w:rPr>
          <w:lang w:val="en-CA"/>
        </w:rPr>
        <w:t xml:space="preserve"> metadata are embedded in </w:t>
      </w:r>
      <w:r w:rsidR="003E01BC">
        <w:rPr>
          <w:lang w:val="en-CA"/>
        </w:rPr>
        <w:t xml:space="preserve">a </w:t>
      </w:r>
      <w:r w:rsidR="00837ED3">
        <w:rPr>
          <w:lang w:val="en-CA"/>
        </w:rPr>
        <w:t xml:space="preserve">CRI </w:t>
      </w:r>
      <w:r w:rsidR="00A01B27">
        <w:rPr>
          <w:lang w:val="en-CA"/>
        </w:rPr>
        <w:t xml:space="preserve">SEI message </w:t>
      </w:r>
      <w:r w:rsidR="00837ED3">
        <w:rPr>
          <w:lang w:val="en-CA"/>
        </w:rPr>
        <w:t xml:space="preserve">instead of PPS. </w:t>
      </w:r>
      <w:r w:rsidR="003E01BC">
        <w:rPr>
          <w:lang w:val="en-CA"/>
        </w:rPr>
        <w:t>Similar results to this modified ETM are reported.</w:t>
      </w:r>
      <w:r w:rsidR="00C5321A" w:rsidRPr="00C5321A">
        <w:rPr>
          <w:lang w:val="en-CA"/>
        </w:rPr>
        <w:t xml:space="preserve"> </w:t>
      </w:r>
      <w:r w:rsidR="00C5321A">
        <w:rPr>
          <w:lang w:val="en-CA"/>
        </w:rPr>
        <w:t xml:space="preserve">It is proposed </w:t>
      </w:r>
      <w:r w:rsidR="003E01BC">
        <w:rPr>
          <w:lang w:val="en-CA"/>
        </w:rPr>
        <w:t>to add</w:t>
      </w:r>
      <w:r w:rsidR="00C5321A">
        <w:rPr>
          <w:lang w:val="en-CA"/>
        </w:rPr>
        <w:t xml:space="preserve"> a description of CRI SEI usage for DRA </w:t>
      </w:r>
      <w:r w:rsidR="003E01BC">
        <w:rPr>
          <w:lang w:val="en-CA"/>
        </w:rPr>
        <w:t xml:space="preserve">to the Annex A of </w:t>
      </w:r>
      <w:r w:rsidR="00C5321A">
        <w:rPr>
          <w:lang w:val="en-CA"/>
        </w:rPr>
        <w:t>document “</w:t>
      </w:r>
      <w:r w:rsidR="00C5321A" w:rsidRPr="00BA62C9">
        <w:rPr>
          <w:lang w:val="en-CA"/>
        </w:rPr>
        <w:t>Conversion and Coding Practices for HDR/WCG Video</w:t>
      </w:r>
      <w:r w:rsidR="00C5321A">
        <w:rPr>
          <w:lang w:val="en-CA"/>
        </w:rPr>
        <w:t>”</w:t>
      </w:r>
      <w:r w:rsidR="00712633">
        <w:rPr>
          <w:lang w:val="en-CA"/>
        </w:rPr>
        <w:t>, as an option to improve HDR coding efficiency</w:t>
      </w:r>
      <w:r w:rsidR="00C5321A">
        <w:rPr>
          <w:lang w:val="en-CA"/>
        </w:rPr>
        <w:t>.</w:t>
      </w:r>
    </w:p>
    <w:p w14:paraId="03A1C1C3" w14:textId="7777777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6F9310F5" w14:textId="1CB5B341" w:rsidR="002935CD" w:rsidRDefault="002935CD" w:rsidP="004234F0">
      <w:pPr>
        <w:jc w:val="both"/>
        <w:rPr>
          <w:lang w:val="en-CA"/>
        </w:rPr>
      </w:pPr>
      <w:r w:rsidRPr="006640B3">
        <w:rPr>
          <w:lang w:val="en-CA"/>
        </w:rPr>
        <w:t>C</w:t>
      </w:r>
      <w:r>
        <w:rPr>
          <w:lang w:val="en-CA"/>
        </w:rPr>
        <w:t>olour Remapping Information (C</w:t>
      </w:r>
      <w:r w:rsidRPr="006640B3">
        <w:rPr>
          <w:lang w:val="en-CA"/>
        </w:rPr>
        <w:t>RI</w:t>
      </w:r>
      <w:r>
        <w:rPr>
          <w:lang w:val="en-CA"/>
        </w:rPr>
        <w:t>) is an SEI message</w:t>
      </w:r>
      <w:r w:rsidRPr="006640B3">
        <w:rPr>
          <w:lang w:val="en-CA"/>
        </w:rPr>
        <w:t xml:space="preserve"> </w:t>
      </w:r>
      <w:r>
        <w:rPr>
          <w:lang w:val="en-CA"/>
        </w:rPr>
        <w:t xml:space="preserve">that aims at enabling conversion of a </w:t>
      </w:r>
      <w:r w:rsidR="00A01B27">
        <w:rPr>
          <w:lang w:val="en-CA"/>
        </w:rPr>
        <w:t xml:space="preserve">reconstructed </w:t>
      </w:r>
      <w:r>
        <w:rPr>
          <w:lang w:val="en-CA"/>
        </w:rPr>
        <w:t>video content from one colour volume to another one. For example, CRI can be used in a post-processing step following the decoding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stage</w:t>
      </w:r>
      <w:r>
        <w:rPr>
          <w:lang w:val="en-CA"/>
        </w:rPr>
        <w:t xml:space="preserve"> to convert a decoded HDR video </w:t>
      </w:r>
      <w:r w:rsidR="00A01B27">
        <w:rPr>
          <w:lang w:val="en-CA"/>
        </w:rPr>
        <w:t xml:space="preserve">represented </w:t>
      </w:r>
      <w:r>
        <w:rPr>
          <w:lang w:val="en-CA"/>
        </w:rPr>
        <w:t xml:space="preserve">with BT.2020 primaries and SMPTE ST 2084 transfer function to an SDR video </w:t>
      </w:r>
      <w:r w:rsidR="00A01B27">
        <w:rPr>
          <w:lang w:val="en-CA"/>
        </w:rPr>
        <w:t xml:space="preserve">represented </w:t>
      </w:r>
      <w:r>
        <w:rPr>
          <w:lang w:val="en-CA"/>
        </w:rPr>
        <w:t>with BT.709 primaries and BT.</w:t>
      </w:r>
      <w:r w:rsidR="00A01B27">
        <w:rPr>
          <w:lang w:val="en-CA"/>
        </w:rPr>
        <w:t>709</w:t>
      </w:r>
      <w:r>
        <w:rPr>
          <w:lang w:val="en-CA"/>
        </w:rPr>
        <w:t xml:space="preserve"> transfer function (</w:t>
      </w:r>
      <w:hyperlink r:id="rId13" w:history="1">
        <w:r>
          <w:rPr>
            <w:rStyle w:val="Hyperlink"/>
          </w:rPr>
          <w:t>JCTVC-Q0074</w:t>
        </w:r>
      </w:hyperlink>
      <w:r>
        <w:t>).</w:t>
      </w:r>
      <w:r w:rsidR="00BE5423">
        <w:t xml:space="preserve"> CRI has also been investigated to perform dynamic range adaptation (DRA, also named reshaping) in order to improve </w:t>
      </w:r>
      <w:r w:rsidR="00A01B27">
        <w:t xml:space="preserve">coding </w:t>
      </w:r>
      <w:r w:rsidR="00BE5423">
        <w:t>efficiency of HDR content (</w:t>
      </w:r>
      <w:hyperlink r:id="rId14" w:history="1">
        <w:r w:rsidR="00BE5423">
          <w:rPr>
            <w:rStyle w:val="Hyperlink"/>
          </w:rPr>
          <w:t>JCTVC-V0064</w:t>
        </w:r>
      </w:hyperlink>
      <w:r w:rsidR="00BE5423">
        <w:t xml:space="preserve">). In the </w:t>
      </w:r>
      <w:r w:rsidR="00BE5423">
        <w:rPr>
          <w:lang w:val="en-CA"/>
        </w:rPr>
        <w:t>23</w:t>
      </w:r>
      <w:r w:rsidR="00BE5423" w:rsidRPr="00837ED3">
        <w:rPr>
          <w:vertAlign w:val="superscript"/>
          <w:lang w:val="en-CA"/>
        </w:rPr>
        <w:t>rd</w:t>
      </w:r>
      <w:r w:rsidR="00BE5423">
        <w:rPr>
          <w:lang w:val="en-CA"/>
        </w:rPr>
        <w:t xml:space="preserve"> JCT-VC meeting, it has been concluded that the performance of the HDR Exploratory Test Model (ETM) can </w:t>
      </w:r>
      <w:r w:rsidR="00A01B27">
        <w:rPr>
          <w:lang w:val="en-CA"/>
        </w:rPr>
        <w:t xml:space="preserve">likely </w:t>
      </w:r>
      <w:r w:rsidR="00BE5423">
        <w:rPr>
          <w:lang w:val="en-CA"/>
        </w:rPr>
        <w:t xml:space="preserve">be reproduced using CRI. This contribution provides results </w:t>
      </w:r>
      <w:r w:rsidR="009507CD">
        <w:rPr>
          <w:lang w:val="en-CA"/>
        </w:rPr>
        <w:t>showing that</w:t>
      </w:r>
      <w:r w:rsidR="00BE5423">
        <w:rPr>
          <w:lang w:val="en-CA"/>
        </w:rPr>
        <w:t xml:space="preserve"> </w:t>
      </w:r>
      <w:r w:rsidR="00A01B27">
        <w:rPr>
          <w:lang w:val="en-CA"/>
        </w:rPr>
        <w:t xml:space="preserve">existing CRI SEI message </w:t>
      </w:r>
      <w:r w:rsidR="009507CD">
        <w:rPr>
          <w:lang w:val="en-CA"/>
        </w:rPr>
        <w:t xml:space="preserve">can indeed be used </w:t>
      </w:r>
      <w:r w:rsidR="00A01B27">
        <w:rPr>
          <w:lang w:val="en-CA"/>
        </w:rPr>
        <w:t xml:space="preserve">for DRA, improving </w:t>
      </w:r>
      <w:r w:rsidR="009507CD">
        <w:rPr>
          <w:lang w:val="en-CA"/>
        </w:rPr>
        <w:t>coding efficiency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of HDR10 signal with the same performance as ETM</w:t>
      </w:r>
      <w:r w:rsidR="00BE5423">
        <w:rPr>
          <w:lang w:val="en-CA"/>
        </w:rPr>
        <w:t xml:space="preserve">. </w:t>
      </w:r>
    </w:p>
    <w:p w14:paraId="0234AC00" w14:textId="39B7383E" w:rsidR="0041291C" w:rsidRDefault="0041291C" w:rsidP="004234F0">
      <w:pPr>
        <w:jc w:val="both"/>
        <w:rPr>
          <w:lang w:val="en-CA"/>
        </w:rPr>
      </w:pPr>
      <w:r>
        <w:rPr>
          <w:lang w:val="en-CA"/>
        </w:rPr>
        <w:t>It is proposed that a description of CRI SEI usage for DRA is added in Annex A of the document “</w:t>
      </w:r>
      <w:r w:rsidRPr="00BA62C9">
        <w:rPr>
          <w:lang w:val="en-CA"/>
        </w:rPr>
        <w:t>Conversion and Coding Practices for HDR/WCG Video</w:t>
      </w:r>
      <w:r>
        <w:rPr>
          <w:lang w:val="en-CA"/>
        </w:rPr>
        <w:t>”.</w:t>
      </w:r>
    </w:p>
    <w:p w14:paraId="76A4DB51" w14:textId="0F57D20D" w:rsidR="00BE5423" w:rsidRPr="005B217D" w:rsidRDefault="00A01B27" w:rsidP="00BE5423">
      <w:pPr>
        <w:pStyle w:val="Heading1"/>
        <w:rPr>
          <w:lang w:val="en-CA"/>
        </w:rPr>
      </w:pPr>
      <w:r>
        <w:rPr>
          <w:lang w:val="en-CA"/>
        </w:rPr>
        <w:t>E</w:t>
      </w:r>
      <w:r w:rsidR="00BE5423">
        <w:rPr>
          <w:lang w:val="en-CA"/>
        </w:rPr>
        <w:t>xperiments</w:t>
      </w:r>
    </w:p>
    <w:p w14:paraId="31178AB8" w14:textId="61D72719" w:rsidR="00D900BB" w:rsidRPr="00D900BB" w:rsidRDefault="003677E5" w:rsidP="00D900BB">
      <w:pPr>
        <w:jc w:val="both"/>
        <w:rPr>
          <w:lang w:val="en-CA"/>
        </w:rPr>
      </w:pPr>
      <w:r>
        <w:rPr>
          <w:lang w:val="en-CA"/>
        </w:rPr>
        <w:t xml:space="preserve">The experiments reported in this contribution are based on the modified ETM software as proposed in </w:t>
      </w:r>
      <w:hyperlink r:id="rId15" w:history="1">
        <w:r w:rsidR="00D32AC7">
          <w:rPr>
            <w:rStyle w:val="Hyperlink"/>
          </w:rPr>
          <w:t>JCTVC-W0084</w:t>
        </w:r>
      </w:hyperlink>
      <w:r w:rsidR="00E02DA4">
        <w:rPr>
          <w:lang w:val="en-CA"/>
        </w:rPr>
        <w:t>, called here “</w:t>
      </w:r>
      <w:r w:rsidR="00E02DA4" w:rsidRPr="00E02DA4">
        <w:rPr>
          <w:b/>
          <w:lang w:val="en-CA"/>
        </w:rPr>
        <w:t>reference ETM</w:t>
      </w:r>
      <w:r w:rsidR="00E02DA4">
        <w:rPr>
          <w:lang w:val="en-CA"/>
        </w:rPr>
        <w:t>”</w:t>
      </w:r>
      <w:r>
        <w:rPr>
          <w:lang w:val="en-CA"/>
        </w:rPr>
        <w:t xml:space="preserve">. </w:t>
      </w:r>
      <w:hyperlink r:id="rId16" w:history="1">
        <w:r w:rsidR="00D32AC7">
          <w:rPr>
            <w:rStyle w:val="Hyperlink"/>
          </w:rPr>
          <w:t>JCTVC-W0084</w:t>
        </w:r>
      </w:hyperlink>
      <w:r>
        <w:rPr>
          <w:lang w:val="en-CA"/>
        </w:rPr>
        <w:t xml:space="preserve"> proposes a DRA process aiming</w:t>
      </w:r>
      <w:r w:rsidR="00245134">
        <w:rPr>
          <w:lang w:val="en-CA"/>
        </w:rPr>
        <w:t xml:space="preserve"> </w:t>
      </w:r>
      <w:r>
        <w:rPr>
          <w:lang w:val="en-CA"/>
        </w:rPr>
        <w:t>at improving the compression performance for HDR/WCG video. DRA is based on three reshaping functions,</w:t>
      </w:r>
      <w:r w:rsidR="0015342F">
        <w:rPr>
          <w:lang w:val="en-CA"/>
        </w:rPr>
        <w:t xml:space="preserve"> </w:t>
      </w:r>
      <w:r>
        <w:rPr>
          <w:lang w:val="en-CA"/>
        </w:rPr>
        <w:t>one for luma based on piece-wise polynomial model (</w:t>
      </w:r>
      <w:r w:rsidR="00F576F1">
        <w:rPr>
          <w:lang w:val="en-CA"/>
        </w:rPr>
        <w:t xml:space="preserve">PWP), </w:t>
      </w:r>
      <w:r>
        <w:rPr>
          <w:lang w:val="en-CA"/>
        </w:rPr>
        <w:t xml:space="preserve">with 8 </w:t>
      </w:r>
      <w:r w:rsidR="00A01B27">
        <w:rPr>
          <w:lang w:val="en-CA"/>
        </w:rPr>
        <w:t>portions</w:t>
      </w:r>
      <w:r>
        <w:rPr>
          <w:lang w:val="en-CA"/>
        </w:rPr>
        <w:t>, plus two ones for chroma based on piece-wise linear model</w:t>
      </w:r>
      <w:r w:rsidR="00F576F1">
        <w:rPr>
          <w:lang w:val="en-CA"/>
        </w:rPr>
        <w:t xml:space="preserve"> (PWL), </w:t>
      </w:r>
      <w:r>
        <w:rPr>
          <w:lang w:val="en-CA"/>
        </w:rPr>
        <w:t xml:space="preserve">with 1 </w:t>
      </w:r>
      <w:r w:rsidR="00F576F1">
        <w:rPr>
          <w:lang w:val="en-CA"/>
        </w:rPr>
        <w:t xml:space="preserve">single </w:t>
      </w:r>
      <w:r w:rsidR="00A01B27">
        <w:rPr>
          <w:lang w:val="en-CA"/>
        </w:rPr>
        <w:t>portion</w:t>
      </w:r>
      <w:r>
        <w:rPr>
          <w:lang w:val="en-CA"/>
        </w:rPr>
        <w:t>.</w:t>
      </w:r>
      <w:r w:rsidR="00F576F1">
        <w:rPr>
          <w:lang w:val="en-CA"/>
        </w:rPr>
        <w:t xml:space="preserve"> The parameters of these models are embedded in the PPS.</w:t>
      </w:r>
      <w:r w:rsidR="00245134">
        <w:rPr>
          <w:lang w:val="en-CA"/>
        </w:rPr>
        <w:t xml:space="preserve"> </w:t>
      </w:r>
      <w:r w:rsidR="00842C84">
        <w:rPr>
          <w:lang w:val="en-CA"/>
        </w:rPr>
        <w:t>The functions are typically implemented in the shape of 1D look-up-tables (</w:t>
      </w:r>
      <w:proofErr w:type="spellStart"/>
      <w:r w:rsidR="00842C84" w:rsidRPr="00842C84">
        <w:rPr>
          <w:i/>
          <w:lang w:val="en-CA"/>
        </w:rPr>
        <w:t>LUT</w:t>
      </w:r>
      <w:r w:rsidR="00842C84" w:rsidRPr="00842C84">
        <w:rPr>
          <w:i/>
          <w:vertAlign w:val="subscript"/>
          <w:lang w:val="en-CA"/>
        </w:rPr>
        <w:t>DRAk</w:t>
      </w:r>
      <w:proofErr w:type="spellEnd"/>
      <w:r w:rsidR="00842C84">
        <w:rPr>
          <w:lang w:val="en-CA"/>
        </w:rPr>
        <w:t xml:space="preserve">, </w:t>
      </w:r>
      <w:r w:rsidR="00842C84">
        <w:rPr>
          <w:lang w:val="en-CA"/>
        </w:rPr>
        <w:lastRenderedPageBreak/>
        <w:t xml:space="preserve">for </w:t>
      </w:r>
      <w:r w:rsidR="00842C84" w:rsidRPr="0015342F">
        <w:rPr>
          <w:i/>
          <w:lang w:val="en-CA"/>
        </w:rPr>
        <w:t>k</w:t>
      </w:r>
      <w:r w:rsidR="00842C84">
        <w:rPr>
          <w:lang w:val="en-CA"/>
        </w:rPr>
        <w:t>=0, 1, 2</w:t>
      </w:r>
      <w:r w:rsidR="00CB4478">
        <w:rPr>
          <w:lang w:val="en-CA"/>
        </w:rPr>
        <w:t>)</w:t>
      </w:r>
      <w:r w:rsidR="00842C84">
        <w:rPr>
          <w:lang w:val="en-CA"/>
        </w:rPr>
        <w:t xml:space="preserve">. </w:t>
      </w:r>
      <w:r w:rsidR="00B24B92">
        <w:rPr>
          <w:lang w:val="en-CA"/>
        </w:rPr>
        <w:t xml:space="preserve">The </w:t>
      </w:r>
      <w:r w:rsidR="00AA6248">
        <w:rPr>
          <w:lang w:val="en-CA"/>
        </w:rPr>
        <w:t>synoptic</w:t>
      </w:r>
      <w:r w:rsidR="00B24B92">
        <w:rPr>
          <w:lang w:val="en-CA"/>
        </w:rPr>
        <w:t xml:space="preserve"> of the pre-processing and </w:t>
      </w:r>
      <w:r w:rsidR="00027BCD">
        <w:rPr>
          <w:lang w:val="en-CA"/>
        </w:rPr>
        <w:t xml:space="preserve">post-processing </w:t>
      </w:r>
      <w:r w:rsidR="00AA6248">
        <w:rPr>
          <w:lang w:val="en-CA"/>
        </w:rPr>
        <w:t>is</w:t>
      </w:r>
      <w:r w:rsidR="00B24B92">
        <w:rPr>
          <w:lang w:val="en-CA"/>
        </w:rPr>
        <w:t xml:space="preserve"> shown in </w:t>
      </w:r>
      <w:r w:rsidR="00B24B92">
        <w:rPr>
          <w:lang w:val="en-CA"/>
        </w:rPr>
        <w:fldChar w:fldCharType="begin"/>
      </w:r>
      <w:r w:rsidR="00B24B92">
        <w:rPr>
          <w:lang w:val="en-CA"/>
        </w:rPr>
        <w:instrText xml:space="preserve"> REF _Ref450647437 \h </w:instrText>
      </w:r>
      <w:r w:rsidR="00B24B92">
        <w:rPr>
          <w:lang w:val="en-CA"/>
        </w:rPr>
      </w:r>
      <w:r w:rsidR="00B24B92">
        <w:rPr>
          <w:lang w:val="en-CA"/>
        </w:rPr>
        <w:fldChar w:fldCharType="separate"/>
      </w:r>
      <w:r w:rsidR="00027BCD" w:rsidRPr="009A1A29">
        <w:t xml:space="preserve">Figure </w:t>
      </w:r>
      <w:r w:rsidR="00027BCD">
        <w:rPr>
          <w:noProof/>
        </w:rPr>
        <w:t>1</w:t>
      </w:r>
      <w:r w:rsidR="00B24B92">
        <w:rPr>
          <w:lang w:val="en-CA"/>
        </w:rPr>
        <w:fldChar w:fldCharType="end"/>
      </w:r>
      <w:r w:rsidR="00027BCD">
        <w:rPr>
          <w:lang w:val="en-CA"/>
        </w:rPr>
        <w:t xml:space="preserve"> and </w:t>
      </w:r>
      <w:r w:rsidR="00027BCD">
        <w:rPr>
          <w:lang w:val="en-CA"/>
        </w:rPr>
        <w:fldChar w:fldCharType="begin"/>
      </w:r>
      <w:r w:rsidR="00027BCD">
        <w:rPr>
          <w:lang w:val="en-CA"/>
        </w:rPr>
        <w:instrText xml:space="preserve"> REF _Ref450740462 \h </w:instrText>
      </w:r>
      <w:r w:rsidR="00027BCD">
        <w:rPr>
          <w:lang w:val="en-CA"/>
        </w:rPr>
      </w:r>
      <w:r w:rsidR="00027BCD">
        <w:rPr>
          <w:lang w:val="en-CA"/>
        </w:rPr>
        <w:fldChar w:fldCharType="separate"/>
      </w:r>
      <w:r w:rsidR="00027BCD" w:rsidRPr="009A1A29">
        <w:t xml:space="preserve">Figure </w:t>
      </w:r>
      <w:r w:rsidR="00027BCD">
        <w:rPr>
          <w:noProof/>
        </w:rPr>
        <w:t>2</w:t>
      </w:r>
      <w:r w:rsidR="00027BCD">
        <w:rPr>
          <w:lang w:val="en-CA"/>
        </w:rPr>
        <w:fldChar w:fldCharType="end"/>
      </w:r>
      <w:r w:rsidR="00B24B92">
        <w:rPr>
          <w:lang w:val="en-CA"/>
        </w:rPr>
        <w:t>.</w:t>
      </w:r>
      <w:r w:rsidR="00D900BB">
        <w:rPr>
          <w:lang w:val="en-CA"/>
        </w:rPr>
        <w:t xml:space="preserve"> In order to fully benefit from the coding code</w:t>
      </w:r>
      <w:r w:rsidR="003B46D5">
        <w:rPr>
          <w:lang w:val="en-CA"/>
        </w:rPr>
        <w:t>-</w:t>
      </w:r>
      <w:r w:rsidR="00D900BB">
        <w:rPr>
          <w:lang w:val="en-CA"/>
        </w:rPr>
        <w:t>words range, the DRA process generates a Full Range (FR) signal. The inverse DRA process goes back to Legal Range (LR) HDR ST 2084 10</w:t>
      </w:r>
      <w:r w:rsidR="0015342F">
        <w:rPr>
          <w:lang w:val="en-CA"/>
        </w:rPr>
        <w:t>-</w:t>
      </w:r>
      <w:r w:rsidR="00D900BB">
        <w:rPr>
          <w:lang w:val="en-CA"/>
        </w:rPr>
        <w:t>b</w:t>
      </w:r>
      <w:r w:rsidR="0015342F">
        <w:rPr>
          <w:lang w:val="en-CA"/>
        </w:rPr>
        <w:t xml:space="preserve">it </w:t>
      </w:r>
      <w:proofErr w:type="spellStart"/>
      <w:r w:rsidR="0015342F">
        <w:rPr>
          <w:lang w:val="en-CA"/>
        </w:rPr>
        <w:t>YCbCr</w:t>
      </w:r>
      <w:proofErr w:type="spellEnd"/>
      <w:r w:rsidR="00D900BB">
        <w:rPr>
          <w:lang w:val="en-CA"/>
        </w:rPr>
        <w:t xml:space="preserve"> signal. The conversion from full-to-legal range is managed internally by the inverse DRA.</w:t>
      </w:r>
    </w:p>
    <w:p w14:paraId="2D7EA6F1" w14:textId="7F350BED" w:rsidR="00245134" w:rsidRDefault="00245134" w:rsidP="004234F0">
      <w:pPr>
        <w:jc w:val="both"/>
        <w:rPr>
          <w:lang w:val="en-CA"/>
        </w:rPr>
      </w:pPr>
    </w:p>
    <w:p w14:paraId="6ED73068" w14:textId="49503FCB" w:rsidR="00245134" w:rsidRDefault="00D900BB" w:rsidP="007F6519">
      <w:pPr>
        <w:spacing w:after="120"/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11390" w:dyaOrig="1855" w14:anchorId="772363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15pt;height:74.5pt" o:ole="">
            <v:imagedata r:id="rId17" o:title=""/>
          </v:shape>
          <o:OLEObject Type="Embed" ProgID="Visio.Drawing.11" ShapeID="_x0000_i1025" DrawAspect="Content" ObjectID="_1524947071" r:id="rId18"/>
        </w:object>
      </w:r>
    </w:p>
    <w:p w14:paraId="50690336" w14:textId="6A183375" w:rsidR="009A1A29" w:rsidRPr="009A1A29" w:rsidRDefault="009A1A29" w:rsidP="006F4038">
      <w:pPr>
        <w:pStyle w:val="Caption"/>
        <w:rPr>
          <w:szCs w:val="22"/>
          <w:lang w:val="en-CA"/>
        </w:rPr>
      </w:pPr>
      <w:bookmarkStart w:id="0" w:name="_Ref450647437"/>
      <w:r w:rsidRPr="009A1A29">
        <w:t xml:space="preserve">Figure </w:t>
      </w:r>
      <w:fldSimple w:instr=" SEQ Figure \* ARABIC ">
        <w:r w:rsidR="00027BCD">
          <w:rPr>
            <w:noProof/>
          </w:rPr>
          <w:t>1</w:t>
        </w:r>
      </w:fldSimple>
      <w:bookmarkEnd w:id="0"/>
      <w:r w:rsidRPr="009A1A29">
        <w:t xml:space="preserve">. Pre-processing </w:t>
      </w:r>
      <w:r w:rsidR="00E12BDE">
        <w:t>synoptic</w:t>
      </w:r>
      <w:r w:rsidRPr="009A1A29">
        <w:t xml:space="preserve"> of JCTVC-W0084.</w:t>
      </w:r>
    </w:p>
    <w:p w14:paraId="67AD0B27" w14:textId="7B74EA3A" w:rsidR="00245134" w:rsidRDefault="00E0526C" w:rsidP="007F6519">
      <w:pPr>
        <w:spacing w:after="120"/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8470" w:dyaOrig="1743" w14:anchorId="6379584E">
          <v:shape id="_x0000_i1026" type="#_x0000_t75" style="width:335.6pt;height:69.5pt" o:ole="">
            <v:imagedata r:id="rId19" o:title=""/>
          </v:shape>
          <o:OLEObject Type="Embed" ProgID="Visio.Drawing.11" ShapeID="_x0000_i1026" DrawAspect="Content" ObjectID="_1524947072" r:id="rId20"/>
        </w:object>
      </w:r>
    </w:p>
    <w:p w14:paraId="479BE449" w14:textId="3D7B0405" w:rsidR="00027BCD" w:rsidRPr="009A1A29" w:rsidRDefault="00027BCD" w:rsidP="00027BCD">
      <w:pPr>
        <w:pStyle w:val="Caption"/>
        <w:rPr>
          <w:szCs w:val="22"/>
          <w:lang w:val="en-CA"/>
        </w:rPr>
      </w:pPr>
      <w:bookmarkStart w:id="1" w:name="_Ref450740462"/>
      <w:r w:rsidRPr="009A1A29">
        <w:t xml:space="preserve">Figure </w:t>
      </w:r>
      <w:fldSimple w:instr=" SEQ Figure \* ARABIC ">
        <w:r>
          <w:rPr>
            <w:noProof/>
          </w:rPr>
          <w:t>2</w:t>
        </w:r>
      </w:fldSimple>
      <w:bookmarkEnd w:id="1"/>
      <w:r w:rsidRPr="009A1A29">
        <w:t>. P</w:t>
      </w:r>
      <w:r>
        <w:t>ost</w:t>
      </w:r>
      <w:r w:rsidRPr="009A1A29">
        <w:t xml:space="preserve">-processing </w:t>
      </w:r>
      <w:r>
        <w:t>synoptic</w:t>
      </w:r>
      <w:r w:rsidRPr="009A1A29">
        <w:t xml:space="preserve"> of JCTVC-W0084.</w:t>
      </w:r>
    </w:p>
    <w:p w14:paraId="6AE3FE33" w14:textId="77777777" w:rsidR="00027BCD" w:rsidRDefault="00027BCD" w:rsidP="004234F0">
      <w:pPr>
        <w:jc w:val="both"/>
        <w:rPr>
          <w:lang w:val="en-CA"/>
        </w:rPr>
      </w:pPr>
    </w:p>
    <w:p w14:paraId="4B1E6BB4" w14:textId="77777777" w:rsidR="009E0188" w:rsidRDefault="00245134" w:rsidP="004234F0">
      <w:pPr>
        <w:jc w:val="both"/>
        <w:rPr>
          <w:lang w:val="en-CA"/>
        </w:rPr>
      </w:pPr>
      <w:r>
        <w:rPr>
          <w:lang w:val="en-CA"/>
        </w:rPr>
        <w:t xml:space="preserve">In the </w:t>
      </w:r>
      <w:r w:rsidR="00A01B27">
        <w:rPr>
          <w:lang w:val="en-CA"/>
        </w:rPr>
        <w:t>present</w:t>
      </w:r>
      <w:r>
        <w:rPr>
          <w:lang w:val="en-CA"/>
        </w:rPr>
        <w:t xml:space="preserve"> experiments, the </w:t>
      </w:r>
      <w:r w:rsidR="00CF3712">
        <w:rPr>
          <w:lang w:val="en-CA"/>
        </w:rPr>
        <w:t>luma and chroma</w:t>
      </w:r>
      <w:r>
        <w:rPr>
          <w:lang w:val="en-CA"/>
        </w:rPr>
        <w:t xml:space="preserve"> reshaping functions are </w:t>
      </w:r>
      <w:r w:rsidR="00A01B27">
        <w:rPr>
          <w:lang w:val="en-CA"/>
        </w:rPr>
        <w:t xml:space="preserve">all </w:t>
      </w:r>
      <w:r>
        <w:rPr>
          <w:lang w:val="en-CA"/>
        </w:rPr>
        <w:t>modeled by a PW</w:t>
      </w:r>
      <w:r w:rsidR="00A01B27">
        <w:rPr>
          <w:lang w:val="en-CA"/>
        </w:rPr>
        <w:t>L</w:t>
      </w:r>
      <w:r>
        <w:rPr>
          <w:lang w:val="en-CA"/>
        </w:rPr>
        <w:t xml:space="preserve"> model, which parameters are embedded by a CRI SEI message. </w:t>
      </w:r>
    </w:p>
    <w:p w14:paraId="7491BD84" w14:textId="6916C0EA" w:rsidR="00245134" w:rsidRDefault="00245134" w:rsidP="004234F0">
      <w:pPr>
        <w:jc w:val="both"/>
        <w:rPr>
          <w:lang w:val="en-CA"/>
        </w:rPr>
      </w:pPr>
      <w:r>
        <w:rPr>
          <w:lang w:val="en-CA"/>
        </w:rPr>
        <w:t xml:space="preserve">For chroma, one </w:t>
      </w:r>
      <w:r w:rsidR="00A01B27">
        <w:rPr>
          <w:lang w:val="en-CA"/>
        </w:rPr>
        <w:t xml:space="preserve">linear portion </w:t>
      </w:r>
      <w:r>
        <w:rPr>
          <w:lang w:val="en-CA"/>
        </w:rPr>
        <w:t xml:space="preserve">is used. For luma, 9, 17 or 33 </w:t>
      </w:r>
      <w:r w:rsidR="00A01B27">
        <w:rPr>
          <w:lang w:val="en-CA"/>
        </w:rPr>
        <w:t xml:space="preserve">linear portion </w:t>
      </w:r>
      <w:r>
        <w:rPr>
          <w:lang w:val="en-CA"/>
        </w:rPr>
        <w:t>are tested</w:t>
      </w:r>
      <w:r w:rsidR="00CF3712">
        <w:rPr>
          <w:lang w:val="en-CA"/>
        </w:rPr>
        <w:t xml:space="preserve"> instead of the 8 PWP pieces used in the initial ETM version</w:t>
      </w:r>
      <w:r>
        <w:rPr>
          <w:lang w:val="en-CA"/>
        </w:rPr>
        <w:t xml:space="preserve">. Apart from that, the way luma and chroma reshaping functions are derived is identical to the method used in </w:t>
      </w:r>
      <w:hyperlink r:id="rId21" w:history="1">
        <w:r w:rsidR="00D32AC7">
          <w:rPr>
            <w:rStyle w:val="Hyperlink"/>
          </w:rPr>
          <w:t>JCTVC-W0084</w:t>
        </w:r>
      </w:hyperlink>
      <w:r>
        <w:rPr>
          <w:lang w:val="en-CA"/>
        </w:rPr>
        <w:t xml:space="preserve">. The modified HM as described in </w:t>
      </w:r>
      <w:hyperlink r:id="rId22" w:history="1">
        <w:r w:rsidR="00D32AC7">
          <w:rPr>
            <w:rStyle w:val="Hyperlink"/>
          </w:rPr>
          <w:t>JCTVC-W0084</w:t>
        </w:r>
      </w:hyperlink>
      <w:r w:rsidR="00D32AC7">
        <w:rPr>
          <w:lang w:val="en-CA"/>
        </w:rPr>
        <w:t xml:space="preserve"> </w:t>
      </w:r>
      <w:r>
        <w:rPr>
          <w:lang w:val="en-CA"/>
        </w:rPr>
        <w:t xml:space="preserve">is also used for the encoding (in particular the same chroma QP and luma </w:t>
      </w:r>
      <w:proofErr w:type="spellStart"/>
      <w:r>
        <w:rPr>
          <w:lang w:val="en-CA"/>
        </w:rPr>
        <w:t>deltaQP</w:t>
      </w:r>
      <w:proofErr w:type="spellEnd"/>
      <w:r>
        <w:rPr>
          <w:lang w:val="en-CA"/>
        </w:rPr>
        <w:t xml:space="preserve"> adjustments are used). The only difference is that the metadata are contained </w:t>
      </w:r>
      <w:r w:rsidR="00CF3712">
        <w:rPr>
          <w:lang w:val="en-CA"/>
        </w:rPr>
        <w:t xml:space="preserve">in </w:t>
      </w:r>
      <w:r>
        <w:rPr>
          <w:lang w:val="en-CA"/>
        </w:rPr>
        <w:t xml:space="preserve">a CRI SEI message, and the post-processing uses </w:t>
      </w:r>
      <w:r w:rsidR="00CF3712">
        <w:rPr>
          <w:lang w:val="en-CA"/>
        </w:rPr>
        <w:t>these</w:t>
      </w:r>
      <w:r>
        <w:rPr>
          <w:lang w:val="en-CA"/>
        </w:rPr>
        <w:t xml:space="preserve"> CRI </w:t>
      </w:r>
      <w:r w:rsidR="00A01B27">
        <w:rPr>
          <w:lang w:val="en-CA"/>
        </w:rPr>
        <w:t xml:space="preserve">syntax elements </w:t>
      </w:r>
      <w:r>
        <w:rPr>
          <w:lang w:val="en-CA"/>
        </w:rPr>
        <w:t xml:space="preserve">to reconstruct the HDR signal from the decoded </w:t>
      </w:r>
      <w:r w:rsidR="00A01B27">
        <w:rPr>
          <w:lang w:val="en-CA"/>
        </w:rPr>
        <w:t xml:space="preserve">HDR reshaped </w:t>
      </w:r>
      <w:r>
        <w:rPr>
          <w:lang w:val="en-CA"/>
        </w:rPr>
        <w:t>signal.</w:t>
      </w:r>
      <w:r w:rsidR="00B24B92">
        <w:rPr>
          <w:lang w:val="en-CA"/>
        </w:rPr>
        <w:t xml:space="preserve"> The modified synoptic of the pre-processing and encoding is shown in </w:t>
      </w:r>
      <w:r w:rsidR="00B24B92">
        <w:rPr>
          <w:lang w:val="en-CA"/>
        </w:rPr>
        <w:fldChar w:fldCharType="begin"/>
      </w:r>
      <w:r w:rsidR="00B24B92">
        <w:rPr>
          <w:lang w:val="en-CA"/>
        </w:rPr>
        <w:instrText xml:space="preserve"> REF _Ref450647474 \h </w:instrText>
      </w:r>
      <w:r w:rsidR="00B24B92">
        <w:rPr>
          <w:lang w:val="en-CA"/>
        </w:rPr>
      </w:r>
      <w:r w:rsidR="00B24B92">
        <w:rPr>
          <w:lang w:val="en-CA"/>
        </w:rPr>
        <w:fldChar w:fldCharType="separate"/>
      </w:r>
      <w:r w:rsidR="00027BCD" w:rsidRPr="006F4038">
        <w:t xml:space="preserve">Figure </w:t>
      </w:r>
      <w:r w:rsidR="00027BCD">
        <w:rPr>
          <w:noProof/>
        </w:rPr>
        <w:t>3</w:t>
      </w:r>
      <w:r w:rsidR="00B24B92">
        <w:rPr>
          <w:lang w:val="en-CA"/>
        </w:rPr>
        <w:fldChar w:fldCharType="end"/>
      </w:r>
      <w:r w:rsidR="00B24B92">
        <w:rPr>
          <w:lang w:val="en-CA"/>
        </w:rPr>
        <w:t>.</w:t>
      </w:r>
      <w:r w:rsidR="00E02DA4">
        <w:rPr>
          <w:lang w:val="en-CA"/>
        </w:rPr>
        <w:t xml:space="preserve"> The corresponding solution is called here “</w:t>
      </w:r>
      <w:r w:rsidR="00E02DA4" w:rsidRPr="00E02DA4">
        <w:rPr>
          <w:b/>
          <w:lang w:val="en-CA"/>
        </w:rPr>
        <w:t>ETM with CRI</w:t>
      </w:r>
      <w:r w:rsidR="00E02DA4">
        <w:rPr>
          <w:lang w:val="en-CA"/>
        </w:rPr>
        <w:t>”.</w:t>
      </w:r>
    </w:p>
    <w:p w14:paraId="2C39C4F3" w14:textId="3F4578B8" w:rsidR="00D900BB" w:rsidRPr="00D900BB" w:rsidRDefault="00D900BB" w:rsidP="004234F0">
      <w:pPr>
        <w:jc w:val="both"/>
        <w:rPr>
          <w:b/>
          <w:lang w:val="en-CA"/>
        </w:rPr>
      </w:pPr>
      <w:r w:rsidRPr="00D900BB">
        <w:rPr>
          <w:b/>
          <w:lang w:val="en-CA"/>
        </w:rPr>
        <w:t>CRI is applied directly in 4:2:0</w:t>
      </w:r>
    </w:p>
    <w:p w14:paraId="4978E0CB" w14:textId="00CCE825" w:rsidR="009E0188" w:rsidRDefault="009E0188" w:rsidP="004234F0">
      <w:pPr>
        <w:jc w:val="both"/>
        <w:rPr>
          <w:lang w:val="en-CA"/>
        </w:rPr>
      </w:pPr>
      <w:r w:rsidRPr="009E0188">
        <w:rPr>
          <w:lang w:val="en-CA"/>
        </w:rPr>
        <w:t>The syntax of the CRI SEI message includes three parts: a first piece-wise linear function applie</w:t>
      </w:r>
      <w:r w:rsidR="00833E97">
        <w:rPr>
          <w:lang w:val="en-CA"/>
        </w:rPr>
        <w:t>d to each colour component (</w:t>
      </w:r>
      <w:proofErr w:type="spellStart"/>
      <w:r w:rsidR="00833E97">
        <w:rPr>
          <w:lang w:val="en-CA"/>
        </w:rPr>
        <w:t>Pre</w:t>
      </w:r>
      <w:r w:rsidRPr="009E0188">
        <w:rPr>
          <w:lang w:val="en-CA"/>
        </w:rPr>
        <w:t>LUT</w:t>
      </w:r>
      <w:proofErr w:type="spellEnd"/>
      <w:r w:rsidRPr="009E0188">
        <w:rPr>
          <w:lang w:val="en-CA"/>
        </w:rPr>
        <w:t>), followed by a three-by-three matrix applied to the three resulting colour components, followed by a second piece-wise linear function applied to each r</w:t>
      </w:r>
      <w:r w:rsidR="00833E97">
        <w:rPr>
          <w:lang w:val="en-CA"/>
        </w:rPr>
        <w:t>esulting colour component (</w:t>
      </w:r>
      <w:proofErr w:type="spellStart"/>
      <w:r w:rsidR="00833E97">
        <w:rPr>
          <w:lang w:val="en-CA"/>
        </w:rPr>
        <w:t>Post</w:t>
      </w:r>
      <w:r w:rsidRPr="009E0188">
        <w:rPr>
          <w:lang w:val="en-CA"/>
        </w:rPr>
        <w:t>LUT</w:t>
      </w:r>
      <w:proofErr w:type="spellEnd"/>
      <w:r w:rsidRPr="009E0188">
        <w:rPr>
          <w:lang w:val="en-CA"/>
        </w:rPr>
        <w:t xml:space="preserve">). </w:t>
      </w:r>
      <w:r>
        <w:rPr>
          <w:lang w:val="en-CA"/>
        </w:rPr>
        <w:t xml:space="preserve">For DRA, only the three </w:t>
      </w:r>
      <w:proofErr w:type="spellStart"/>
      <w:r w:rsidR="00833E97">
        <w:rPr>
          <w:lang w:val="en-CA"/>
        </w:rPr>
        <w:t>Pre</w:t>
      </w:r>
      <w:r>
        <w:rPr>
          <w:lang w:val="en-CA"/>
        </w:rPr>
        <w:t>LUTs</w:t>
      </w:r>
      <w:proofErr w:type="spellEnd"/>
      <w:r>
        <w:rPr>
          <w:lang w:val="en-CA"/>
        </w:rPr>
        <w:t xml:space="preserve"> are used. The </w:t>
      </w:r>
      <w:r w:rsidRPr="009E0188">
        <w:rPr>
          <w:lang w:val="en-CA"/>
        </w:rPr>
        <w:t xml:space="preserve">three-by-three </w:t>
      </w:r>
      <w:r w:rsidR="00833E97">
        <w:rPr>
          <w:lang w:val="en-CA"/>
        </w:rPr>
        <w:t xml:space="preserve">matrix and the </w:t>
      </w:r>
      <w:proofErr w:type="spellStart"/>
      <w:r w:rsidR="00833E97">
        <w:rPr>
          <w:lang w:val="en-CA"/>
        </w:rPr>
        <w:t>Post</w:t>
      </w:r>
      <w:r>
        <w:rPr>
          <w:lang w:val="en-CA"/>
        </w:rPr>
        <w:t>LUTs</w:t>
      </w:r>
      <w:proofErr w:type="spellEnd"/>
      <w:r>
        <w:rPr>
          <w:lang w:val="en-CA"/>
        </w:rPr>
        <w:t xml:space="preserve"> are not activated. Therefore the conversion process can directly apply to 4:2:0 signal, and no upsampling to 4:4:4 is required.</w:t>
      </w:r>
    </w:p>
    <w:p w14:paraId="47BA20A0" w14:textId="75EAF922" w:rsidR="00D900BB" w:rsidRDefault="00D900BB" w:rsidP="00D900BB">
      <w:pPr>
        <w:jc w:val="both"/>
        <w:rPr>
          <w:b/>
          <w:lang w:val="en-CA"/>
        </w:rPr>
      </w:pPr>
      <w:r>
        <w:rPr>
          <w:b/>
          <w:lang w:val="en-CA"/>
        </w:rPr>
        <w:t>Full and Legal range management</w:t>
      </w:r>
    </w:p>
    <w:p w14:paraId="07E7B8D8" w14:textId="2B905E8E" w:rsidR="00EF5743" w:rsidRDefault="00EF5743" w:rsidP="004234F0">
      <w:pPr>
        <w:jc w:val="both"/>
        <w:rPr>
          <w:lang w:val="en-CA"/>
        </w:rPr>
      </w:pPr>
      <w:r>
        <w:rPr>
          <w:lang w:val="en-CA"/>
        </w:rPr>
        <w:t>Contrary to the ETM inverse reshaper process, t</w:t>
      </w:r>
      <w:r w:rsidR="00D900BB">
        <w:rPr>
          <w:lang w:val="en-CA"/>
        </w:rPr>
        <w:t>he conversion from legal range to full range by the inverse DRA process</w:t>
      </w:r>
      <w:r>
        <w:rPr>
          <w:lang w:val="en-CA"/>
        </w:rPr>
        <w:t xml:space="preserve"> is di</w:t>
      </w:r>
      <w:r w:rsidR="00833E97">
        <w:rPr>
          <w:lang w:val="en-CA"/>
        </w:rPr>
        <w:t xml:space="preserve">rectly addressed by the CRI </w:t>
      </w:r>
      <w:proofErr w:type="spellStart"/>
      <w:r w:rsidR="00833E97">
        <w:rPr>
          <w:lang w:val="en-CA"/>
        </w:rPr>
        <w:t>Pre</w:t>
      </w:r>
      <w:r>
        <w:rPr>
          <w:lang w:val="en-CA"/>
        </w:rPr>
        <w:t>LUTs</w:t>
      </w:r>
      <w:proofErr w:type="spellEnd"/>
      <w:r w:rsidR="009A222B">
        <w:rPr>
          <w:lang w:val="en-CA"/>
        </w:rPr>
        <w:t xml:space="preserve"> that apply in the inverse DRA process</w:t>
      </w:r>
      <w:r>
        <w:rPr>
          <w:lang w:val="en-CA"/>
        </w:rPr>
        <w:t xml:space="preserve">. The inverse DRA process is </w:t>
      </w:r>
      <w:r w:rsidR="009A222B">
        <w:rPr>
          <w:lang w:val="en-CA"/>
        </w:rPr>
        <w:t xml:space="preserve">therefore </w:t>
      </w:r>
      <w:r>
        <w:rPr>
          <w:lang w:val="en-CA"/>
        </w:rPr>
        <w:t>not at all impacted. For 10</w:t>
      </w:r>
      <w:r w:rsidR="0015342F">
        <w:rPr>
          <w:lang w:val="en-CA"/>
        </w:rPr>
        <w:t>-</w:t>
      </w:r>
      <w:r>
        <w:rPr>
          <w:lang w:val="en-CA"/>
        </w:rPr>
        <w:t>b</w:t>
      </w:r>
      <w:r w:rsidR="0015342F">
        <w:rPr>
          <w:lang w:val="en-CA"/>
        </w:rPr>
        <w:t xml:space="preserve">it </w:t>
      </w:r>
      <w:proofErr w:type="spellStart"/>
      <w:r w:rsidR="0015342F">
        <w:rPr>
          <w:lang w:val="en-CA"/>
        </w:rPr>
        <w:t>YCbCr</w:t>
      </w:r>
      <w:proofErr w:type="spellEnd"/>
      <w:r>
        <w:rPr>
          <w:lang w:val="en-CA"/>
        </w:rPr>
        <w:t xml:space="preserve"> signal, the LUTs are generated as follows:</w:t>
      </w:r>
    </w:p>
    <w:p w14:paraId="1E37A612" w14:textId="5C883B96" w:rsidR="0054503B" w:rsidRDefault="0054503B" w:rsidP="0015342F">
      <w:pPr>
        <w:tabs>
          <w:tab w:val="clear" w:pos="720"/>
          <w:tab w:val="clear" w:pos="1080"/>
          <w:tab w:val="clear" w:pos="1440"/>
          <w:tab w:val="left" w:pos="1620"/>
        </w:tabs>
        <w:spacing w:before="240" w:after="120"/>
        <w:ind w:left="360"/>
        <w:jc w:val="both"/>
        <w:rPr>
          <w:lang w:val="en-CA"/>
        </w:rPr>
      </w:pPr>
      <w:r>
        <w:rPr>
          <w:lang w:val="en-CA"/>
        </w:rPr>
        <w:t xml:space="preserve">For luma: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PreLUT</m:t>
            </m:r>
          </m:e>
          <m:sub>
            <m:r>
              <w:rPr>
                <w:rFonts w:ascii="Cambria Math" w:hAnsi="Cambria Math"/>
                <w:lang w:val="en-CA"/>
              </w:rPr>
              <m:t>0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=Clip3(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876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+64+0.5, 0, 1023)</m:t>
        </m:r>
      </m:oMath>
    </w:p>
    <w:p w14:paraId="57EAB0A4" w14:textId="60E91A11" w:rsidR="0054503B" w:rsidRDefault="0054503B" w:rsidP="0015342F">
      <w:pPr>
        <w:tabs>
          <w:tab w:val="clear" w:pos="720"/>
          <w:tab w:val="clear" w:pos="1080"/>
          <w:tab w:val="clear" w:pos="1440"/>
          <w:tab w:val="left" w:pos="1620"/>
        </w:tabs>
        <w:spacing w:before="120" w:after="240"/>
        <w:ind w:left="360"/>
        <w:jc w:val="both"/>
        <w:rPr>
          <w:lang w:val="en-CA"/>
        </w:rPr>
      </w:pPr>
      <w:r>
        <w:rPr>
          <w:lang w:val="en-CA"/>
        </w:rPr>
        <w:t xml:space="preserve">For chroma: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PreLUT</m:t>
            </m:r>
          </m:e>
          <m:sub>
            <m:r>
              <w:rPr>
                <w:rFonts w:ascii="Cambria Math" w:hAnsi="Cambria Math"/>
                <w:lang w:val="en-CA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=Clip3(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896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*(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k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-512)+512+0.5, 0, 1023)</m:t>
        </m:r>
      </m:oMath>
      <w:r>
        <w:rPr>
          <w:lang w:val="en-CA"/>
        </w:rPr>
        <w:t xml:space="preserve">    </w:t>
      </w:r>
      <w:r w:rsidRPr="0054503B">
        <w:rPr>
          <w:i/>
          <w:lang w:val="en-CA"/>
        </w:rPr>
        <w:t>k</w:t>
      </w:r>
      <w:r>
        <w:rPr>
          <w:lang w:val="en-CA"/>
        </w:rPr>
        <w:t>=1 or 2</w:t>
      </w:r>
    </w:p>
    <w:p w14:paraId="4C2E769B" w14:textId="62C3EC82" w:rsidR="0054503B" w:rsidRDefault="0054503B" w:rsidP="0054503B">
      <w:pPr>
        <w:jc w:val="both"/>
        <w:rPr>
          <w:lang w:val="en-CA"/>
        </w:rPr>
      </w:pPr>
      <w:proofErr w:type="gramStart"/>
      <w:r>
        <w:rPr>
          <w:lang w:val="en-CA"/>
        </w:rPr>
        <w:lastRenderedPageBreak/>
        <w:t>where</w:t>
      </w:r>
      <w:proofErr w:type="gramEnd"/>
      <w:r>
        <w:rPr>
          <w:lang w:val="en-C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2</m:t>
                </m:r>
              </m:sub>
            </m:sSub>
          </m:sub>
        </m:sSub>
      </m:oMath>
      <w:r w:rsidRPr="0054503B">
        <w:rPr>
          <w:color w:val="FF0000"/>
          <w:lang w:val="en-CA"/>
        </w:rPr>
        <w:t xml:space="preserve"> </w:t>
      </w:r>
      <w:r w:rsidRPr="0054503B">
        <w:rPr>
          <w:lang w:val="en-CA"/>
        </w:rPr>
        <w:t>are</w:t>
      </w:r>
      <w:r>
        <w:rPr>
          <w:lang w:val="en-CA"/>
        </w:rPr>
        <w:t xml:space="preserve"> the inverse of the </w:t>
      </w:r>
      <w:r w:rsidR="00D41C58">
        <w:rPr>
          <w:lang w:val="en-CA"/>
        </w:rPr>
        <w:t xml:space="preserve">Y, </w:t>
      </w:r>
      <w:proofErr w:type="spellStart"/>
      <w:r w:rsidR="00D41C58">
        <w:rPr>
          <w:lang w:val="en-CA"/>
        </w:rPr>
        <w:t>Cb</w:t>
      </w:r>
      <w:proofErr w:type="spellEnd"/>
      <w:r w:rsidR="00D41C58">
        <w:rPr>
          <w:lang w:val="en-CA"/>
        </w:rPr>
        <w:t xml:space="preserve">, Cr </w:t>
      </w:r>
      <w:r>
        <w:rPr>
          <w:lang w:val="en-CA"/>
        </w:rPr>
        <w:t>DRA LUTs</w:t>
      </w:r>
      <w:r w:rsidR="00D41C58">
        <w:rPr>
          <w:lang w:val="en-CA"/>
        </w:rPr>
        <w:t xml:space="preserve">, respectively, </w:t>
      </w:r>
      <w:r>
        <w:rPr>
          <w:lang w:val="en-CA"/>
        </w:rPr>
        <w:t xml:space="preserve"> generating a full range </w:t>
      </w:r>
      <w:proofErr w:type="spellStart"/>
      <w:r>
        <w:rPr>
          <w:lang w:val="en-CA"/>
        </w:rPr>
        <w:t>YCbCr</w:t>
      </w:r>
      <w:proofErr w:type="spellEnd"/>
      <w:r>
        <w:rPr>
          <w:lang w:val="en-CA"/>
        </w:rPr>
        <w:t xml:space="preserve"> signal</w:t>
      </w:r>
      <w:r w:rsidR="0015342F">
        <w:rPr>
          <w:lang w:val="en-CA"/>
        </w:rPr>
        <w:t xml:space="preserve"> (that is</w:t>
      </w:r>
      <w:r w:rsidR="00842C84">
        <w:rPr>
          <w:lang w:val="en-CA"/>
        </w:rPr>
        <w:t>,</w:t>
      </w:r>
      <w:r w:rsidR="0015342F">
        <w:rPr>
          <w:lang w:val="en-CA"/>
        </w:rPr>
        <w:t xml:space="preserve"> so that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>[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x</m:t>
            </m:r>
          </m:e>
        </m:d>
        <m:r>
          <w:rPr>
            <w:rFonts w:ascii="Cambria Math" w:hAnsi="Cambria Math"/>
            <w:lang w:val="en-CA"/>
          </w:rPr>
          <m:t>]=x ∀ x ∈[0,1023]</m:t>
        </m:r>
      </m:oMath>
      <w:r w:rsidR="0015342F">
        <w:rPr>
          <w:lang w:val="en-CA"/>
        </w:rPr>
        <w:t>]</w:t>
      </w:r>
      <w:r w:rsidR="00842C84">
        <w:rPr>
          <w:lang w:val="en-CA"/>
        </w:rPr>
        <w:t>)</w:t>
      </w:r>
      <w:r>
        <w:rPr>
          <w:lang w:val="en-CA"/>
        </w:rPr>
        <w:t>.</w:t>
      </w:r>
    </w:p>
    <w:p w14:paraId="12C07260" w14:textId="77777777" w:rsidR="00C044C2" w:rsidRPr="0015342F" w:rsidRDefault="00C044C2" w:rsidP="004234F0">
      <w:pPr>
        <w:jc w:val="both"/>
        <w:rPr>
          <w:lang w:val="en-CA"/>
        </w:rPr>
      </w:pPr>
    </w:p>
    <w:p w14:paraId="52FAC68A" w14:textId="61E518B1" w:rsidR="00D32AC7" w:rsidRPr="004153E3" w:rsidRDefault="00EF7B32" w:rsidP="007F6519">
      <w:pPr>
        <w:spacing w:after="120"/>
        <w:jc w:val="center"/>
      </w:pPr>
      <w:r>
        <w:rPr>
          <w:szCs w:val="22"/>
          <w:lang w:val="en-CA"/>
        </w:rPr>
        <w:object w:dxaOrig="11390" w:dyaOrig="1855" w14:anchorId="799F810F">
          <v:shape id="_x0000_i1027" type="#_x0000_t75" style="width:450.15pt;height:74.5pt" o:ole="">
            <v:imagedata r:id="rId23" o:title=""/>
          </v:shape>
          <o:OLEObject Type="Embed" ProgID="Visio.Drawing.11" ShapeID="_x0000_i1027" DrawAspect="Content" ObjectID="_1524947073" r:id="rId24"/>
        </w:object>
      </w:r>
    </w:p>
    <w:p w14:paraId="5598416F" w14:textId="26725611" w:rsidR="009A1A29" w:rsidRDefault="009A1A29" w:rsidP="006F4038">
      <w:pPr>
        <w:pStyle w:val="Caption"/>
      </w:pPr>
      <w:bookmarkStart w:id="2" w:name="_Ref450647474"/>
      <w:r w:rsidRPr="006F4038">
        <w:t xml:space="preserve">Figure </w:t>
      </w:r>
      <w:fldSimple w:instr=" SEQ Figure \* ARABIC ">
        <w:r w:rsidR="00027BCD">
          <w:rPr>
            <w:noProof/>
          </w:rPr>
          <w:t>3</w:t>
        </w:r>
      </w:fldSimple>
      <w:bookmarkEnd w:id="2"/>
      <w:r w:rsidRPr="006F4038">
        <w:t>.</w:t>
      </w:r>
      <w:r w:rsidRPr="009A1A29">
        <w:t xml:space="preserve"> </w:t>
      </w:r>
      <w:r w:rsidR="00E12BDE">
        <w:t>Modified p</w:t>
      </w:r>
      <w:r w:rsidRPr="009A1A29">
        <w:t xml:space="preserve">re-processing </w:t>
      </w:r>
      <w:r w:rsidR="00E12BDE">
        <w:t>synoptic</w:t>
      </w:r>
      <w:r w:rsidR="00175216">
        <w:t xml:space="preserve"> using CRI for DRA</w:t>
      </w:r>
      <w:r w:rsidRPr="009A1A29">
        <w:t>.</w:t>
      </w:r>
    </w:p>
    <w:p w14:paraId="4D1322C1" w14:textId="2ACCE201" w:rsidR="00CF3712" w:rsidRDefault="0021651C" w:rsidP="00175216">
      <w:pPr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8470" w:dyaOrig="1743" w14:anchorId="0147C4DE">
          <v:shape id="_x0000_i1028" type="#_x0000_t75" style="width:335.6pt;height:69.5pt" o:ole="">
            <v:imagedata r:id="rId25" o:title=""/>
          </v:shape>
          <o:OLEObject Type="Embed" ProgID="Visio.Drawing.11" ShapeID="_x0000_i1028" DrawAspect="Content" ObjectID="_1524947074" r:id="rId26"/>
        </w:object>
      </w:r>
    </w:p>
    <w:p w14:paraId="4B75B0CD" w14:textId="2832857A" w:rsidR="00175216" w:rsidRPr="00CF3712" w:rsidRDefault="00175216" w:rsidP="00175216">
      <w:pPr>
        <w:pStyle w:val="Caption"/>
      </w:pPr>
      <w:r w:rsidRPr="006F4038">
        <w:t xml:space="preserve">Figure </w:t>
      </w:r>
      <w:fldSimple w:instr=" SEQ Figure \* ARABIC ">
        <w:r>
          <w:rPr>
            <w:noProof/>
          </w:rPr>
          <w:t>3</w:t>
        </w:r>
      </w:fldSimple>
      <w:r w:rsidRPr="006F4038">
        <w:t>.</w:t>
      </w:r>
      <w:r w:rsidRPr="009A1A29">
        <w:t xml:space="preserve"> </w:t>
      </w:r>
      <w:r>
        <w:t>Modified post</w:t>
      </w:r>
      <w:r w:rsidRPr="009A1A29">
        <w:t xml:space="preserve">-processing </w:t>
      </w:r>
      <w:r>
        <w:t>synoptic using CRI for DRA</w:t>
      </w:r>
      <w:r w:rsidRPr="009A1A29">
        <w:t>.</w:t>
      </w:r>
    </w:p>
    <w:p w14:paraId="72292160" w14:textId="77777777" w:rsidR="009A430C" w:rsidRDefault="009A430C" w:rsidP="009A430C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2FF7B05B" w14:textId="6207E1AD" w:rsidR="00E36B43" w:rsidRDefault="00E36B43" w:rsidP="00E36B43">
      <w:pPr>
        <w:jc w:val="both"/>
        <w:rPr>
          <w:lang w:val="en-CA"/>
        </w:rPr>
      </w:pPr>
      <w:r>
        <w:rPr>
          <w:lang w:val="en-CA"/>
        </w:rPr>
        <w:t>The software package of JCTVC-W0084, delivered in the context of</w:t>
      </w:r>
      <w:r w:rsidR="001A0BC8">
        <w:rPr>
          <w:lang w:val="en-CA"/>
        </w:rPr>
        <w:t xml:space="preserve"> HDR</w:t>
      </w:r>
      <w:r>
        <w:rPr>
          <w:lang w:val="en-CA"/>
        </w:rPr>
        <w:t xml:space="preserve"> CE2 defined in 113</w:t>
      </w:r>
      <w:r w:rsidRPr="00E36B43">
        <w:rPr>
          <w:vertAlign w:val="superscript"/>
          <w:lang w:val="en-CA"/>
        </w:rPr>
        <w:t>th</w:t>
      </w:r>
      <w:r>
        <w:rPr>
          <w:lang w:val="en-CA"/>
        </w:rPr>
        <w:t xml:space="preserve"> MPEG meeting (</w:t>
      </w:r>
      <w:proofErr w:type="spellStart"/>
      <w:r>
        <w:rPr>
          <w:lang w:val="en-CA"/>
        </w:rPr>
        <w:t>cf</w:t>
      </w:r>
      <w:proofErr w:type="spellEnd"/>
      <w:r>
        <w:rPr>
          <w:lang w:val="en-CA"/>
        </w:rPr>
        <w:t xml:space="preserve"> MPEG document </w:t>
      </w:r>
      <w:hyperlink r:id="rId27" w:history="1">
        <w:r>
          <w:rPr>
            <w:rStyle w:val="Hyperlink"/>
          </w:rPr>
          <w:t>m37497</w:t>
        </w:r>
      </w:hyperlink>
      <w:r>
        <w:rPr>
          <w:lang w:val="en-CA"/>
        </w:rPr>
        <w:t xml:space="preserve">), has been used for the experiments. In </w:t>
      </w:r>
      <w:proofErr w:type="spellStart"/>
      <w:r>
        <w:rPr>
          <w:lang w:val="en-CA"/>
        </w:rPr>
        <w:t>HDRTools</w:t>
      </w:r>
      <w:proofErr w:type="spellEnd"/>
      <w:r>
        <w:rPr>
          <w:lang w:val="en-CA"/>
        </w:rPr>
        <w:t>, the way the pre-processing DRA parameters are derived from the picture analysis is not changed. Code to manage the CRI parameters derivation has been added. It produces the CRI metadata embedded in a text file, in the adapted format for the CRI interface of the HM. The</w:t>
      </w:r>
      <w:r w:rsidR="001A0BC8">
        <w:rPr>
          <w:lang w:val="en-CA"/>
        </w:rPr>
        <w:t xml:space="preserve"> writ</w:t>
      </w:r>
      <w:r w:rsidR="00C735B9">
        <w:rPr>
          <w:lang w:val="en-CA"/>
        </w:rPr>
        <w:t>ing</w:t>
      </w:r>
      <w:r w:rsidR="001A0BC8">
        <w:rPr>
          <w:lang w:val="en-CA"/>
        </w:rPr>
        <w:t xml:space="preserve"> and read</w:t>
      </w:r>
      <w:r w:rsidR="00C735B9">
        <w:rPr>
          <w:lang w:val="en-CA"/>
        </w:rPr>
        <w:t>ing code</w:t>
      </w:r>
      <w:r w:rsidR="001A0BC8">
        <w:rPr>
          <w:lang w:val="en-CA"/>
        </w:rPr>
        <w:t xml:space="preserve"> of the reshaping information in the SPS and PPS ha</w:t>
      </w:r>
      <w:r w:rsidR="00C735B9">
        <w:rPr>
          <w:lang w:val="en-CA"/>
        </w:rPr>
        <w:t>s</w:t>
      </w:r>
      <w:r w:rsidR="001A0BC8">
        <w:rPr>
          <w:lang w:val="en-CA"/>
        </w:rPr>
        <w:t xml:space="preserve"> been deactivated. CRI implementation in HM </w:t>
      </w:r>
      <w:r>
        <w:rPr>
          <w:lang w:val="en-CA"/>
        </w:rPr>
        <w:t>has not been modified</w:t>
      </w:r>
      <w:r w:rsidRPr="00E36B43">
        <w:rPr>
          <w:lang w:val="en-CA"/>
        </w:rPr>
        <w:t>.</w:t>
      </w:r>
      <w:r>
        <w:rPr>
          <w:lang w:val="en-CA"/>
        </w:rPr>
        <w:t xml:space="preserve">  </w:t>
      </w:r>
    </w:p>
    <w:p w14:paraId="2EF242DB" w14:textId="2AB1E4C5" w:rsidR="00E02DA4" w:rsidRDefault="009A430C" w:rsidP="00E36B43">
      <w:pPr>
        <w:jc w:val="both"/>
        <w:rPr>
          <w:lang w:val="en-CA"/>
        </w:rPr>
      </w:pPr>
      <w:r>
        <w:rPr>
          <w:lang w:val="en-CA"/>
        </w:rPr>
        <w:t xml:space="preserve">We present in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_Ref450668565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1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,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_Ref450668567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2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 and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_Ref450668571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3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 </w:t>
      </w:r>
      <w:r w:rsidR="00B930B7">
        <w:rPr>
          <w:lang w:val="en-CA"/>
        </w:rPr>
        <w:t xml:space="preserve">partial results with </w:t>
      </w:r>
      <w:r w:rsidR="00350033">
        <w:rPr>
          <w:lang w:val="en-CA"/>
        </w:rPr>
        <w:t>objective performance of the</w:t>
      </w:r>
      <w:r>
        <w:rPr>
          <w:lang w:val="en-CA"/>
        </w:rPr>
        <w:t xml:space="preserve"> ETM</w:t>
      </w:r>
      <w:r w:rsidR="00350033">
        <w:rPr>
          <w:lang w:val="en-CA"/>
        </w:rPr>
        <w:t xml:space="preserve"> with CRI</w:t>
      </w:r>
      <w:r>
        <w:rPr>
          <w:lang w:val="en-CA"/>
        </w:rPr>
        <w:t>, using 9, 17 or 33 PWL pieces for the luma reshaping function modeling</w:t>
      </w:r>
      <w:r w:rsidR="00E02DA4">
        <w:rPr>
          <w:lang w:val="en-CA"/>
        </w:rPr>
        <w:t xml:space="preserve">, </w:t>
      </w:r>
      <w:r w:rsidR="00350033">
        <w:rPr>
          <w:lang w:val="en-CA"/>
        </w:rPr>
        <w:t>relatively to t</w:t>
      </w:r>
      <w:r w:rsidR="00E02DA4">
        <w:rPr>
          <w:lang w:val="en-CA"/>
        </w:rPr>
        <w:t xml:space="preserve">he reference ETM. In addition, in </w:t>
      </w:r>
      <w:r w:rsidR="00E02DA4">
        <w:rPr>
          <w:lang w:val="en-CA"/>
        </w:rPr>
        <w:fldChar w:fldCharType="begin"/>
      </w:r>
      <w:r w:rsidR="00E02DA4">
        <w:rPr>
          <w:lang w:val="en-CA"/>
        </w:rPr>
        <w:instrText xml:space="preserve"> REF _Ref450668690 \h </w:instrText>
      </w:r>
      <w:r w:rsidR="00E36B43">
        <w:rPr>
          <w:lang w:val="en-CA"/>
        </w:rPr>
        <w:instrText xml:space="preserve"> \* MERGEFORMAT </w:instrText>
      </w:r>
      <w:r w:rsidR="00E02DA4">
        <w:rPr>
          <w:lang w:val="en-CA"/>
        </w:rPr>
      </w:r>
      <w:r w:rsidR="00E02DA4">
        <w:rPr>
          <w:lang w:val="en-CA"/>
        </w:rPr>
        <w:fldChar w:fldCharType="separate"/>
      </w:r>
      <w:r w:rsidR="00027BCD">
        <w:t xml:space="preserve">Table </w:t>
      </w:r>
      <w:r w:rsidR="00027BCD">
        <w:rPr>
          <w:noProof/>
        </w:rPr>
        <w:t>4</w:t>
      </w:r>
      <w:r w:rsidR="00E02DA4">
        <w:rPr>
          <w:lang w:val="en-CA"/>
        </w:rPr>
        <w:fldChar w:fldCharType="end"/>
      </w:r>
      <w:r w:rsidR="00E02DA4">
        <w:rPr>
          <w:lang w:val="en-CA"/>
        </w:rPr>
        <w:t xml:space="preserve">, the PSNR between the </w:t>
      </w:r>
      <w:proofErr w:type="spellStart"/>
      <w:r w:rsidR="00E02DA4">
        <w:rPr>
          <w:lang w:val="en-CA"/>
        </w:rPr>
        <w:t>YCbCr</w:t>
      </w:r>
      <w:proofErr w:type="spellEnd"/>
      <w:r w:rsidR="00E02DA4">
        <w:rPr>
          <w:lang w:val="en-CA"/>
        </w:rPr>
        <w:t xml:space="preserve"> reshaped HDR content between the reference ETM and the ETM with CRI are provided. I</w:t>
      </w:r>
      <w:r w:rsidR="00350033">
        <w:rPr>
          <w:lang w:val="en-CA"/>
        </w:rPr>
        <w:t>t</w:t>
      </w:r>
      <w:r w:rsidR="00E02DA4">
        <w:rPr>
          <w:lang w:val="en-CA"/>
        </w:rPr>
        <w:t xml:space="preserve"> is observed that the impact of replacing the PWP 8 </w:t>
      </w:r>
      <w:r w:rsidR="00A01B27">
        <w:rPr>
          <w:lang w:val="en-CA"/>
        </w:rPr>
        <w:t xml:space="preserve">portions </w:t>
      </w:r>
      <w:r w:rsidR="00E02DA4">
        <w:rPr>
          <w:lang w:val="en-CA"/>
        </w:rPr>
        <w:t xml:space="preserve">model by a PWL model with 9, 17 or 33 pieces is limited both </w:t>
      </w:r>
      <w:r w:rsidR="00A01B27">
        <w:rPr>
          <w:lang w:val="en-CA"/>
        </w:rPr>
        <w:t>for</w:t>
      </w:r>
      <w:r w:rsidR="00E02DA4">
        <w:rPr>
          <w:lang w:val="en-CA"/>
        </w:rPr>
        <w:t xml:space="preserve"> the reshaped </w:t>
      </w:r>
      <w:r w:rsidR="00A01B27">
        <w:rPr>
          <w:lang w:val="en-CA"/>
        </w:rPr>
        <w:t>signal</w:t>
      </w:r>
      <w:r w:rsidR="00E02DA4">
        <w:rPr>
          <w:lang w:val="en-CA"/>
        </w:rPr>
        <w:t xml:space="preserve">, and </w:t>
      </w:r>
      <w:r w:rsidR="00A01B27">
        <w:rPr>
          <w:lang w:val="en-CA"/>
        </w:rPr>
        <w:t>for</w:t>
      </w:r>
      <w:r w:rsidR="00E02DA4">
        <w:rPr>
          <w:lang w:val="en-CA"/>
        </w:rPr>
        <w:t xml:space="preserve"> the reconstructed </w:t>
      </w:r>
      <w:r w:rsidR="00A01B27">
        <w:rPr>
          <w:lang w:val="en-CA"/>
        </w:rPr>
        <w:t xml:space="preserve">signal </w:t>
      </w:r>
      <w:r w:rsidR="00E02DA4">
        <w:rPr>
          <w:lang w:val="en-CA"/>
        </w:rPr>
        <w:t>after compression and inverse reshaping.</w:t>
      </w:r>
      <w:r w:rsidR="00EF7B32">
        <w:rPr>
          <w:lang w:val="en-CA"/>
        </w:rPr>
        <w:t xml:space="preserve"> A gain in DE100 is even observed.</w:t>
      </w:r>
      <w:r w:rsidR="00B930B7">
        <w:rPr>
          <w:lang w:val="en-CA"/>
        </w:rPr>
        <w:t xml:space="preserve"> </w:t>
      </w:r>
    </w:p>
    <w:p w14:paraId="40E19F87" w14:textId="4DADCFB8" w:rsidR="00B930B7" w:rsidRDefault="00B930B7" w:rsidP="00E36B43">
      <w:pPr>
        <w:jc w:val="both"/>
        <w:rPr>
          <w:lang w:val="en-CA"/>
        </w:rPr>
      </w:pPr>
      <w:r>
        <w:rPr>
          <w:lang w:val="en-CA"/>
        </w:rPr>
        <w:t>Complete results will be delivered in a next revision.</w:t>
      </w:r>
    </w:p>
    <w:p w14:paraId="7EBB371C" w14:textId="77777777" w:rsidR="00C209A4" w:rsidRDefault="00C209A4" w:rsidP="009A430C">
      <w:pPr>
        <w:rPr>
          <w:lang w:val="en-CA"/>
        </w:rPr>
      </w:pPr>
    </w:p>
    <w:p w14:paraId="581F2C17" w14:textId="77777777" w:rsidR="00C209A4" w:rsidRDefault="00C209A4" w:rsidP="009A430C">
      <w:pPr>
        <w:rPr>
          <w:lang w:val="en-CA"/>
        </w:rPr>
      </w:pPr>
    </w:p>
    <w:p w14:paraId="0218E5EB" w14:textId="77777777" w:rsidR="00494399" w:rsidRDefault="00494399" w:rsidP="009A430C">
      <w:pPr>
        <w:rPr>
          <w:lang w:val="en-CA"/>
        </w:rPr>
      </w:pPr>
    </w:p>
    <w:p w14:paraId="10391508" w14:textId="77777777" w:rsidR="00494399" w:rsidRDefault="00494399" w:rsidP="009A430C">
      <w:pPr>
        <w:rPr>
          <w:lang w:val="en-CA"/>
        </w:rPr>
      </w:pPr>
    </w:p>
    <w:p w14:paraId="78E89146" w14:textId="77777777" w:rsidR="00494399" w:rsidRDefault="00494399" w:rsidP="009A430C">
      <w:pPr>
        <w:rPr>
          <w:lang w:val="en-CA"/>
        </w:rPr>
      </w:pPr>
    </w:p>
    <w:p w14:paraId="0D1A1235" w14:textId="77777777" w:rsidR="00494399" w:rsidRDefault="00494399" w:rsidP="009A430C">
      <w:pPr>
        <w:rPr>
          <w:lang w:val="en-CA"/>
        </w:rPr>
      </w:pPr>
    </w:p>
    <w:p w14:paraId="3C3944C2" w14:textId="77777777" w:rsidR="00494399" w:rsidRDefault="00494399" w:rsidP="009A430C">
      <w:pPr>
        <w:rPr>
          <w:lang w:val="en-CA"/>
        </w:rPr>
      </w:pPr>
    </w:p>
    <w:p w14:paraId="7C0FA795" w14:textId="77777777" w:rsidR="00494399" w:rsidRDefault="00494399" w:rsidP="009A430C">
      <w:pPr>
        <w:rPr>
          <w:lang w:val="en-CA"/>
        </w:rPr>
      </w:pPr>
    </w:p>
    <w:p w14:paraId="7F9CE88D" w14:textId="77777777" w:rsidR="00494399" w:rsidRDefault="00494399" w:rsidP="009A430C">
      <w:pPr>
        <w:rPr>
          <w:lang w:val="en-CA"/>
        </w:rPr>
      </w:pPr>
    </w:p>
    <w:p w14:paraId="419258F1" w14:textId="77777777" w:rsidR="00494399" w:rsidRDefault="00494399" w:rsidP="009A430C">
      <w:pPr>
        <w:rPr>
          <w:lang w:val="en-CA"/>
        </w:rPr>
      </w:pPr>
    </w:p>
    <w:p w14:paraId="266AE8CC" w14:textId="77777777" w:rsidR="00494399" w:rsidRDefault="00494399" w:rsidP="009A430C">
      <w:pPr>
        <w:rPr>
          <w:lang w:val="en-CA"/>
        </w:rPr>
      </w:pPr>
    </w:p>
    <w:p w14:paraId="6E71AC61" w14:textId="77777777" w:rsidR="00494399" w:rsidRDefault="00494399" w:rsidP="009A430C">
      <w:pPr>
        <w:rPr>
          <w:lang w:val="en-CA"/>
        </w:rPr>
      </w:pPr>
    </w:p>
    <w:p w14:paraId="19EEF004" w14:textId="77777777" w:rsidR="00494399" w:rsidRDefault="00494399" w:rsidP="009A430C">
      <w:pPr>
        <w:rPr>
          <w:lang w:val="en-CA"/>
        </w:rPr>
      </w:pPr>
    </w:p>
    <w:p w14:paraId="7E7A76C8" w14:textId="77777777" w:rsidR="00494399" w:rsidRDefault="00494399" w:rsidP="009A430C">
      <w:pPr>
        <w:rPr>
          <w:lang w:val="en-CA"/>
        </w:rPr>
      </w:pPr>
    </w:p>
    <w:p w14:paraId="3B2BD2BD" w14:textId="77777777" w:rsidR="00494399" w:rsidRDefault="00494399" w:rsidP="009A430C">
      <w:pPr>
        <w:rPr>
          <w:lang w:val="en-CA"/>
        </w:rPr>
      </w:pPr>
    </w:p>
    <w:p w14:paraId="36BA4F17" w14:textId="77777777" w:rsidR="00D632D3" w:rsidRDefault="00CE3CA5" w:rsidP="00CE3CA5">
      <w:pPr>
        <w:pStyle w:val="Caption"/>
        <w:spacing w:after="0"/>
        <w:rPr>
          <w:lang w:val="en-CA"/>
        </w:rPr>
      </w:pPr>
      <w:bookmarkStart w:id="3" w:name="_Ref450668565"/>
      <w:r>
        <w:t xml:space="preserve">Table </w:t>
      </w:r>
      <w:fldSimple w:instr=" SEQ Table \* ARABIC ">
        <w:r w:rsidR="00027BCD">
          <w:rPr>
            <w:noProof/>
          </w:rPr>
          <w:t>1</w:t>
        </w:r>
      </w:fldSimple>
      <w:bookmarkEnd w:id="3"/>
      <w:r>
        <w:t>. ETM with CRI 9 points.</w:t>
      </w:r>
    </w:p>
    <w:p w14:paraId="19CF31FC" w14:textId="79DE3B4A" w:rsidR="00C847A4" w:rsidRDefault="00C847A4" w:rsidP="009A430C">
      <w:pPr>
        <w:rPr>
          <w:lang w:val="en-CA"/>
        </w:rPr>
      </w:pPr>
      <w:r w:rsidRPr="00C847A4">
        <w:rPr>
          <w:noProof/>
          <w:lang w:eastAsia="ja-JP"/>
        </w:rPr>
        <w:drawing>
          <wp:inline distT="0" distB="0" distL="0" distR="0" wp14:anchorId="4CF4ADBF" wp14:editId="435056EA">
            <wp:extent cx="5943600" cy="3032776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10152" w14:textId="77777777" w:rsidR="00CE3CA5" w:rsidRDefault="00CE3CA5" w:rsidP="009A430C">
      <w:pPr>
        <w:rPr>
          <w:lang w:val="en-CA"/>
        </w:rPr>
      </w:pPr>
    </w:p>
    <w:p w14:paraId="4A5F13E9" w14:textId="0F82F704" w:rsidR="00E74FC5" w:rsidRDefault="00E74FC5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iCs/>
          <w:sz w:val="18"/>
          <w:szCs w:val="18"/>
        </w:rPr>
      </w:pPr>
      <w:bookmarkStart w:id="4" w:name="_Ref450668567"/>
    </w:p>
    <w:p w14:paraId="6EBC8160" w14:textId="3A6EDE9E" w:rsidR="00CE3CA5" w:rsidRDefault="00CE3CA5" w:rsidP="00CE3CA5">
      <w:pPr>
        <w:pStyle w:val="Caption"/>
        <w:spacing w:after="0"/>
        <w:rPr>
          <w:lang w:val="en-CA"/>
        </w:rPr>
      </w:pPr>
      <w:r>
        <w:t xml:space="preserve">Table </w:t>
      </w:r>
      <w:fldSimple w:instr=" SEQ Table \* ARABIC ">
        <w:r w:rsidR="00027BCD">
          <w:rPr>
            <w:noProof/>
          </w:rPr>
          <w:t>2</w:t>
        </w:r>
      </w:fldSimple>
      <w:bookmarkEnd w:id="4"/>
      <w:r>
        <w:t>. ETM with CRI 17 points.</w:t>
      </w:r>
    </w:p>
    <w:p w14:paraId="5EAB8B30" w14:textId="20351E49" w:rsidR="00CE3CA5" w:rsidRDefault="00C847A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 w:rsidRPr="00C847A4">
        <w:rPr>
          <w:noProof/>
          <w:lang w:eastAsia="ja-JP"/>
        </w:rPr>
        <w:drawing>
          <wp:inline distT="0" distB="0" distL="0" distR="0" wp14:anchorId="697BBBFD" wp14:editId="0E0087AB">
            <wp:extent cx="5943600" cy="3032776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A766" w14:textId="77777777" w:rsidR="000D1E08" w:rsidRDefault="000D1E08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4062EA04" w14:textId="77777777" w:rsidR="00C209A4" w:rsidRDefault="00C209A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2E4B0ED3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10847B3D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45788AAF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3C6D25E7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4253EFF3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29291FBC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29B33CB3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5C2C6ADA" w14:textId="77777777" w:rsidR="00494399" w:rsidRDefault="0049439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</w:p>
    <w:p w14:paraId="7607A8C5" w14:textId="77777777" w:rsidR="00CE3CA5" w:rsidRDefault="00CE3CA5" w:rsidP="00CE3CA5">
      <w:pPr>
        <w:pStyle w:val="Caption"/>
        <w:spacing w:after="0"/>
        <w:rPr>
          <w:lang w:val="en-CA"/>
        </w:rPr>
      </w:pPr>
      <w:bookmarkStart w:id="5" w:name="_Ref450668571"/>
      <w:r>
        <w:t xml:space="preserve">Table </w:t>
      </w:r>
      <w:fldSimple w:instr=" SEQ Table \* ARABIC ">
        <w:r w:rsidR="00027BCD">
          <w:rPr>
            <w:noProof/>
          </w:rPr>
          <w:t>3</w:t>
        </w:r>
      </w:fldSimple>
      <w:bookmarkEnd w:id="5"/>
      <w:r>
        <w:t>. ETM with CRI 33 points.</w:t>
      </w:r>
    </w:p>
    <w:p w14:paraId="1EE282D5" w14:textId="7D1AF91C" w:rsidR="00D632D3" w:rsidRPr="009A430C" w:rsidRDefault="007F5450" w:rsidP="009A430C">
      <w:pPr>
        <w:rPr>
          <w:lang w:val="en-CA"/>
        </w:rPr>
      </w:pPr>
      <w:r w:rsidRPr="007F5450">
        <w:rPr>
          <w:noProof/>
          <w:lang w:eastAsia="ja-JP"/>
        </w:rPr>
        <w:drawing>
          <wp:inline distT="0" distB="0" distL="0" distR="0" wp14:anchorId="5B7C3523" wp14:editId="1510D3DA">
            <wp:extent cx="5943600" cy="303277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1E331" w14:textId="77777777" w:rsidR="00245134" w:rsidRDefault="00245134" w:rsidP="006F4038">
      <w:pPr>
        <w:rPr>
          <w:szCs w:val="22"/>
          <w:lang w:val="en-CA"/>
        </w:rPr>
      </w:pPr>
    </w:p>
    <w:p w14:paraId="57804BB9" w14:textId="4886FBF0" w:rsidR="00E74FC5" w:rsidRDefault="00E74FC5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iCs/>
          <w:sz w:val="18"/>
          <w:szCs w:val="18"/>
        </w:rPr>
      </w:pPr>
      <w:bookmarkStart w:id="6" w:name="_Ref450668690"/>
    </w:p>
    <w:p w14:paraId="1335C963" w14:textId="3C8BBA8B" w:rsidR="00E02DA4" w:rsidRDefault="00E02DA4" w:rsidP="00E02DA4">
      <w:pPr>
        <w:pStyle w:val="Caption"/>
        <w:spacing w:after="0"/>
      </w:pPr>
      <w:r>
        <w:t xml:space="preserve">Table </w:t>
      </w:r>
      <w:fldSimple w:instr=" SEQ Table \* ARABIC ">
        <w:r w:rsidR="00027BCD">
          <w:rPr>
            <w:noProof/>
          </w:rPr>
          <w:t>4</w:t>
        </w:r>
      </w:fldSimple>
      <w:bookmarkEnd w:id="6"/>
      <w:r>
        <w:t>. PSNR between reshaped versions from ETM without CRI, versus ETM with CRI.</w:t>
      </w:r>
    </w:p>
    <w:p w14:paraId="149EF2F6" w14:textId="1D512DDC" w:rsidR="00E02DA4" w:rsidRDefault="00B930B7" w:rsidP="005302ED">
      <w:pPr>
        <w:jc w:val="center"/>
        <w:rPr>
          <w:i/>
          <w:szCs w:val="22"/>
          <w:lang w:val="en-CA"/>
        </w:rPr>
      </w:pPr>
      <w:r w:rsidRPr="00B930B7">
        <w:drawing>
          <wp:inline distT="0" distB="0" distL="0" distR="0" wp14:anchorId="4F3A2C3E" wp14:editId="250BA937">
            <wp:extent cx="5470144" cy="263969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0" r="4077" b="6934"/>
                    <a:stretch/>
                  </pic:blipFill>
                  <pic:spPr bwMode="auto">
                    <a:xfrm>
                      <a:off x="0" y="0"/>
                      <a:ext cx="5470652" cy="263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8C3220" w14:textId="77777777" w:rsidR="00D90BC4" w:rsidRPr="00C72233" w:rsidRDefault="00D90BC4" w:rsidP="00C72233">
      <w:pPr>
        <w:jc w:val="both"/>
        <w:rPr>
          <w:szCs w:val="22"/>
          <w:lang w:val="en-CA"/>
        </w:rPr>
      </w:pPr>
    </w:p>
    <w:p w14:paraId="30DB8AF4" w14:textId="77777777" w:rsidR="00115972" w:rsidRPr="005B217D" w:rsidRDefault="00BA62C9" w:rsidP="00115972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14:paraId="716E8655" w14:textId="13DB558D" w:rsidR="00245134" w:rsidRDefault="00BA62C9" w:rsidP="004234F0">
      <w:pPr>
        <w:jc w:val="both"/>
        <w:rPr>
          <w:lang w:val="en-CA"/>
        </w:rPr>
      </w:pPr>
      <w:r>
        <w:rPr>
          <w:lang w:val="en-CA"/>
        </w:rPr>
        <w:t xml:space="preserve">The results </w:t>
      </w:r>
      <w:r w:rsidR="00A01B27">
        <w:rPr>
          <w:lang w:val="en-CA"/>
        </w:rPr>
        <w:t xml:space="preserve">presented in this document </w:t>
      </w:r>
      <w:r>
        <w:rPr>
          <w:lang w:val="en-CA"/>
        </w:rPr>
        <w:t>confirm that the CRI</w:t>
      </w:r>
      <w:r w:rsidR="00A01B27" w:rsidRPr="00A01B27">
        <w:rPr>
          <w:lang w:val="en-CA"/>
        </w:rPr>
        <w:t xml:space="preserve"> </w:t>
      </w:r>
      <w:r w:rsidR="00A01B27">
        <w:rPr>
          <w:lang w:val="en-CA"/>
        </w:rPr>
        <w:t>SEI message</w:t>
      </w:r>
      <w:r>
        <w:rPr>
          <w:lang w:val="en-CA"/>
        </w:rPr>
        <w:t xml:space="preserve"> is able to reproduce the behaviour of the ETM. </w:t>
      </w:r>
      <w:r w:rsidR="00A01B27">
        <w:rPr>
          <w:lang w:val="en-CA"/>
        </w:rPr>
        <w:t>CRI</w:t>
      </w:r>
      <w:r w:rsidR="00A01B27" w:rsidRPr="00A01B27">
        <w:rPr>
          <w:lang w:val="en-CA"/>
        </w:rPr>
        <w:t xml:space="preserve"> </w:t>
      </w:r>
      <w:r>
        <w:rPr>
          <w:lang w:val="en-CA"/>
        </w:rPr>
        <w:t xml:space="preserve">can be efficiently used as a reshaper metadata container, in view of </w:t>
      </w:r>
      <w:r w:rsidR="00A01B27">
        <w:rPr>
          <w:lang w:val="en-CA"/>
        </w:rPr>
        <w:t xml:space="preserve">improving </w:t>
      </w:r>
      <w:r>
        <w:rPr>
          <w:lang w:val="en-CA"/>
        </w:rPr>
        <w:t xml:space="preserve">compression efficiency. It is </w:t>
      </w:r>
      <w:r w:rsidR="00A01B27">
        <w:rPr>
          <w:lang w:val="en-CA"/>
        </w:rPr>
        <w:t xml:space="preserve">proposed </w:t>
      </w:r>
      <w:r>
        <w:rPr>
          <w:lang w:val="en-CA"/>
        </w:rPr>
        <w:t xml:space="preserve">that a description of </w:t>
      </w:r>
      <w:bookmarkStart w:id="7" w:name="_GoBack"/>
      <w:bookmarkEnd w:id="7"/>
      <w:r w:rsidR="00097C32">
        <w:rPr>
          <w:lang w:val="en-CA"/>
        </w:rPr>
        <w:t>CRI</w:t>
      </w:r>
      <w:r>
        <w:rPr>
          <w:lang w:val="en-CA"/>
        </w:rPr>
        <w:t xml:space="preserve"> SEI </w:t>
      </w:r>
      <w:r w:rsidR="00E74FC5">
        <w:rPr>
          <w:lang w:val="en-CA"/>
        </w:rPr>
        <w:t xml:space="preserve">usage </w:t>
      </w:r>
      <w:r w:rsidR="00097C32">
        <w:rPr>
          <w:lang w:val="en-CA"/>
        </w:rPr>
        <w:t>for DRA</w:t>
      </w:r>
      <w:r>
        <w:rPr>
          <w:lang w:val="en-CA"/>
        </w:rPr>
        <w:t xml:space="preserve"> is added in Annex A of the document “</w:t>
      </w:r>
      <w:r w:rsidRPr="00BA62C9">
        <w:rPr>
          <w:lang w:val="en-CA"/>
        </w:rPr>
        <w:t>Conversion and Coding Practices for HDR/WCG Video</w:t>
      </w:r>
      <w:r>
        <w:rPr>
          <w:lang w:val="en-CA"/>
        </w:rPr>
        <w:t>”.</w:t>
      </w:r>
    </w:p>
    <w:p w14:paraId="2DB86555" w14:textId="77777777" w:rsidR="00C209A4" w:rsidRDefault="00C209A4" w:rsidP="004234F0">
      <w:pPr>
        <w:jc w:val="both"/>
        <w:rPr>
          <w:lang w:val="en-CA"/>
        </w:rPr>
      </w:pPr>
    </w:p>
    <w:p w14:paraId="382466F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14:paraId="6B757FDB" w14:textId="185C5BBA" w:rsidR="00D609AA" w:rsidRDefault="00BD1BE2" w:rsidP="00D609AA">
      <w:pPr>
        <w:jc w:val="both"/>
        <w:rPr>
          <w:b/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3CB2BE84" w14:textId="77777777" w:rsidR="000D40EE" w:rsidRPr="00D609AA" w:rsidRDefault="000D40EE" w:rsidP="00D609AA">
      <w:pPr>
        <w:jc w:val="both"/>
        <w:rPr>
          <w:szCs w:val="22"/>
          <w:lang w:val="en-CA"/>
        </w:rPr>
      </w:pPr>
    </w:p>
    <w:p w14:paraId="20A8061E" w14:textId="7ADE1C2B" w:rsidR="00305177" w:rsidRDefault="00305177" w:rsidP="004E26DA">
      <w:pPr>
        <w:jc w:val="both"/>
        <w:rPr>
          <w:lang w:val="en-CA" w:eastAsia="zh-CN"/>
        </w:rPr>
      </w:pPr>
    </w:p>
    <w:sectPr w:rsidR="00305177" w:rsidSect="00A01439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C97BA" w14:textId="77777777" w:rsidR="005F33DF" w:rsidRDefault="005F33DF">
      <w:r>
        <w:separator/>
      </w:r>
    </w:p>
  </w:endnote>
  <w:endnote w:type="continuationSeparator" w:id="0">
    <w:p w14:paraId="1918CD38" w14:textId="77777777" w:rsidR="005F33DF" w:rsidRDefault="005F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3135" w14:textId="77777777" w:rsidR="002851AC" w:rsidRDefault="002851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3376" w14:textId="77777777" w:rsidR="002851AC" w:rsidRDefault="002851A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930B7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73F6E">
      <w:rPr>
        <w:rStyle w:val="PageNumber"/>
        <w:noProof/>
      </w:rPr>
      <w:t>2016-05-16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D4D76" w14:textId="77777777" w:rsidR="002851AC" w:rsidRDefault="002851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3398E" w14:textId="77777777" w:rsidR="005F33DF" w:rsidRDefault="005F33DF">
      <w:r>
        <w:separator/>
      </w:r>
    </w:p>
  </w:footnote>
  <w:footnote w:type="continuationSeparator" w:id="0">
    <w:p w14:paraId="45262155" w14:textId="77777777" w:rsidR="005F33DF" w:rsidRDefault="005F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4D321" w14:textId="77777777" w:rsidR="002851AC" w:rsidRDefault="002851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A3055" w14:textId="77777777" w:rsidR="002851AC" w:rsidRDefault="002851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9961" w14:textId="77777777" w:rsidR="002851AC" w:rsidRDefault="002851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 w15:restartNumberingAfterBreak="0">
    <w:nsid w:val="6E4C1C3B"/>
    <w:multiLevelType w:val="multilevel"/>
    <w:tmpl w:val="C6ECE012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" w:hAnsi="Times New Roman" w:cs="Times New Roman" w:hint="default"/>
        <w:vanish/>
        <w:webHidden w:val="0"/>
        <w:color w:val="FFFFFF"/>
        <w:specVanish w:val="0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27BCD"/>
    <w:rsid w:val="000308A3"/>
    <w:rsid w:val="000458BC"/>
    <w:rsid w:val="00045C41"/>
    <w:rsid w:val="00046C03"/>
    <w:rsid w:val="0005566D"/>
    <w:rsid w:val="00055C95"/>
    <w:rsid w:val="00065039"/>
    <w:rsid w:val="0007614F"/>
    <w:rsid w:val="00097C32"/>
    <w:rsid w:val="000A4E9F"/>
    <w:rsid w:val="000B0C0F"/>
    <w:rsid w:val="000B1C6B"/>
    <w:rsid w:val="000B4FF9"/>
    <w:rsid w:val="000C09AC"/>
    <w:rsid w:val="000C1D58"/>
    <w:rsid w:val="000D1E08"/>
    <w:rsid w:val="000D40EE"/>
    <w:rsid w:val="000E00F3"/>
    <w:rsid w:val="000E3528"/>
    <w:rsid w:val="000F158C"/>
    <w:rsid w:val="00102F3D"/>
    <w:rsid w:val="00103949"/>
    <w:rsid w:val="00115972"/>
    <w:rsid w:val="00124E38"/>
    <w:rsid w:val="0012580B"/>
    <w:rsid w:val="001260A3"/>
    <w:rsid w:val="00131F90"/>
    <w:rsid w:val="0013526E"/>
    <w:rsid w:val="00146152"/>
    <w:rsid w:val="0015342F"/>
    <w:rsid w:val="00171371"/>
    <w:rsid w:val="00175216"/>
    <w:rsid w:val="00175A24"/>
    <w:rsid w:val="00187E58"/>
    <w:rsid w:val="001A0BC8"/>
    <w:rsid w:val="001A297E"/>
    <w:rsid w:val="001A368E"/>
    <w:rsid w:val="001A7329"/>
    <w:rsid w:val="001A792F"/>
    <w:rsid w:val="001B4E28"/>
    <w:rsid w:val="001C3525"/>
    <w:rsid w:val="001C3AFB"/>
    <w:rsid w:val="001D1BD2"/>
    <w:rsid w:val="001E02BE"/>
    <w:rsid w:val="001E3B37"/>
    <w:rsid w:val="001F2594"/>
    <w:rsid w:val="002055A6"/>
    <w:rsid w:val="00206460"/>
    <w:rsid w:val="002069B4"/>
    <w:rsid w:val="00215DFC"/>
    <w:rsid w:val="0021651C"/>
    <w:rsid w:val="002212DF"/>
    <w:rsid w:val="00222CD4"/>
    <w:rsid w:val="00225016"/>
    <w:rsid w:val="002264A6"/>
    <w:rsid w:val="00227BA7"/>
    <w:rsid w:val="0023011C"/>
    <w:rsid w:val="00234CCD"/>
    <w:rsid w:val="002375C1"/>
    <w:rsid w:val="00245134"/>
    <w:rsid w:val="002540D1"/>
    <w:rsid w:val="00263398"/>
    <w:rsid w:val="00266F06"/>
    <w:rsid w:val="00275BCF"/>
    <w:rsid w:val="00277754"/>
    <w:rsid w:val="002851AC"/>
    <w:rsid w:val="00291E36"/>
    <w:rsid w:val="00292257"/>
    <w:rsid w:val="002935CD"/>
    <w:rsid w:val="002A54E0"/>
    <w:rsid w:val="002B1595"/>
    <w:rsid w:val="002B191D"/>
    <w:rsid w:val="002B5CEE"/>
    <w:rsid w:val="002C0B81"/>
    <w:rsid w:val="002D0AF6"/>
    <w:rsid w:val="002E3337"/>
    <w:rsid w:val="002F164D"/>
    <w:rsid w:val="00305177"/>
    <w:rsid w:val="00306206"/>
    <w:rsid w:val="00317D85"/>
    <w:rsid w:val="00327C56"/>
    <w:rsid w:val="003315A1"/>
    <w:rsid w:val="003373EC"/>
    <w:rsid w:val="00342FF4"/>
    <w:rsid w:val="00346148"/>
    <w:rsid w:val="00350033"/>
    <w:rsid w:val="003669EA"/>
    <w:rsid w:val="003677E5"/>
    <w:rsid w:val="003706CC"/>
    <w:rsid w:val="00377710"/>
    <w:rsid w:val="00387C36"/>
    <w:rsid w:val="003A2D8E"/>
    <w:rsid w:val="003A7CE6"/>
    <w:rsid w:val="003B46D5"/>
    <w:rsid w:val="003B67A3"/>
    <w:rsid w:val="003C20E4"/>
    <w:rsid w:val="003D6342"/>
    <w:rsid w:val="003E01BC"/>
    <w:rsid w:val="003E2E52"/>
    <w:rsid w:val="003E6F90"/>
    <w:rsid w:val="003F5D0F"/>
    <w:rsid w:val="0041041A"/>
    <w:rsid w:val="0041291C"/>
    <w:rsid w:val="00414101"/>
    <w:rsid w:val="004153E3"/>
    <w:rsid w:val="004234F0"/>
    <w:rsid w:val="00433DDB"/>
    <w:rsid w:val="00437619"/>
    <w:rsid w:val="00445385"/>
    <w:rsid w:val="0046021F"/>
    <w:rsid w:val="00465A1E"/>
    <w:rsid w:val="00494399"/>
    <w:rsid w:val="00495A50"/>
    <w:rsid w:val="00496F41"/>
    <w:rsid w:val="004A1969"/>
    <w:rsid w:val="004A2A63"/>
    <w:rsid w:val="004B210C"/>
    <w:rsid w:val="004B7792"/>
    <w:rsid w:val="004D405F"/>
    <w:rsid w:val="004E26DA"/>
    <w:rsid w:val="004E4F4F"/>
    <w:rsid w:val="004E6789"/>
    <w:rsid w:val="004F61E3"/>
    <w:rsid w:val="00502E10"/>
    <w:rsid w:val="00504569"/>
    <w:rsid w:val="0051015C"/>
    <w:rsid w:val="00516CF1"/>
    <w:rsid w:val="005302ED"/>
    <w:rsid w:val="00531AE9"/>
    <w:rsid w:val="0054182B"/>
    <w:rsid w:val="0054503B"/>
    <w:rsid w:val="00550A66"/>
    <w:rsid w:val="00567EC7"/>
    <w:rsid w:val="00570013"/>
    <w:rsid w:val="0057427A"/>
    <w:rsid w:val="005801A2"/>
    <w:rsid w:val="005952A5"/>
    <w:rsid w:val="005A33A1"/>
    <w:rsid w:val="005B217D"/>
    <w:rsid w:val="005C385F"/>
    <w:rsid w:val="005E1AC6"/>
    <w:rsid w:val="005F33DF"/>
    <w:rsid w:val="005F6F1B"/>
    <w:rsid w:val="00624B33"/>
    <w:rsid w:val="0063041A"/>
    <w:rsid w:val="00630AA2"/>
    <w:rsid w:val="00646707"/>
    <w:rsid w:val="00657F7E"/>
    <w:rsid w:val="00662E58"/>
    <w:rsid w:val="006640B3"/>
    <w:rsid w:val="00664DCF"/>
    <w:rsid w:val="0069319A"/>
    <w:rsid w:val="006A52B7"/>
    <w:rsid w:val="006C5D39"/>
    <w:rsid w:val="006D6D9B"/>
    <w:rsid w:val="006E2810"/>
    <w:rsid w:val="006E5417"/>
    <w:rsid w:val="006F4038"/>
    <w:rsid w:val="007023DE"/>
    <w:rsid w:val="00707E62"/>
    <w:rsid w:val="00712633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D1181"/>
    <w:rsid w:val="007E01A3"/>
    <w:rsid w:val="007E3A19"/>
    <w:rsid w:val="007F1F8B"/>
    <w:rsid w:val="007F5450"/>
    <w:rsid w:val="007F6519"/>
    <w:rsid w:val="007F67A1"/>
    <w:rsid w:val="00811C05"/>
    <w:rsid w:val="008206C8"/>
    <w:rsid w:val="0083144E"/>
    <w:rsid w:val="00833E97"/>
    <w:rsid w:val="00837ED3"/>
    <w:rsid w:val="00842C84"/>
    <w:rsid w:val="0086387C"/>
    <w:rsid w:val="00874A6C"/>
    <w:rsid w:val="00876C65"/>
    <w:rsid w:val="008A4B4C"/>
    <w:rsid w:val="008C239F"/>
    <w:rsid w:val="008D19E4"/>
    <w:rsid w:val="008E480C"/>
    <w:rsid w:val="00907757"/>
    <w:rsid w:val="009212B0"/>
    <w:rsid w:val="00921FA1"/>
    <w:rsid w:val="009234A5"/>
    <w:rsid w:val="00933453"/>
    <w:rsid w:val="009336F7"/>
    <w:rsid w:val="0093636C"/>
    <w:rsid w:val="009374A7"/>
    <w:rsid w:val="009507CD"/>
    <w:rsid w:val="00955F6D"/>
    <w:rsid w:val="0098551D"/>
    <w:rsid w:val="0099518F"/>
    <w:rsid w:val="009A1A29"/>
    <w:rsid w:val="009A222B"/>
    <w:rsid w:val="009A430C"/>
    <w:rsid w:val="009A523D"/>
    <w:rsid w:val="009B02A1"/>
    <w:rsid w:val="009B0E39"/>
    <w:rsid w:val="009E0188"/>
    <w:rsid w:val="009F496B"/>
    <w:rsid w:val="00A01439"/>
    <w:rsid w:val="00A01B27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A6248"/>
    <w:rsid w:val="00AA6E84"/>
    <w:rsid w:val="00AB3831"/>
    <w:rsid w:val="00AC10BA"/>
    <w:rsid w:val="00AD05A8"/>
    <w:rsid w:val="00AE341B"/>
    <w:rsid w:val="00B07CA7"/>
    <w:rsid w:val="00B1279A"/>
    <w:rsid w:val="00B22890"/>
    <w:rsid w:val="00B24B92"/>
    <w:rsid w:val="00B4194A"/>
    <w:rsid w:val="00B5222E"/>
    <w:rsid w:val="00B53179"/>
    <w:rsid w:val="00B600CD"/>
    <w:rsid w:val="00B61C96"/>
    <w:rsid w:val="00B73A2A"/>
    <w:rsid w:val="00B742BC"/>
    <w:rsid w:val="00B832CA"/>
    <w:rsid w:val="00B930B7"/>
    <w:rsid w:val="00B94B06"/>
    <w:rsid w:val="00B94C28"/>
    <w:rsid w:val="00BA62C9"/>
    <w:rsid w:val="00BC10BA"/>
    <w:rsid w:val="00BC5AFD"/>
    <w:rsid w:val="00BD0264"/>
    <w:rsid w:val="00BD1BE2"/>
    <w:rsid w:val="00BD5566"/>
    <w:rsid w:val="00BE5423"/>
    <w:rsid w:val="00BE5ECB"/>
    <w:rsid w:val="00BF51D6"/>
    <w:rsid w:val="00C044C2"/>
    <w:rsid w:val="00C04F43"/>
    <w:rsid w:val="00C0609D"/>
    <w:rsid w:val="00C115AB"/>
    <w:rsid w:val="00C209A4"/>
    <w:rsid w:val="00C26CCB"/>
    <w:rsid w:val="00C30249"/>
    <w:rsid w:val="00C3723B"/>
    <w:rsid w:val="00C42466"/>
    <w:rsid w:val="00C5321A"/>
    <w:rsid w:val="00C606C9"/>
    <w:rsid w:val="00C72233"/>
    <w:rsid w:val="00C735B9"/>
    <w:rsid w:val="00C77BE6"/>
    <w:rsid w:val="00C80288"/>
    <w:rsid w:val="00C84003"/>
    <w:rsid w:val="00C847A4"/>
    <w:rsid w:val="00C90650"/>
    <w:rsid w:val="00C97D78"/>
    <w:rsid w:val="00CB4478"/>
    <w:rsid w:val="00CB7CD5"/>
    <w:rsid w:val="00CC2AAE"/>
    <w:rsid w:val="00CC5A42"/>
    <w:rsid w:val="00CD0EAB"/>
    <w:rsid w:val="00CE3CA5"/>
    <w:rsid w:val="00CE5E02"/>
    <w:rsid w:val="00CF34DB"/>
    <w:rsid w:val="00CF3712"/>
    <w:rsid w:val="00CF558F"/>
    <w:rsid w:val="00D010C0"/>
    <w:rsid w:val="00D073E2"/>
    <w:rsid w:val="00D32AC7"/>
    <w:rsid w:val="00D41C58"/>
    <w:rsid w:val="00D446EC"/>
    <w:rsid w:val="00D51BF0"/>
    <w:rsid w:val="00D55942"/>
    <w:rsid w:val="00D609AA"/>
    <w:rsid w:val="00D632D3"/>
    <w:rsid w:val="00D70864"/>
    <w:rsid w:val="00D73F6E"/>
    <w:rsid w:val="00D807BF"/>
    <w:rsid w:val="00D82FCC"/>
    <w:rsid w:val="00D85060"/>
    <w:rsid w:val="00D900BB"/>
    <w:rsid w:val="00D90BC4"/>
    <w:rsid w:val="00DA17FC"/>
    <w:rsid w:val="00DA7887"/>
    <w:rsid w:val="00DB2C26"/>
    <w:rsid w:val="00DC20A7"/>
    <w:rsid w:val="00DD0051"/>
    <w:rsid w:val="00DD02F4"/>
    <w:rsid w:val="00DE6B43"/>
    <w:rsid w:val="00E02DA4"/>
    <w:rsid w:val="00E0526C"/>
    <w:rsid w:val="00E11923"/>
    <w:rsid w:val="00E12BDE"/>
    <w:rsid w:val="00E262D4"/>
    <w:rsid w:val="00E36250"/>
    <w:rsid w:val="00E36B43"/>
    <w:rsid w:val="00E51A0C"/>
    <w:rsid w:val="00E54511"/>
    <w:rsid w:val="00E61DAC"/>
    <w:rsid w:val="00E65AA1"/>
    <w:rsid w:val="00E72B80"/>
    <w:rsid w:val="00E74FC5"/>
    <w:rsid w:val="00E75FE3"/>
    <w:rsid w:val="00E86C4C"/>
    <w:rsid w:val="00E907A3"/>
    <w:rsid w:val="00EA116B"/>
    <w:rsid w:val="00EA5AE0"/>
    <w:rsid w:val="00EA5FDA"/>
    <w:rsid w:val="00EB7AB1"/>
    <w:rsid w:val="00EE6E87"/>
    <w:rsid w:val="00EE7CD8"/>
    <w:rsid w:val="00EF48CC"/>
    <w:rsid w:val="00EF5743"/>
    <w:rsid w:val="00EF7B32"/>
    <w:rsid w:val="00F00801"/>
    <w:rsid w:val="00F068FE"/>
    <w:rsid w:val="00F5196C"/>
    <w:rsid w:val="00F576F1"/>
    <w:rsid w:val="00F62217"/>
    <w:rsid w:val="00F62BDA"/>
    <w:rsid w:val="00F65A72"/>
    <w:rsid w:val="00F73032"/>
    <w:rsid w:val="00F83505"/>
    <w:rsid w:val="00F848FC"/>
    <w:rsid w:val="00F9282A"/>
    <w:rsid w:val="00F96BAD"/>
    <w:rsid w:val="00FA139D"/>
    <w:rsid w:val="00FB0E84"/>
    <w:rsid w:val="00FD01C2"/>
    <w:rsid w:val="00FD3B0C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9DD33"/>
  <w15:chartTrackingRefBased/>
  <w15:docId w15:val="{04854604-96DC-426D-8379-9C9E9131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Annex2Char">
    <w:name w:val="Annex 2 Char"/>
    <w:link w:val="Annex2"/>
    <w:uiPriority w:val="99"/>
    <w:locked/>
    <w:rsid w:val="00F5196C"/>
    <w:rPr>
      <w:b/>
      <w:bCs/>
      <w:sz w:val="22"/>
      <w:szCs w:val="22"/>
      <w:lang w:val="en-GB"/>
    </w:rPr>
  </w:style>
  <w:style w:type="paragraph" w:customStyle="1" w:styleId="Annex2">
    <w:name w:val="Annex 2"/>
    <w:basedOn w:val="Normal"/>
    <w:next w:val="Normal"/>
    <w:link w:val="Annex2Char"/>
    <w:uiPriority w:val="99"/>
    <w:qFormat/>
    <w:rsid w:val="00F5196C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  <w:tab w:val="left" w:pos="4853"/>
        <w:tab w:val="right" w:pos="9691"/>
      </w:tabs>
      <w:spacing w:before="313"/>
      <w:ind w:left="1440" w:hanging="360"/>
      <w:jc w:val="both"/>
      <w:textAlignment w:val="auto"/>
      <w:outlineLvl w:val="1"/>
    </w:pPr>
    <w:rPr>
      <w:b/>
      <w:bCs/>
      <w:szCs w:val="22"/>
      <w:lang w:val="en-GB" w:eastAsia="ja-JP"/>
    </w:rPr>
  </w:style>
  <w:style w:type="paragraph" w:customStyle="1" w:styleId="Text">
    <w:name w:val="Text"/>
    <w:basedOn w:val="Normal"/>
    <w:rsid w:val="0010394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52" w:lineRule="auto"/>
      <w:ind w:firstLine="202"/>
      <w:jc w:val="both"/>
      <w:textAlignment w:val="auto"/>
    </w:pPr>
    <w:rPr>
      <w:sz w:val="20"/>
    </w:rPr>
  </w:style>
  <w:style w:type="paragraph" w:styleId="Caption">
    <w:name w:val="caption"/>
    <w:basedOn w:val="Normal"/>
    <w:next w:val="Normal"/>
    <w:unhideWhenUsed/>
    <w:qFormat/>
    <w:rsid w:val="006F4038"/>
    <w:pPr>
      <w:spacing w:before="0" w:after="200"/>
      <w:jc w:val="center"/>
    </w:pPr>
    <w:rPr>
      <w:b/>
      <w:iCs/>
      <w:sz w:val="18"/>
      <w:szCs w:val="18"/>
    </w:rPr>
  </w:style>
  <w:style w:type="table" w:styleId="TableGrid">
    <w:name w:val="Table Grid"/>
    <w:basedOn w:val="TableNormal"/>
    <w:rsid w:val="00C0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500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03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5003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50033"/>
    <w:rPr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E2E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t-sudparis.eu/jct/doc_end_user/documents/17_Valencia/wg11/JCTVC-Q0074-v4.zip" TargetMode="External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4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/doc_end_user/documents/23_San%20Diego/wg11/JCTVC-W0084-v2.zip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pierre.andrivon@technicolor.com" TargetMode="External"/><Relationship Id="rId17" Type="http://schemas.openxmlformats.org/officeDocument/2006/relationships/image" Target="media/image3.emf"/><Relationship Id="rId25" Type="http://schemas.openxmlformats.org/officeDocument/2006/relationships/image" Target="media/image6.emf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henix.it-sudparis.eu/jct/doc_end_user/documents/23_San%20Diego/wg11/JCTVC-W0084-v2.zip" TargetMode="External"/><Relationship Id="rId20" Type="http://schemas.openxmlformats.org/officeDocument/2006/relationships/oleObject" Target="embeddings/oleObject2.bin"/><Relationship Id="rId29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anck.hiron@technicolor.com" TargetMode="External"/><Relationship Id="rId24" Type="http://schemas.openxmlformats.org/officeDocument/2006/relationships/oleObject" Target="embeddings/oleObject3.bin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henix.it-sudparis.eu/jct/doc_end_user/documents/23_San%20Diego/wg11/JCTVC-W0084-v2.zip" TargetMode="External"/><Relationship Id="rId23" Type="http://schemas.openxmlformats.org/officeDocument/2006/relationships/image" Target="media/image5.emf"/><Relationship Id="rId28" Type="http://schemas.openxmlformats.org/officeDocument/2006/relationships/image" Target="media/image7.emf"/><Relationship Id="rId36" Type="http://schemas.openxmlformats.org/officeDocument/2006/relationships/header" Target="header3.xml"/><Relationship Id="rId10" Type="http://schemas.openxmlformats.org/officeDocument/2006/relationships/hyperlink" Target="mailto:edouard.francois@technicolor.com" TargetMode="External"/><Relationship Id="rId19" Type="http://schemas.openxmlformats.org/officeDocument/2006/relationships/image" Target="media/image4.emf"/><Relationship Id="rId31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henix.it-sudparis.eu/jct/doc_end_user/documents/22_Geneva/wg11/JCTVC-V0064-v1.zip" TargetMode="External"/><Relationship Id="rId22" Type="http://schemas.openxmlformats.org/officeDocument/2006/relationships/hyperlink" Target="http://phenix.it-sudparis.eu/jct/doc_end_user/documents/23_San%20Diego/wg11/JCTVC-W0084-v2.zip" TargetMode="External"/><Relationship Id="rId27" Type="http://schemas.openxmlformats.org/officeDocument/2006/relationships/hyperlink" Target="http://phenix.int-evry.fr/mpeg/doc_end_user/documents/113_Geneva/wg11/m37497-v2-m37497_CE2_Document_v3.zip" TargetMode="External"/><Relationship Id="rId30" Type="http://schemas.openxmlformats.org/officeDocument/2006/relationships/image" Target="media/image9.emf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E8177-B911-4D25-B56A-802EA028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1475</Words>
  <Characters>8408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9864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Francois Edouard</cp:lastModifiedBy>
  <cp:revision>100</cp:revision>
  <cp:lastPrinted>1899-12-31T22:00:00Z</cp:lastPrinted>
  <dcterms:created xsi:type="dcterms:W3CDTF">2016-05-10T08:18:00Z</dcterms:created>
  <dcterms:modified xsi:type="dcterms:W3CDTF">2016-05-16T21:38:00Z</dcterms:modified>
</cp:coreProperties>
</file>