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26CCCCF9" w14:textId="77777777">
        <w:tc>
          <w:tcPr>
            <w:tcW w:w="6408" w:type="dxa"/>
          </w:tcPr>
          <w:p w14:paraId="6E3E4106" w14:textId="08DC868A" w:rsidR="006C5D39" w:rsidRPr="005B217D" w:rsidRDefault="00D57BDF" w:rsidP="00C97D78">
            <w:pPr>
              <w:tabs>
                <w:tab w:val="left" w:pos="7200"/>
              </w:tabs>
              <w:spacing w:before="0"/>
              <w:rPr>
                <w:b/>
                <w:szCs w:val="22"/>
                <w:lang w:val="en-CA"/>
              </w:rPr>
            </w:pPr>
            <w:r w:rsidRPr="005B217D">
              <w:rPr>
                <w:b/>
                <w:noProof/>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C206CC"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5516E1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FF9BD13"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2AD775BE" w14:textId="7DF3B782" w:rsidR="008A4B4C" w:rsidRPr="005B217D" w:rsidRDefault="00E61DAC" w:rsidP="00A07879">
            <w:pPr>
              <w:tabs>
                <w:tab w:val="left" w:pos="7200"/>
              </w:tabs>
              <w:rPr>
                <w:u w:val="single"/>
                <w:lang w:val="en-CA"/>
              </w:rPr>
            </w:pPr>
            <w:r w:rsidRPr="005B217D">
              <w:rPr>
                <w:lang w:val="en-CA"/>
              </w:rPr>
              <w:t>Document</w:t>
            </w:r>
            <w:r w:rsidR="006C5D39" w:rsidRPr="005B217D">
              <w:rPr>
                <w:lang w:val="en-CA"/>
              </w:rPr>
              <w:t xml:space="preserve">: </w:t>
            </w:r>
            <w:r w:rsidR="00A07879" w:rsidRPr="009700F4">
              <w:rPr>
                <w:lang w:val="en-CA"/>
              </w:rPr>
              <w:t>JCTVC-W</w:t>
            </w:r>
            <w:r w:rsidR="009700F4" w:rsidRPr="009700F4">
              <w:rPr>
                <w:lang w:val="en-CA"/>
              </w:rPr>
              <w:t xml:space="preserve">0092 / </w:t>
            </w:r>
            <w:r w:rsidR="008F1ED9" w:rsidRPr="009700F4">
              <w:rPr>
                <w:lang w:val="en-CA"/>
              </w:rPr>
              <w:tab/>
            </w:r>
            <w:r w:rsidR="008F1ED9" w:rsidRPr="009700F4">
              <w:rPr>
                <w:lang w:val="en-CA"/>
              </w:rPr>
              <w:tab/>
            </w:r>
            <w:r w:rsidR="008F1ED9" w:rsidRPr="009700F4">
              <w:rPr>
                <w:lang w:val="en-CA"/>
              </w:rPr>
              <w:tab/>
            </w:r>
            <w:r w:rsidR="00A07879" w:rsidRPr="009700F4">
              <w:rPr>
                <w:u w:val="single"/>
                <w:lang w:val="en-CA"/>
              </w:rPr>
              <w:t>m37</w:t>
            </w:r>
            <w:r w:rsidR="009700F4" w:rsidRPr="009700F4">
              <w:rPr>
                <w:u w:val="single"/>
                <w:lang w:val="en-CA"/>
              </w:rPr>
              <w:t>732</w:t>
            </w:r>
          </w:p>
        </w:tc>
      </w:tr>
    </w:tbl>
    <w:p w14:paraId="19E022DC" w14:textId="77777777" w:rsidR="00E61DAC" w:rsidRPr="005B217D" w:rsidRDefault="00E61DAC" w:rsidP="00531AE9">
      <w:pPr>
        <w:spacing w:before="0"/>
        <w:rPr>
          <w:lang w:val="en-CA"/>
        </w:rPr>
      </w:pPr>
    </w:p>
    <w:tbl>
      <w:tblPr>
        <w:tblW w:w="9810" w:type="dxa"/>
        <w:tblLayout w:type="fixed"/>
        <w:tblLook w:val="0000" w:firstRow="0" w:lastRow="0" w:firstColumn="0" w:lastColumn="0" w:noHBand="0" w:noVBand="0"/>
      </w:tblPr>
      <w:tblGrid>
        <w:gridCol w:w="1458"/>
        <w:gridCol w:w="4050"/>
        <w:gridCol w:w="900"/>
        <w:gridCol w:w="3402"/>
      </w:tblGrid>
      <w:tr w:rsidR="00E61DAC" w:rsidRPr="005B217D" w14:paraId="771DCB2C" w14:textId="77777777" w:rsidTr="00000185">
        <w:tc>
          <w:tcPr>
            <w:tcW w:w="1458" w:type="dxa"/>
          </w:tcPr>
          <w:p w14:paraId="46A60074" w14:textId="77777777" w:rsidR="00E61DAC" w:rsidRPr="005B217D" w:rsidRDefault="00E61DAC">
            <w:pPr>
              <w:spacing w:before="60" w:after="60"/>
              <w:rPr>
                <w:i/>
                <w:szCs w:val="22"/>
                <w:lang w:val="en-CA"/>
              </w:rPr>
            </w:pPr>
            <w:r w:rsidRPr="005B217D">
              <w:rPr>
                <w:i/>
                <w:szCs w:val="22"/>
                <w:lang w:val="en-CA"/>
              </w:rPr>
              <w:t>Title:</w:t>
            </w:r>
          </w:p>
        </w:tc>
        <w:tc>
          <w:tcPr>
            <w:tcW w:w="8352" w:type="dxa"/>
            <w:gridSpan w:val="3"/>
          </w:tcPr>
          <w:p w14:paraId="696C3443" w14:textId="2BC988B1" w:rsidR="00E61DAC" w:rsidRPr="00DC5A8B" w:rsidRDefault="0003189B" w:rsidP="0084469C">
            <w:pPr>
              <w:spacing w:before="60" w:after="60"/>
              <w:rPr>
                <w:b/>
                <w:szCs w:val="22"/>
                <w:lang w:val="en-CA"/>
              </w:rPr>
            </w:pPr>
            <w:r>
              <w:rPr>
                <w:b/>
                <w:szCs w:val="22"/>
                <w:lang w:val="en-CA"/>
              </w:rPr>
              <w:t xml:space="preserve">Description of the </w:t>
            </w:r>
            <w:r w:rsidR="00A07879" w:rsidRPr="00A07879">
              <w:rPr>
                <w:b/>
                <w:szCs w:val="22"/>
                <w:lang w:val="en-CA"/>
              </w:rPr>
              <w:t>Exploratory Test Model</w:t>
            </w:r>
            <w:r>
              <w:rPr>
                <w:b/>
                <w:szCs w:val="22"/>
                <w:lang w:val="en-CA"/>
              </w:rPr>
              <w:t xml:space="preserve"> (ETM)</w:t>
            </w:r>
            <w:r w:rsidR="00A07879" w:rsidRPr="00A07879">
              <w:rPr>
                <w:b/>
                <w:szCs w:val="22"/>
                <w:lang w:val="en-CA"/>
              </w:rPr>
              <w:t xml:space="preserve"> for HDR</w:t>
            </w:r>
            <w:r>
              <w:rPr>
                <w:b/>
                <w:szCs w:val="22"/>
                <w:lang w:val="en-CA"/>
              </w:rPr>
              <w:t>/WCG</w:t>
            </w:r>
            <w:r w:rsidR="00A07879" w:rsidRPr="00A07879">
              <w:rPr>
                <w:b/>
                <w:szCs w:val="22"/>
                <w:lang w:val="en-CA"/>
              </w:rPr>
              <w:t xml:space="preserve"> extension of HEVC</w:t>
            </w:r>
          </w:p>
        </w:tc>
      </w:tr>
      <w:tr w:rsidR="00E61DAC" w:rsidRPr="005B217D" w14:paraId="18025C5A" w14:textId="77777777" w:rsidTr="00000185">
        <w:tc>
          <w:tcPr>
            <w:tcW w:w="1458" w:type="dxa"/>
          </w:tcPr>
          <w:p w14:paraId="4D085936" w14:textId="77777777" w:rsidR="00E61DAC" w:rsidRPr="005B217D" w:rsidRDefault="00E61DAC">
            <w:pPr>
              <w:spacing w:before="60" w:after="60"/>
              <w:rPr>
                <w:i/>
                <w:szCs w:val="22"/>
                <w:lang w:val="en-CA"/>
              </w:rPr>
            </w:pPr>
            <w:r w:rsidRPr="005B217D">
              <w:rPr>
                <w:i/>
                <w:szCs w:val="22"/>
                <w:lang w:val="en-CA"/>
              </w:rPr>
              <w:t>Status:</w:t>
            </w:r>
          </w:p>
        </w:tc>
        <w:tc>
          <w:tcPr>
            <w:tcW w:w="8352" w:type="dxa"/>
            <w:gridSpan w:val="3"/>
          </w:tcPr>
          <w:p w14:paraId="54533AC4" w14:textId="77777777" w:rsidR="00E61DAC" w:rsidRPr="005B217D" w:rsidRDefault="00E61DAC" w:rsidP="004F201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70C6A9A7" w14:textId="77777777" w:rsidTr="00000185">
        <w:tc>
          <w:tcPr>
            <w:tcW w:w="1458" w:type="dxa"/>
          </w:tcPr>
          <w:p w14:paraId="2D9DB8CC" w14:textId="77777777" w:rsidR="00E61DAC" w:rsidRPr="005B217D" w:rsidRDefault="00E61DAC">
            <w:pPr>
              <w:spacing w:before="60" w:after="60"/>
              <w:rPr>
                <w:i/>
                <w:szCs w:val="22"/>
                <w:lang w:val="en-CA"/>
              </w:rPr>
            </w:pPr>
            <w:r w:rsidRPr="005B217D">
              <w:rPr>
                <w:i/>
                <w:szCs w:val="22"/>
                <w:lang w:val="en-CA"/>
              </w:rPr>
              <w:t>Purpose:</w:t>
            </w:r>
          </w:p>
        </w:tc>
        <w:tc>
          <w:tcPr>
            <w:tcW w:w="8352" w:type="dxa"/>
            <w:gridSpan w:val="3"/>
          </w:tcPr>
          <w:p w14:paraId="16C72442" w14:textId="77777777" w:rsidR="00E61DAC" w:rsidRPr="005B217D" w:rsidRDefault="00E61DAC" w:rsidP="004F2018">
            <w:pPr>
              <w:spacing w:before="60" w:after="60"/>
              <w:rPr>
                <w:szCs w:val="22"/>
                <w:lang w:val="en-CA"/>
              </w:rPr>
            </w:pPr>
            <w:r w:rsidRPr="005B217D">
              <w:rPr>
                <w:szCs w:val="22"/>
                <w:lang w:val="en-CA"/>
              </w:rPr>
              <w:t>Proposal</w:t>
            </w:r>
          </w:p>
        </w:tc>
      </w:tr>
      <w:tr w:rsidR="00E61DAC" w:rsidRPr="005B217D" w14:paraId="650C3A0B" w14:textId="77777777" w:rsidTr="00000185">
        <w:tc>
          <w:tcPr>
            <w:tcW w:w="1458" w:type="dxa"/>
          </w:tcPr>
          <w:p w14:paraId="106755EB"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757E1B9" w14:textId="0EB7C923" w:rsidR="00E61DAC" w:rsidRPr="005B217D" w:rsidRDefault="008F1ED9" w:rsidP="00A52B5C">
            <w:pPr>
              <w:spacing w:before="60" w:after="60"/>
              <w:rPr>
                <w:szCs w:val="22"/>
                <w:lang w:val="en-CA"/>
              </w:rPr>
            </w:pPr>
            <w:r w:rsidRPr="00CC0EBB">
              <w:rPr>
                <w:szCs w:val="22"/>
                <w:lang w:val="en-CA"/>
              </w:rPr>
              <w:t>K. Minoo (Arris)</w:t>
            </w:r>
            <w:r>
              <w:rPr>
                <w:szCs w:val="22"/>
                <w:lang w:val="en-CA"/>
              </w:rPr>
              <w:br/>
            </w:r>
            <w:r w:rsidRPr="00CC0EBB">
              <w:rPr>
                <w:szCs w:val="22"/>
                <w:lang w:val="en-CA"/>
              </w:rPr>
              <w:t>T. Lu</w:t>
            </w:r>
            <w:r>
              <w:rPr>
                <w:szCs w:val="22"/>
                <w:lang w:val="en-CA"/>
              </w:rPr>
              <w:t xml:space="preserve">, </w:t>
            </w:r>
            <w:r w:rsidRPr="00CC0EBB">
              <w:rPr>
                <w:szCs w:val="22"/>
                <w:lang w:val="en-CA"/>
              </w:rPr>
              <w:t>P. Yin (Dolby)</w:t>
            </w:r>
            <w:r>
              <w:rPr>
                <w:szCs w:val="22"/>
                <w:lang w:val="en-CA"/>
              </w:rPr>
              <w:br/>
              <w:t xml:space="preserve">L. </w:t>
            </w:r>
            <w:r w:rsidRPr="00CC0EBB">
              <w:rPr>
                <w:szCs w:val="22"/>
                <w:lang w:val="en-CA"/>
              </w:rPr>
              <w:t>Kerofsky (InterDigital)</w:t>
            </w:r>
            <w:r>
              <w:rPr>
                <w:szCs w:val="22"/>
                <w:lang w:val="en-CA"/>
              </w:rPr>
              <w:br/>
            </w:r>
            <w:r w:rsidRPr="00CC0EBB">
              <w:rPr>
                <w:szCs w:val="22"/>
                <w:lang w:val="en-CA"/>
              </w:rPr>
              <w:t>D. Rusanovskyy (Qualcomm)</w:t>
            </w:r>
            <w:r>
              <w:rPr>
                <w:szCs w:val="22"/>
                <w:lang w:val="en-CA"/>
              </w:rPr>
              <w:br/>
              <w:t>E. Franç</w:t>
            </w:r>
            <w:r w:rsidRPr="00CC0EBB">
              <w:rPr>
                <w:szCs w:val="22"/>
                <w:lang w:val="en-CA"/>
              </w:rPr>
              <w:t>ois (Technicolor)</w:t>
            </w:r>
          </w:p>
        </w:tc>
        <w:tc>
          <w:tcPr>
            <w:tcW w:w="900" w:type="dxa"/>
          </w:tcPr>
          <w:p w14:paraId="317B6FBE"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402" w:type="dxa"/>
          </w:tcPr>
          <w:p w14:paraId="677A9753" w14:textId="4677E8E3" w:rsidR="00E61DAC" w:rsidRPr="005B217D" w:rsidRDefault="00E61DAC" w:rsidP="005952A5">
            <w:pPr>
              <w:spacing w:before="60" w:after="60"/>
              <w:rPr>
                <w:szCs w:val="22"/>
                <w:lang w:val="en-CA"/>
              </w:rPr>
            </w:pPr>
            <w:r w:rsidRPr="005B217D">
              <w:rPr>
                <w:szCs w:val="22"/>
                <w:lang w:val="en-CA"/>
              </w:rPr>
              <w:br/>
            </w:r>
            <w:hyperlink r:id="rId10" w:history="1">
              <w:r w:rsidR="008F1ED9" w:rsidRPr="00036C43">
                <w:rPr>
                  <w:rStyle w:val="Hyperlink"/>
                  <w:szCs w:val="22"/>
                  <w:lang w:val="en-CA"/>
                </w:rPr>
                <w:t>Koohyar.Minoo@arris.com</w:t>
              </w:r>
            </w:hyperlink>
            <w:r w:rsidR="008F1ED9">
              <w:rPr>
                <w:szCs w:val="22"/>
                <w:lang w:val="en-CA"/>
              </w:rPr>
              <w:br/>
            </w:r>
            <w:hyperlink r:id="rId11" w:history="1">
              <w:r w:rsidR="008F1ED9" w:rsidRPr="00036C43">
                <w:rPr>
                  <w:rStyle w:val="Hyperlink"/>
                  <w:szCs w:val="22"/>
                  <w:lang w:val="en-CA"/>
                </w:rPr>
                <w:t>tlu@dolby.com</w:t>
              </w:r>
            </w:hyperlink>
            <w:r w:rsidR="008F1ED9">
              <w:rPr>
                <w:szCs w:val="22"/>
                <w:lang w:val="en-CA"/>
              </w:rPr>
              <w:br/>
            </w:r>
            <w:hyperlink r:id="rId12" w:history="1">
              <w:r w:rsidR="008F1ED9" w:rsidRPr="00036C43">
                <w:rPr>
                  <w:rStyle w:val="Hyperlink"/>
                  <w:szCs w:val="22"/>
                  <w:lang w:val="en-CA"/>
                </w:rPr>
                <w:t>Louis.Kerofsky@interdigital.com</w:t>
              </w:r>
            </w:hyperlink>
            <w:r w:rsidR="008F1ED9">
              <w:rPr>
                <w:szCs w:val="22"/>
                <w:lang w:val="en-CA"/>
              </w:rPr>
              <w:br/>
            </w:r>
            <w:hyperlink r:id="rId13" w:history="1">
              <w:r w:rsidR="008F1ED9" w:rsidRPr="00036C43">
                <w:rPr>
                  <w:rStyle w:val="Hyperlink"/>
                  <w:szCs w:val="22"/>
                  <w:lang w:val="en-CA"/>
                </w:rPr>
                <w:t>dmytror@qti.qualcomm.com</w:t>
              </w:r>
            </w:hyperlink>
            <w:r w:rsidR="008F1ED9">
              <w:rPr>
                <w:szCs w:val="22"/>
                <w:lang w:val="en-CA"/>
              </w:rPr>
              <w:br/>
            </w:r>
            <w:hyperlink r:id="rId14" w:history="1">
              <w:r w:rsidR="008F1ED9" w:rsidRPr="00CC0EBB">
                <w:rPr>
                  <w:rStyle w:val="Hyperlink"/>
                  <w:szCs w:val="22"/>
                  <w:lang w:val="en-CA"/>
                </w:rPr>
                <w:t>edouard.francois@technicolor.com</w:t>
              </w:r>
            </w:hyperlink>
          </w:p>
        </w:tc>
      </w:tr>
      <w:tr w:rsidR="00E61DAC" w:rsidRPr="005B217D" w14:paraId="506E6D8A" w14:textId="77777777" w:rsidTr="00000185">
        <w:tc>
          <w:tcPr>
            <w:tcW w:w="1458" w:type="dxa"/>
          </w:tcPr>
          <w:p w14:paraId="211BB19B" w14:textId="77777777" w:rsidR="00E61DAC" w:rsidRPr="005B217D" w:rsidRDefault="00E61DAC">
            <w:pPr>
              <w:spacing w:before="60" w:after="60"/>
              <w:rPr>
                <w:i/>
                <w:szCs w:val="22"/>
                <w:lang w:val="en-CA"/>
              </w:rPr>
            </w:pPr>
            <w:r w:rsidRPr="005B217D">
              <w:rPr>
                <w:i/>
                <w:szCs w:val="22"/>
                <w:lang w:val="en-CA"/>
              </w:rPr>
              <w:t>Source:</w:t>
            </w:r>
          </w:p>
        </w:tc>
        <w:tc>
          <w:tcPr>
            <w:tcW w:w="8352" w:type="dxa"/>
            <w:gridSpan w:val="3"/>
          </w:tcPr>
          <w:p w14:paraId="3E795995" w14:textId="77777777" w:rsidR="00E61DAC" w:rsidRPr="005B217D" w:rsidRDefault="004F2018" w:rsidP="004F2018">
            <w:pPr>
              <w:tabs>
                <w:tab w:val="left" w:pos="1170"/>
              </w:tabs>
              <w:spacing w:before="120"/>
              <w:jc w:val="both"/>
              <w:rPr>
                <w:szCs w:val="22"/>
                <w:lang w:val="en-CA"/>
              </w:rPr>
            </w:pPr>
            <w:r>
              <w:rPr>
                <w:szCs w:val="24"/>
                <w:lang w:val="en-CA" w:eastAsia="ja-JP"/>
              </w:rPr>
              <w:t xml:space="preserve">Arris, </w:t>
            </w:r>
            <w:r w:rsidRPr="00D46E56">
              <w:rPr>
                <w:szCs w:val="24"/>
                <w:lang w:val="en-CA" w:eastAsia="ja-JP"/>
              </w:rPr>
              <w:t>Dolby</w:t>
            </w:r>
            <w:r>
              <w:rPr>
                <w:szCs w:val="24"/>
                <w:lang w:val="en-CA" w:eastAsia="ja-JP"/>
              </w:rPr>
              <w:t xml:space="preserve">, </w:t>
            </w:r>
            <w:r w:rsidRPr="00D46E56">
              <w:rPr>
                <w:szCs w:val="24"/>
                <w:lang w:val="en-CA" w:eastAsia="ja-JP"/>
              </w:rPr>
              <w:t>InterDigital</w:t>
            </w:r>
            <w:r>
              <w:rPr>
                <w:szCs w:val="24"/>
                <w:lang w:val="en-CA" w:eastAsia="ja-JP"/>
              </w:rPr>
              <w:t xml:space="preserve">, </w:t>
            </w:r>
            <w:r w:rsidRPr="004E2081">
              <w:rPr>
                <w:szCs w:val="24"/>
                <w:lang w:val="en-CA" w:eastAsia="ja-JP"/>
              </w:rPr>
              <w:t>Qualcomm</w:t>
            </w:r>
            <w:r>
              <w:rPr>
                <w:szCs w:val="24"/>
                <w:lang w:val="en-CA" w:eastAsia="ja-JP"/>
              </w:rPr>
              <w:t xml:space="preserve">, </w:t>
            </w:r>
            <w:r w:rsidRPr="004E2081">
              <w:rPr>
                <w:szCs w:val="24"/>
                <w:lang w:val="en-CA" w:eastAsia="ja-JP"/>
              </w:rPr>
              <w:t>Technicolor</w:t>
            </w:r>
            <w:r>
              <w:rPr>
                <w:szCs w:val="24"/>
                <w:lang w:val="en-CA" w:eastAsia="ja-JP"/>
              </w:rPr>
              <w:t xml:space="preserve"> </w:t>
            </w:r>
          </w:p>
        </w:tc>
      </w:tr>
    </w:tbl>
    <w:p w14:paraId="376D1AC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FA82CD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E6C5691" w14:textId="5FB89C06" w:rsidR="00CE587F" w:rsidRDefault="00CE587F" w:rsidP="009234A5">
      <w:pPr>
        <w:jc w:val="both"/>
        <w:rPr>
          <w:lang w:eastAsia="ja-JP"/>
        </w:rPr>
      </w:pPr>
      <w:r w:rsidRPr="00ED7D95">
        <w:t xml:space="preserve">This document </w:t>
      </w:r>
      <w:r>
        <w:t xml:space="preserve">presents the </w:t>
      </w:r>
      <w:bookmarkStart w:id="0" w:name="_GoBack"/>
      <w:bookmarkEnd w:id="0"/>
      <w:r>
        <w:rPr>
          <w:lang w:eastAsia="ja-JP"/>
        </w:rPr>
        <w:t xml:space="preserve">Exploratory </w:t>
      </w:r>
      <w:r>
        <w:t>Test Model for HDR/WCG video compression</w:t>
      </w:r>
      <w:r>
        <w:rPr>
          <w:color w:val="000000"/>
          <w:szCs w:val="24"/>
        </w:rPr>
        <w:t>.</w:t>
      </w:r>
      <w:r w:rsidRPr="00E0072E">
        <w:rPr>
          <w:color w:val="000000"/>
          <w:szCs w:val="24"/>
        </w:rPr>
        <w:t xml:space="preserve"> </w:t>
      </w:r>
      <w:r>
        <w:rPr>
          <w:lang w:eastAsia="ja-JP"/>
        </w:rPr>
        <w:t>The document also comprises in attachment the current ETM syntax, the software implementation and resulting metrics compared to the HDR anchors.</w:t>
      </w:r>
    </w:p>
    <w:p w14:paraId="748E67C8" w14:textId="77777777" w:rsidR="00745F6B" w:rsidRPr="005B217D" w:rsidRDefault="00AF5676" w:rsidP="00E11923">
      <w:pPr>
        <w:pStyle w:val="Heading1"/>
        <w:rPr>
          <w:lang w:val="en-CA"/>
        </w:rPr>
      </w:pPr>
      <w:r>
        <w:rPr>
          <w:lang w:val="en-CA"/>
        </w:rPr>
        <w:t>Introduction</w:t>
      </w:r>
    </w:p>
    <w:p w14:paraId="0EFA0945" w14:textId="77777777" w:rsidR="006C7C02" w:rsidRDefault="00CE587F" w:rsidP="0001469B">
      <w:pPr>
        <w:keepNext/>
        <w:jc w:val="both"/>
        <w:rPr>
          <w:lang w:eastAsia="ja-JP"/>
        </w:rPr>
      </w:pPr>
      <w:r w:rsidRPr="00016185">
        <w:rPr>
          <w:lang w:eastAsia="ja-JP"/>
        </w:rPr>
        <w:t xml:space="preserve">This document </w:t>
      </w:r>
      <w:r>
        <w:rPr>
          <w:lang w:eastAsia="ja-JP"/>
        </w:rPr>
        <w:t xml:space="preserve">describes the Exploratory Test Model (ETM) for the HDR and WCG extension of HEVC, as delivered to the xyz reflector on January 21, 2016. </w:t>
      </w:r>
      <w:r w:rsidR="006C7C02">
        <w:rPr>
          <w:lang w:eastAsia="ja-JP"/>
        </w:rPr>
        <w:t>The E</w:t>
      </w:r>
      <w:r>
        <w:rPr>
          <w:lang w:eastAsia="ja-JP"/>
        </w:rPr>
        <w:t xml:space="preserve">TM </w:t>
      </w:r>
      <w:r w:rsidR="006C7C02">
        <w:rPr>
          <w:color w:val="000000"/>
          <w:szCs w:val="24"/>
        </w:rPr>
        <w:t>describes</w:t>
      </w:r>
      <w:r>
        <w:rPr>
          <w:color w:val="000000"/>
          <w:szCs w:val="24"/>
        </w:rPr>
        <w:t xml:space="preserve"> </w:t>
      </w:r>
      <w:r w:rsidR="006C7C02">
        <w:rPr>
          <w:color w:val="000000"/>
          <w:szCs w:val="24"/>
        </w:rPr>
        <w:t>proposed</w:t>
      </w:r>
      <w:r>
        <w:rPr>
          <w:color w:val="000000"/>
          <w:szCs w:val="24"/>
        </w:rPr>
        <w:t xml:space="preserve"> normative process changes to the HEVC specification.</w:t>
      </w:r>
      <w:r>
        <w:rPr>
          <w:lang w:eastAsia="ja-JP"/>
        </w:rPr>
        <w:t xml:space="preserve"> The process is out of loop and does not involve changes in the </w:t>
      </w:r>
      <w:r>
        <w:rPr>
          <w:color w:val="000000"/>
          <w:szCs w:val="24"/>
        </w:rPr>
        <w:t xml:space="preserve">normative </w:t>
      </w:r>
      <w:r>
        <w:rPr>
          <w:lang w:eastAsia="ja-JP"/>
        </w:rPr>
        <w:t xml:space="preserve">decoding process. </w:t>
      </w:r>
      <w:r w:rsidR="006C7C02">
        <w:rPr>
          <w:lang w:eastAsia="ja-JP"/>
        </w:rPr>
        <w:t>The corresponding</w:t>
      </w:r>
      <w:r>
        <w:rPr>
          <w:lang w:eastAsia="ja-JP"/>
        </w:rPr>
        <w:t xml:space="preserve"> syntax and semantics of the main block of the HDR reconstruction process, called reshaper, included in an SPS/PPS extension</w:t>
      </w:r>
      <w:r w:rsidR="006C7C02">
        <w:rPr>
          <w:lang w:eastAsia="ja-JP"/>
        </w:rPr>
        <w:t>, is provided</w:t>
      </w:r>
      <w:r>
        <w:rPr>
          <w:lang w:eastAsia="ja-JP"/>
        </w:rPr>
        <w:t xml:space="preserve">. </w:t>
      </w:r>
    </w:p>
    <w:p w14:paraId="7A644E12" w14:textId="4744BF5B" w:rsidR="00CE587F" w:rsidRDefault="00CE587F" w:rsidP="0001469B">
      <w:pPr>
        <w:keepNext/>
        <w:jc w:val="both"/>
        <w:rPr>
          <w:lang w:eastAsia="ja-JP"/>
        </w:rPr>
      </w:pPr>
      <w:r>
        <w:rPr>
          <w:lang w:eastAsia="ja-JP"/>
        </w:rPr>
        <w:t xml:space="preserve">Section 2 provides an overview of the </w:t>
      </w:r>
      <w:r w:rsidR="006C7C02">
        <w:rPr>
          <w:lang w:eastAsia="ja-JP"/>
        </w:rPr>
        <w:t>E</w:t>
      </w:r>
      <w:r>
        <w:rPr>
          <w:lang w:eastAsia="ja-JP"/>
        </w:rPr>
        <w:t>TM framework. Section 3 describes the HDR video analysis and processing</w:t>
      </w:r>
      <w:r w:rsidR="006C7C02">
        <w:rPr>
          <w:lang w:eastAsia="ja-JP"/>
        </w:rPr>
        <w:t xml:space="preserve"> (also called reshaper)</w:t>
      </w:r>
      <w:r>
        <w:rPr>
          <w:lang w:eastAsia="ja-JP"/>
        </w:rPr>
        <w:t xml:space="preserve"> that applies prior to the HEVC encoding. Section 4 describes the HDR reconstruction process</w:t>
      </w:r>
      <w:r w:rsidR="006C7C02">
        <w:rPr>
          <w:lang w:eastAsia="ja-JP"/>
        </w:rPr>
        <w:t xml:space="preserve"> (inverse reshaper)</w:t>
      </w:r>
      <w:r>
        <w:rPr>
          <w:lang w:eastAsia="ja-JP"/>
        </w:rPr>
        <w:t xml:space="preserve"> that applies after HEVC decoding. </w:t>
      </w:r>
    </w:p>
    <w:p w14:paraId="573D7A38" w14:textId="3857006C" w:rsidR="0084469C" w:rsidRDefault="00CE587F" w:rsidP="0001469B">
      <w:pPr>
        <w:keepNext/>
        <w:jc w:val="both"/>
        <w:rPr>
          <w:lang w:eastAsia="ja-JP"/>
        </w:rPr>
      </w:pPr>
      <w:r>
        <w:rPr>
          <w:lang w:eastAsia="ja-JP"/>
        </w:rPr>
        <w:t xml:space="preserve">A description of the reshaper parameters derivation process on the encoder side </w:t>
      </w:r>
      <w:r w:rsidR="006C7C02">
        <w:rPr>
          <w:lang w:eastAsia="ja-JP"/>
        </w:rPr>
        <w:t>is provided in document JCTVC-W0031 [1]. The</w:t>
      </w:r>
      <w:r>
        <w:rPr>
          <w:lang w:eastAsia="ja-JP"/>
        </w:rPr>
        <w:t xml:space="preserve"> </w:t>
      </w:r>
      <w:r w:rsidR="006C7C02">
        <w:rPr>
          <w:lang w:eastAsia="ja-JP"/>
        </w:rPr>
        <w:t xml:space="preserve">document also comprises the </w:t>
      </w:r>
      <w:r w:rsidR="004F5E71">
        <w:rPr>
          <w:lang w:eastAsia="ja-JP"/>
        </w:rPr>
        <w:t xml:space="preserve">ETM </w:t>
      </w:r>
      <w:r>
        <w:rPr>
          <w:lang w:eastAsia="ja-JP"/>
        </w:rPr>
        <w:t>specification text</w:t>
      </w:r>
      <w:r w:rsidR="006C7C02">
        <w:rPr>
          <w:lang w:eastAsia="ja-JP"/>
        </w:rPr>
        <w:t>, the reference software</w:t>
      </w:r>
      <w:r w:rsidR="004F5E71">
        <w:rPr>
          <w:lang w:eastAsia="ja-JP"/>
        </w:rPr>
        <w:t xml:space="preserve"> (ETM_RC_r1)</w:t>
      </w:r>
      <w:r w:rsidR="006C7C02">
        <w:rPr>
          <w:lang w:eastAsia="ja-JP"/>
        </w:rPr>
        <w:t xml:space="preserve"> and the corresponding simulation results, compared to the current HDR anchors (known as CE1 v3.2 anchors)</w:t>
      </w:r>
      <w:r w:rsidR="0084469C">
        <w:rPr>
          <w:lang w:eastAsia="ja-JP"/>
        </w:rPr>
        <w:t>.</w:t>
      </w:r>
    </w:p>
    <w:p w14:paraId="0B7A6548" w14:textId="77777777" w:rsidR="00DC34FC" w:rsidRDefault="00DC34FC" w:rsidP="006C7C02">
      <w:pPr>
        <w:keepNext/>
        <w:rPr>
          <w:lang w:eastAsia="ja-JP"/>
        </w:rPr>
      </w:pPr>
    </w:p>
    <w:p w14:paraId="5500752B" w14:textId="34F1FE3B" w:rsidR="00DC34FC" w:rsidRPr="004F68D4" w:rsidRDefault="00DC34FC" w:rsidP="00DC34FC">
      <w:pPr>
        <w:pStyle w:val="Heading1"/>
        <w:tabs>
          <w:tab w:val="clear" w:pos="360"/>
          <w:tab w:val="clear" w:pos="720"/>
          <w:tab w:val="clear" w:pos="1080"/>
          <w:tab w:val="clear" w:pos="1440"/>
        </w:tabs>
        <w:spacing w:before="120" w:after="120" w:line="276" w:lineRule="auto"/>
        <w:ind w:left="360" w:hanging="360"/>
      </w:pPr>
      <w:r>
        <w:t>ETM framework overview</w:t>
      </w:r>
    </w:p>
    <w:p w14:paraId="0D9BE0FE" w14:textId="158B310F" w:rsidR="00DC34FC" w:rsidRDefault="00DC34FC" w:rsidP="00560387">
      <w:pPr>
        <w:keepNext/>
        <w:jc w:val="both"/>
        <w:rPr>
          <w:lang w:eastAsia="ja-JP"/>
        </w:rPr>
      </w:pPr>
      <w:r>
        <w:rPr>
          <w:lang w:eastAsia="ja-JP"/>
        </w:rPr>
        <w:t xml:space="preserve">A functional diagram of the ETM is shown in </w:t>
      </w:r>
      <w:r>
        <w:rPr>
          <w:lang w:eastAsia="ja-JP"/>
        </w:rPr>
        <w:fldChar w:fldCharType="begin"/>
      </w:r>
      <w:r>
        <w:rPr>
          <w:lang w:eastAsia="ja-JP"/>
        </w:rPr>
        <w:instrText xml:space="preserve"> REF _Ref429396359 \h  \* MERGEFORMAT </w:instrText>
      </w:r>
      <w:r>
        <w:rPr>
          <w:lang w:eastAsia="ja-JP"/>
        </w:rPr>
      </w:r>
      <w:r>
        <w:rPr>
          <w:lang w:eastAsia="ja-JP"/>
        </w:rPr>
        <w:fldChar w:fldCharType="separate"/>
      </w:r>
      <w:r w:rsidR="00205E19">
        <w:t xml:space="preserve">Figure </w:t>
      </w:r>
      <w:r w:rsidR="00205E19">
        <w:rPr>
          <w:noProof/>
        </w:rPr>
        <w:t>4</w:t>
      </w:r>
      <w:r>
        <w:rPr>
          <w:lang w:eastAsia="ja-JP"/>
        </w:rPr>
        <w:fldChar w:fldCharType="end"/>
      </w:r>
      <w:r>
        <w:rPr>
          <w:lang w:eastAsia="ja-JP"/>
        </w:rPr>
        <w:t>. The system uses HEVC Main 10 profile for the bitstream generation and bitstream decoding, and uses meta-data provided by the decoder to control decoder side processing used to reconstruct an HDR and WCG representation. The input HDR signal is pre-processed to produce a modified HDR signal that is provided to the HEVC main 10 encoder. The HEVC main 10 decoder output is used to reconstruct the HDR signal. The pre-processing and post-processing steps primarily aim at improving the coding efficiency of HDR content, and at providing support of SDR backward compatibility. Efficient delivery of HDR and WCG content is achieved with the</w:t>
      </w:r>
      <w:r w:rsidR="00560387">
        <w:rPr>
          <w:lang w:eastAsia="ja-JP"/>
        </w:rPr>
        <w:t xml:space="preserve"> reshaper</w:t>
      </w:r>
      <w:r>
        <w:rPr>
          <w:lang w:eastAsia="ja-JP"/>
        </w:rPr>
        <w:t xml:space="preserve"> tool. </w:t>
      </w:r>
    </w:p>
    <w:p w14:paraId="3013391B" w14:textId="77777777" w:rsidR="00DC34FC" w:rsidRPr="004F68D4" w:rsidRDefault="00DC34FC" w:rsidP="00560387">
      <w:pPr>
        <w:jc w:val="both"/>
      </w:pPr>
      <w:r>
        <w:t>The only normative tool in the HDR reconstruction process proposed in this TM is inverse reshaper. In the sections below, more details on this tool</w:t>
      </w:r>
      <w:r w:rsidRPr="00970733">
        <w:t xml:space="preserve"> </w:t>
      </w:r>
      <w:r>
        <w:t xml:space="preserve">are described. Non-normative technologies including SEI and VUI changes are not presented in this TM. </w:t>
      </w:r>
    </w:p>
    <w:p w14:paraId="6C828990" w14:textId="77777777" w:rsidR="00DC34FC" w:rsidRDefault="00DC34FC" w:rsidP="00DC34FC">
      <w:pPr>
        <w:keepNext/>
        <w:rPr>
          <w:lang w:eastAsia="ja-JP"/>
        </w:rPr>
      </w:pPr>
    </w:p>
    <w:p w14:paraId="66E44176" w14:textId="4B76B6A8" w:rsidR="00DC34FC" w:rsidRDefault="00560387" w:rsidP="00DC34FC">
      <w:pPr>
        <w:keepNext/>
        <w:jc w:val="center"/>
        <w:rPr>
          <w:lang w:eastAsia="ja-JP"/>
        </w:rPr>
      </w:pPr>
      <w:r>
        <w:rPr>
          <w:lang w:eastAsia="ja-JP"/>
        </w:rPr>
        <w:object w:dxaOrig="11410" w:dyaOrig="2575" w14:anchorId="46DA54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99.55pt" o:ole="">
            <v:imagedata r:id="rId15" o:title=""/>
          </v:shape>
          <o:OLEObject Type="Embed" ProgID="Visio.Drawing.11" ShapeID="_x0000_i1025" DrawAspect="Content" ObjectID="_1516564616" r:id="rId16"/>
        </w:object>
      </w:r>
    </w:p>
    <w:p w14:paraId="5DB03849" w14:textId="77777777" w:rsidR="00DC34FC" w:rsidRDefault="00DC34FC" w:rsidP="00DC34FC">
      <w:pPr>
        <w:pStyle w:val="Caption"/>
      </w:pPr>
      <w:r>
        <w:t xml:space="preserve">Figure </w:t>
      </w:r>
      <w:r w:rsidR="00812A16">
        <w:fldChar w:fldCharType="begin"/>
      </w:r>
      <w:r w:rsidR="00812A16">
        <w:instrText xml:space="preserve"> SEQ Figure \* ARABIC </w:instrText>
      </w:r>
      <w:r w:rsidR="00812A16">
        <w:fldChar w:fldCharType="separate"/>
      </w:r>
      <w:r w:rsidR="00205E19">
        <w:rPr>
          <w:noProof/>
        </w:rPr>
        <w:t>1</w:t>
      </w:r>
      <w:r w:rsidR="00812A16">
        <w:rPr>
          <w:noProof/>
        </w:rPr>
        <w:fldChar w:fldCharType="end"/>
      </w:r>
      <w:r>
        <w:rPr>
          <w:noProof/>
        </w:rPr>
        <w:t>.</w:t>
      </w:r>
      <w:r>
        <w:t xml:space="preserve"> System diagram.</w:t>
      </w:r>
    </w:p>
    <w:p w14:paraId="704DCCD0" w14:textId="77777777" w:rsidR="00560387" w:rsidRPr="00560387" w:rsidRDefault="00560387" w:rsidP="00560387"/>
    <w:p w14:paraId="4C6C425A" w14:textId="4D527B37" w:rsidR="00DC34FC" w:rsidRDefault="00DC34FC" w:rsidP="00DC34FC">
      <w:pPr>
        <w:pStyle w:val="Heading1"/>
        <w:tabs>
          <w:tab w:val="clear" w:pos="360"/>
          <w:tab w:val="clear" w:pos="720"/>
          <w:tab w:val="clear" w:pos="1080"/>
          <w:tab w:val="clear" w:pos="1440"/>
        </w:tabs>
        <w:spacing w:before="120" w:after="120" w:line="276" w:lineRule="auto"/>
        <w:ind w:left="360" w:hanging="360"/>
      </w:pPr>
      <w:r>
        <w:t xml:space="preserve">HDR video analysis and </w:t>
      </w:r>
      <w:r w:rsidR="00560387">
        <w:t>reshaping</w:t>
      </w:r>
    </w:p>
    <w:p w14:paraId="703A5DDE" w14:textId="6D890E04" w:rsidR="00DC34FC" w:rsidRDefault="00DC34FC" w:rsidP="00560387">
      <w:pPr>
        <w:jc w:val="both"/>
        <w:rPr>
          <w:lang w:eastAsia="ja-JP"/>
        </w:rPr>
      </w:pPr>
      <w:r>
        <w:rPr>
          <w:lang w:eastAsia="ja-JP"/>
        </w:rPr>
        <w:t xml:space="preserve">HDR analysis and </w:t>
      </w:r>
      <w:r w:rsidR="00560387">
        <w:rPr>
          <w:lang w:eastAsia="ja-JP"/>
        </w:rPr>
        <w:t>reshaping</w:t>
      </w:r>
      <w:r>
        <w:rPr>
          <w:lang w:eastAsia="ja-JP"/>
        </w:rPr>
        <w:t xml:space="preserve"> applies prior to the HEVC encoding. It maps the input HDR signal to a format adapted to the HEVC Main 10 profile</w:t>
      </w:r>
      <w:r w:rsidR="00560387">
        <w:rPr>
          <w:lang w:eastAsia="ja-JP"/>
        </w:rPr>
        <w:t xml:space="preserve"> (cf</w:t>
      </w:r>
      <w:r>
        <w:rPr>
          <w:lang w:eastAsia="ja-JP"/>
        </w:rPr>
        <w:t xml:space="preserve"> </w:t>
      </w:r>
      <w:r>
        <w:rPr>
          <w:lang w:eastAsia="ja-JP"/>
        </w:rPr>
        <w:fldChar w:fldCharType="begin"/>
      </w:r>
      <w:r>
        <w:rPr>
          <w:lang w:eastAsia="ja-JP"/>
        </w:rPr>
        <w:instrText xml:space="preserve"> REF _Ref430705732 \h </w:instrText>
      </w:r>
      <w:r>
        <w:rPr>
          <w:lang w:eastAsia="ja-JP"/>
        </w:rPr>
      </w:r>
      <w:r>
        <w:rPr>
          <w:lang w:eastAsia="ja-JP"/>
        </w:rPr>
        <w:fldChar w:fldCharType="separate"/>
      </w:r>
      <w:r w:rsidR="00205E19">
        <w:t xml:space="preserve">Figure </w:t>
      </w:r>
      <w:r w:rsidR="00205E19">
        <w:rPr>
          <w:noProof/>
        </w:rPr>
        <w:t>2</w:t>
      </w:r>
      <w:r>
        <w:rPr>
          <w:lang w:eastAsia="ja-JP"/>
        </w:rPr>
        <w:fldChar w:fldCharType="end"/>
      </w:r>
      <w:r w:rsidR="00560387">
        <w:rPr>
          <w:lang w:eastAsia="ja-JP"/>
        </w:rPr>
        <w:t>)</w:t>
      </w:r>
      <w:r>
        <w:rPr>
          <w:lang w:eastAsia="ja-JP"/>
        </w:rPr>
        <w:t>.</w:t>
      </w:r>
    </w:p>
    <w:p w14:paraId="0A30126D" w14:textId="3C855933" w:rsidR="00DC34FC" w:rsidRDefault="002D1064" w:rsidP="00DC34FC">
      <w:pPr>
        <w:jc w:val="center"/>
        <w:rPr>
          <w:lang w:eastAsia="ja-JP"/>
        </w:rPr>
      </w:pPr>
      <w:r>
        <w:rPr>
          <w:lang w:val="en-GB" w:eastAsia="ja-JP"/>
        </w:rPr>
        <w:object w:dxaOrig="6322" w:dyaOrig="1625" w14:anchorId="40F47120">
          <v:shape id="_x0000_i1026" type="#_x0000_t75" style="width:297.4pt;height:77.65pt" o:ole="">
            <v:imagedata r:id="rId17" o:title=""/>
          </v:shape>
          <o:OLEObject Type="Embed" ProgID="Visio.Drawing.11" ShapeID="_x0000_i1026" DrawAspect="Content" ObjectID="_1516564617" r:id="rId18"/>
        </w:object>
      </w:r>
    </w:p>
    <w:p w14:paraId="713F8DFA" w14:textId="77777777" w:rsidR="00DC34FC" w:rsidRDefault="00DC34FC" w:rsidP="00DC34FC">
      <w:pPr>
        <w:pStyle w:val="Caption"/>
      </w:pPr>
      <w:bookmarkStart w:id="1" w:name="_Ref430705732"/>
      <w:r>
        <w:t xml:space="preserve">Figure </w:t>
      </w:r>
      <w:r w:rsidR="00812A16">
        <w:fldChar w:fldCharType="begin"/>
      </w:r>
      <w:r w:rsidR="00812A16">
        <w:instrText xml:space="preserve"> SEQ Figure \* ARABIC </w:instrText>
      </w:r>
      <w:r w:rsidR="00812A16">
        <w:fldChar w:fldCharType="separate"/>
      </w:r>
      <w:r w:rsidR="00205E19">
        <w:rPr>
          <w:noProof/>
        </w:rPr>
        <w:t>2</w:t>
      </w:r>
      <w:r w:rsidR="00812A16">
        <w:rPr>
          <w:noProof/>
        </w:rPr>
        <w:fldChar w:fldCharType="end"/>
      </w:r>
      <w:bookmarkEnd w:id="1"/>
      <w:r>
        <w:rPr>
          <w:noProof/>
        </w:rPr>
        <w:t>.</w:t>
      </w:r>
      <w:r>
        <w:t xml:space="preserve"> Encoding diagram.</w:t>
      </w:r>
    </w:p>
    <w:p w14:paraId="3DEB9EA6" w14:textId="77777777" w:rsidR="00560387" w:rsidRDefault="00560387" w:rsidP="00DC34FC">
      <w:pPr>
        <w:rPr>
          <w:lang w:val="en-GB" w:eastAsia="ja-JP"/>
        </w:rPr>
      </w:pPr>
    </w:p>
    <w:p w14:paraId="33B2D012" w14:textId="77777777" w:rsidR="00560387" w:rsidRDefault="00DC34FC" w:rsidP="00205E19">
      <w:pPr>
        <w:jc w:val="both"/>
        <w:rPr>
          <w:lang w:val="en-GB" w:eastAsia="ja-JP"/>
        </w:rPr>
      </w:pPr>
      <w:r>
        <w:rPr>
          <w:lang w:val="en-GB" w:eastAsia="ja-JP"/>
        </w:rPr>
        <w:t>The normative encoding process utilizes the adaptive reshaper module after the HDR signal is converted from</w:t>
      </w:r>
      <w:r w:rsidRPr="00BE4666">
        <w:rPr>
          <w:lang w:val="en-GB" w:eastAsia="ja-JP"/>
        </w:rPr>
        <w:t xml:space="preserve"> 4:4:4 to 4:2:0. </w:t>
      </w:r>
      <w:bookmarkStart w:id="2" w:name="OLE_LINK121"/>
      <w:bookmarkStart w:id="3" w:name="OLE_LINK122"/>
    </w:p>
    <w:p w14:paraId="7FCCED5F" w14:textId="09D4039F" w:rsidR="00DC34FC" w:rsidRDefault="00560387" w:rsidP="00205E19">
      <w:pPr>
        <w:spacing w:after="120"/>
        <w:jc w:val="both"/>
      </w:pPr>
      <w:r>
        <w:rPr>
          <w:lang w:val="en-GB" w:eastAsia="ja-JP"/>
        </w:rPr>
        <w:t xml:space="preserve">In a first functional </w:t>
      </w:r>
      <w:r w:rsidR="001C0153">
        <w:rPr>
          <w:lang w:val="en-GB" w:eastAsia="ja-JP"/>
        </w:rPr>
        <w:t>setting</w:t>
      </w:r>
      <w:r>
        <w:rPr>
          <w:lang w:val="en-GB" w:eastAsia="ja-JP"/>
        </w:rPr>
        <w:t>, t</w:t>
      </w:r>
      <w:r w:rsidR="00DC34FC">
        <w:t xml:space="preserve">he purpose of reshaper is to change the signal characteristics of YCbCr to improve the coding efficiency of the existing HEVC Main 10 codec. The motivation has three aspects: </w:t>
      </w:r>
    </w:p>
    <w:p w14:paraId="73BB64EC" w14:textId="77777777" w:rsidR="00DC34FC" w:rsidRPr="00560387" w:rsidRDefault="00DC34FC" w:rsidP="00205E19">
      <w:pPr>
        <w:pStyle w:val="ListParagraph"/>
        <w:numPr>
          <w:ilvl w:val="0"/>
          <w:numId w:val="45"/>
        </w:numPr>
        <w:spacing w:after="0"/>
        <w:contextualSpacing w:val="0"/>
        <w:jc w:val="both"/>
        <w:rPr>
          <w:rFonts w:ascii="Times New Roman" w:hAnsi="Times New Roman"/>
          <w:szCs w:val="24"/>
        </w:rPr>
      </w:pPr>
      <w:r w:rsidRPr="00560387">
        <w:rPr>
          <w:rFonts w:ascii="Times New Roman" w:hAnsi="Times New Roman"/>
          <w:szCs w:val="24"/>
        </w:rPr>
        <w:t xml:space="preserve">PQ is designed to cover the full range of HDR signal from 0 to 10,000 nits. However, due to the display limitation and director's intent, the video range might be smaller than the full range. </w:t>
      </w:r>
    </w:p>
    <w:p w14:paraId="771BA50C" w14:textId="77777777" w:rsidR="00DC34FC" w:rsidRPr="00560387" w:rsidRDefault="00DC34FC" w:rsidP="00205E19">
      <w:pPr>
        <w:pStyle w:val="ListParagraph"/>
        <w:numPr>
          <w:ilvl w:val="0"/>
          <w:numId w:val="45"/>
        </w:numPr>
        <w:spacing w:after="0"/>
        <w:contextualSpacing w:val="0"/>
        <w:jc w:val="both"/>
        <w:rPr>
          <w:rFonts w:ascii="Times New Roman" w:hAnsi="Times New Roman"/>
          <w:szCs w:val="24"/>
        </w:rPr>
      </w:pPr>
      <w:r w:rsidRPr="00560387">
        <w:rPr>
          <w:rFonts w:ascii="Times New Roman" w:hAnsi="Times New Roman"/>
          <w:szCs w:val="24"/>
        </w:rPr>
        <w:t xml:space="preserve">For HDR and WCG signal, we are dealing with a much larger color volume than SDR which includes both color and intensity. </w:t>
      </w:r>
    </w:p>
    <w:p w14:paraId="7A97AC2D" w14:textId="77777777" w:rsidR="00DC34FC" w:rsidRPr="00560387" w:rsidRDefault="00DC34FC" w:rsidP="00205E19">
      <w:pPr>
        <w:pStyle w:val="ListParagraph"/>
        <w:numPr>
          <w:ilvl w:val="0"/>
          <w:numId w:val="45"/>
        </w:numPr>
        <w:spacing w:after="0"/>
        <w:contextualSpacing w:val="0"/>
        <w:jc w:val="both"/>
        <w:rPr>
          <w:rFonts w:ascii="Times New Roman" w:hAnsi="Times New Roman"/>
          <w:szCs w:val="24"/>
        </w:rPr>
      </w:pPr>
      <w:r w:rsidRPr="00560387">
        <w:rPr>
          <w:rFonts w:ascii="Times New Roman" w:hAnsi="Times New Roman"/>
          <w:szCs w:val="24"/>
        </w:rPr>
        <w:t>In case of SDR-backward compatibility, reshaper performs dynamic range reduction with control of color shift resulting from this dynamic range reduction.</w:t>
      </w:r>
    </w:p>
    <w:p w14:paraId="1B8D6D7D" w14:textId="77777777" w:rsidR="00560387" w:rsidRPr="00CD62B1" w:rsidRDefault="00560387" w:rsidP="00205E19">
      <w:pPr>
        <w:spacing w:after="120"/>
        <w:jc w:val="both"/>
        <w:rPr>
          <w:lang w:eastAsia="ja-JP"/>
        </w:rPr>
      </w:pPr>
      <w:r>
        <w:rPr>
          <w:lang w:eastAsia="ja-JP"/>
        </w:rPr>
        <w:t>R</w:t>
      </w:r>
      <w:r w:rsidRPr="00E535CE">
        <w:rPr>
          <w:lang w:eastAsia="ja-JP"/>
        </w:rPr>
        <w:t>eshap</w:t>
      </w:r>
      <w:r>
        <w:rPr>
          <w:lang w:eastAsia="ja-JP"/>
        </w:rPr>
        <w:t>er</w:t>
      </w:r>
      <w:r w:rsidRPr="00E535CE">
        <w:rPr>
          <w:lang w:eastAsia="ja-JP"/>
        </w:rPr>
        <w:t xml:space="preserve"> </w:t>
      </w:r>
      <w:r>
        <w:rPr>
          <w:lang w:eastAsia="ja-JP"/>
        </w:rPr>
        <w:t>is designed to</w:t>
      </w:r>
      <w:r w:rsidRPr="00E535CE">
        <w:rPr>
          <w:lang w:eastAsia="ja-JP"/>
        </w:rPr>
        <w:t xml:space="preserve"> </w:t>
      </w:r>
      <w:bookmarkStart w:id="4" w:name="OLE_LINK528"/>
      <w:bookmarkStart w:id="5" w:name="OLE_LINK529"/>
      <w:bookmarkStart w:id="6" w:name="OLE_LINK530"/>
      <w:r w:rsidRPr="00E535CE">
        <w:rPr>
          <w:lang w:eastAsia="ja-JP"/>
        </w:rPr>
        <w:t xml:space="preserve">simultaneously improve texture sharpness </w:t>
      </w:r>
      <w:r>
        <w:rPr>
          <w:lang w:eastAsia="ja-JP"/>
        </w:rPr>
        <w:t>and</w:t>
      </w:r>
      <w:r w:rsidRPr="00E535CE">
        <w:rPr>
          <w:lang w:eastAsia="ja-JP"/>
        </w:rPr>
        <w:t xml:space="preserve"> </w:t>
      </w:r>
      <w:r>
        <w:rPr>
          <w:lang w:eastAsia="ja-JP"/>
        </w:rPr>
        <w:t xml:space="preserve">improve </w:t>
      </w:r>
      <w:r w:rsidRPr="00E535CE">
        <w:rPr>
          <w:lang w:eastAsia="ja-JP"/>
        </w:rPr>
        <w:t xml:space="preserve">color performance. </w:t>
      </w:r>
      <w:bookmarkEnd w:id="4"/>
      <w:bookmarkEnd w:id="5"/>
      <w:bookmarkEnd w:id="6"/>
      <w:r>
        <w:rPr>
          <w:lang w:eastAsia="ja-JP"/>
        </w:rPr>
        <w:t xml:space="preserve">It can </w:t>
      </w:r>
      <w:r>
        <w:t>additionally enable</w:t>
      </w:r>
      <w:r>
        <w:rPr>
          <w:lang w:eastAsia="ja-JP"/>
        </w:rPr>
        <w:t xml:space="preserve"> </w:t>
      </w:r>
      <w:r>
        <w:t xml:space="preserve">SDR backward-compatible support. </w:t>
      </w:r>
      <w:r w:rsidRPr="00E535CE">
        <w:rPr>
          <w:rFonts w:eastAsia="MS Mincho"/>
          <w:szCs w:val="24"/>
        </w:rPr>
        <w:t>A</w:t>
      </w:r>
      <w:r w:rsidRPr="007B6C67">
        <w:rPr>
          <w:rFonts w:eastAsia="MS Mincho"/>
          <w:szCs w:val="24"/>
        </w:rPr>
        <w:t xml:space="preserve"> parametric </w:t>
      </w:r>
      <w:r>
        <w:rPr>
          <w:rFonts w:eastAsia="MS Mincho"/>
          <w:szCs w:val="24"/>
        </w:rPr>
        <w:t>reshaper</w:t>
      </w:r>
      <w:r w:rsidRPr="007B6C67">
        <w:rPr>
          <w:rFonts w:eastAsia="MS Mincho"/>
          <w:szCs w:val="24"/>
        </w:rPr>
        <w:t xml:space="preserve"> model is used to implement the following two features: </w:t>
      </w:r>
    </w:p>
    <w:p w14:paraId="1BAE1946" w14:textId="77777777" w:rsidR="00560387" w:rsidRPr="00560387" w:rsidRDefault="00560387" w:rsidP="00205E19">
      <w:pPr>
        <w:pStyle w:val="ListParagraph"/>
        <w:numPr>
          <w:ilvl w:val="0"/>
          <w:numId w:val="46"/>
        </w:numPr>
        <w:spacing w:after="0"/>
        <w:contextualSpacing w:val="0"/>
        <w:jc w:val="both"/>
        <w:rPr>
          <w:rFonts w:ascii="Times New Roman" w:hAnsi="Times New Roman"/>
          <w:szCs w:val="24"/>
        </w:rPr>
      </w:pPr>
      <w:r w:rsidRPr="00560387">
        <w:rPr>
          <w:rFonts w:ascii="Times New Roman" w:hAnsi="Times New Roman"/>
          <w:szCs w:val="24"/>
        </w:rPr>
        <w:t xml:space="preserve">Adaptive codeword re-distribution. </w:t>
      </w:r>
    </w:p>
    <w:p w14:paraId="0B5AB11A" w14:textId="2E18558C" w:rsidR="00560387" w:rsidRPr="00560387" w:rsidRDefault="00560387" w:rsidP="00205E19">
      <w:pPr>
        <w:pStyle w:val="ListParagraph"/>
        <w:numPr>
          <w:ilvl w:val="0"/>
          <w:numId w:val="46"/>
        </w:numPr>
        <w:spacing w:after="0"/>
        <w:contextualSpacing w:val="0"/>
        <w:jc w:val="both"/>
        <w:rPr>
          <w:rFonts w:ascii="Times New Roman" w:hAnsi="Times New Roman"/>
          <w:szCs w:val="24"/>
        </w:rPr>
      </w:pPr>
      <w:r w:rsidRPr="00560387">
        <w:rPr>
          <w:rFonts w:ascii="Times New Roman" w:hAnsi="Times New Roman"/>
          <w:szCs w:val="24"/>
        </w:rPr>
        <w:t>Re-quantization of luma and chroma signal components.</w:t>
      </w:r>
    </w:p>
    <w:bookmarkEnd w:id="2"/>
    <w:bookmarkEnd w:id="3"/>
    <w:p w14:paraId="27B52D11" w14:textId="552721A6" w:rsidR="00DC34FC" w:rsidRDefault="00560387" w:rsidP="00205E19">
      <w:pPr>
        <w:jc w:val="both"/>
        <w:rPr>
          <w:lang w:eastAsia="ja-JP"/>
        </w:rPr>
      </w:pPr>
      <w:r>
        <w:rPr>
          <w:lang w:eastAsia="ja-JP"/>
        </w:rPr>
        <w:t xml:space="preserve">In the other functional </w:t>
      </w:r>
      <w:r w:rsidR="00086F84">
        <w:rPr>
          <w:lang w:eastAsia="ja-JP"/>
        </w:rPr>
        <w:t>setting</w:t>
      </w:r>
      <w:r>
        <w:rPr>
          <w:lang w:eastAsia="ja-JP"/>
        </w:rPr>
        <w:t xml:space="preserve">, the reshaper is aimed at providing SDR backward compatibility. The reshaped signal from the input HDR signal is compatible with SDR rendering devices and can therefore, after compression and decompression, be rendered on legacy SDR devices. </w:t>
      </w:r>
    </w:p>
    <w:p w14:paraId="4B3F5588" w14:textId="59E02F8F" w:rsidR="00DC34FC" w:rsidRDefault="00DC34FC" w:rsidP="00205E19">
      <w:pPr>
        <w:jc w:val="both"/>
        <w:rPr>
          <w:lang w:eastAsia="ja-JP"/>
        </w:rPr>
      </w:pPr>
      <w:r>
        <w:rPr>
          <w:lang w:eastAsia="ja-JP"/>
        </w:rPr>
        <w:t>For luma, reshaper</w:t>
      </w:r>
      <w:r w:rsidRPr="00E535CE">
        <w:rPr>
          <w:lang w:eastAsia="ja-JP"/>
        </w:rPr>
        <w:t xml:space="preserve"> is modeled </w:t>
      </w:r>
      <w:r>
        <w:rPr>
          <w:lang w:eastAsia="ja-JP"/>
        </w:rPr>
        <w:t xml:space="preserve">using a piecewise </w:t>
      </w:r>
      <w:r w:rsidRPr="002271FD">
        <w:rPr>
          <w:lang w:eastAsia="ja-JP"/>
        </w:rPr>
        <w:t>2</w:t>
      </w:r>
      <w:r w:rsidRPr="002271FD">
        <w:rPr>
          <w:vertAlign w:val="superscript"/>
          <w:lang w:eastAsia="ja-JP"/>
        </w:rPr>
        <w:t>nd</w:t>
      </w:r>
      <w:r>
        <w:rPr>
          <w:lang w:eastAsia="ja-JP"/>
        </w:rPr>
        <w:t xml:space="preserve"> order polynomial or piecewis</w:t>
      </w:r>
      <w:r w:rsidR="00560387">
        <w:rPr>
          <w:lang w:eastAsia="ja-JP"/>
        </w:rPr>
        <w:t xml:space="preserve">e linear model. </w:t>
      </w:r>
      <w:r w:rsidRPr="00B1737A">
        <w:rPr>
          <w:lang w:eastAsia="ja-JP"/>
        </w:rPr>
        <w:t xml:space="preserve">The </w:t>
      </w:r>
      <w:r>
        <w:rPr>
          <w:lang w:eastAsia="ja-JP"/>
        </w:rPr>
        <w:t xml:space="preserve">maximum number of pieces </w:t>
      </w:r>
      <w:r w:rsidRPr="00B1737A">
        <w:rPr>
          <w:lang w:eastAsia="ja-JP"/>
        </w:rPr>
        <w:t>is 8</w:t>
      </w:r>
      <w:r>
        <w:rPr>
          <w:lang w:eastAsia="ja-JP"/>
        </w:rPr>
        <w:t xml:space="preserve">. The use of </w:t>
      </w:r>
      <w:bookmarkStart w:id="7" w:name="OLE_LINK533"/>
      <w:bookmarkStart w:id="8" w:name="OLE_LINK534"/>
      <w:r>
        <w:rPr>
          <w:lang w:eastAsia="ja-JP"/>
        </w:rPr>
        <w:t>8 segments allows approximation of most “reasonable” curve</w:t>
      </w:r>
      <w:bookmarkEnd w:id="7"/>
      <w:bookmarkEnd w:id="8"/>
      <w:r>
        <w:rPr>
          <w:lang w:eastAsia="ja-JP"/>
        </w:rPr>
        <w:t>s, i.e., continuous, and bounded derivative. The 2</w:t>
      </w:r>
      <w:r w:rsidRPr="001A798B">
        <w:rPr>
          <w:vertAlign w:val="superscript"/>
          <w:lang w:eastAsia="ja-JP"/>
        </w:rPr>
        <w:t>nd</w:t>
      </w:r>
      <w:r>
        <w:rPr>
          <w:lang w:eastAsia="ja-JP"/>
        </w:rPr>
        <w:t xml:space="preserve"> order polynomial model is used to approximate complex, non-linear smooth curves efficiently without the need to use a large number of segments.  For less complex curves, the piecewise linear model with up to 8 pieces</w:t>
      </w:r>
      <w:r w:rsidDel="00FE7B4E">
        <w:rPr>
          <w:lang w:eastAsia="ja-JP"/>
        </w:rPr>
        <w:t xml:space="preserve"> </w:t>
      </w:r>
      <w:r>
        <w:rPr>
          <w:lang w:eastAsia="ja-JP"/>
        </w:rPr>
        <w:t xml:space="preserve">provides sufficient performance with reduced complexity. </w:t>
      </w:r>
    </w:p>
    <w:p w14:paraId="57C11786" w14:textId="77777777" w:rsidR="00DC34FC" w:rsidRDefault="00DC34FC" w:rsidP="00205E19">
      <w:pPr>
        <w:spacing w:after="120"/>
        <w:jc w:val="both"/>
        <w:rPr>
          <w:lang w:eastAsia="ja-JP"/>
        </w:rPr>
      </w:pPr>
      <w:r>
        <w:rPr>
          <w:lang w:eastAsia="ja-JP"/>
        </w:rPr>
        <w:lastRenderedPageBreak/>
        <w:t>For chroma, reshaper is based on piecewise linear model reshaper functions</w:t>
      </w:r>
      <w:r w:rsidRPr="00FE7B4E">
        <w:rPr>
          <w:lang w:eastAsia="ja-JP"/>
        </w:rPr>
        <w:t xml:space="preserve"> </w:t>
      </w:r>
      <w:r>
        <w:rPr>
          <w:lang w:eastAsia="ja-JP"/>
        </w:rPr>
        <w:t xml:space="preserve">with up to 32 pieces. The piecewise linear model is constructed from parameters which include number of utilized segments, a length of each segment and a scale value applied for each segment, and a global offset value. Chroma reshaper operates in two possible modes. </w:t>
      </w:r>
    </w:p>
    <w:p w14:paraId="25B056B5" w14:textId="03BFC525" w:rsidR="00DC34FC" w:rsidRPr="00560387" w:rsidRDefault="00DC34FC" w:rsidP="00205E19">
      <w:pPr>
        <w:pStyle w:val="ListParagraph"/>
        <w:numPr>
          <w:ilvl w:val="0"/>
          <w:numId w:val="46"/>
        </w:numPr>
        <w:spacing w:after="0"/>
        <w:contextualSpacing w:val="0"/>
        <w:jc w:val="both"/>
        <w:rPr>
          <w:rFonts w:ascii="Times New Roman" w:hAnsi="Times New Roman"/>
          <w:szCs w:val="24"/>
        </w:rPr>
      </w:pPr>
      <w:r w:rsidRPr="00560387">
        <w:rPr>
          <w:rFonts w:ascii="Times New Roman" w:hAnsi="Times New Roman"/>
          <w:szCs w:val="24"/>
        </w:rPr>
        <w:t>In mode 0</w:t>
      </w:r>
      <w:r w:rsidR="00560387">
        <w:rPr>
          <w:rFonts w:ascii="Times New Roman" w:hAnsi="Times New Roman"/>
          <w:szCs w:val="24"/>
        </w:rPr>
        <w:t xml:space="preserve"> (intra-plane reshaping)</w:t>
      </w:r>
      <w:r w:rsidRPr="00560387">
        <w:rPr>
          <w:rFonts w:ascii="Times New Roman" w:hAnsi="Times New Roman"/>
          <w:szCs w:val="24"/>
        </w:rPr>
        <w:t>, re</w:t>
      </w:r>
      <w:r w:rsidR="00560387">
        <w:rPr>
          <w:rFonts w:ascii="Times New Roman" w:hAnsi="Times New Roman"/>
          <w:szCs w:val="24"/>
        </w:rPr>
        <w:t xml:space="preserve">shaper </w:t>
      </w:r>
      <w:r w:rsidRPr="00560387">
        <w:rPr>
          <w:rFonts w:ascii="Times New Roman" w:hAnsi="Times New Roman"/>
          <w:szCs w:val="24"/>
        </w:rPr>
        <w:t xml:space="preserve">is applied independently to each chroma component using piece-wise linear functions. </w:t>
      </w:r>
    </w:p>
    <w:p w14:paraId="78FB2E39" w14:textId="59DE97E5" w:rsidR="00DC34FC" w:rsidRPr="00560387" w:rsidRDefault="00DC34FC" w:rsidP="00205E19">
      <w:pPr>
        <w:pStyle w:val="ListParagraph"/>
        <w:numPr>
          <w:ilvl w:val="0"/>
          <w:numId w:val="46"/>
        </w:numPr>
        <w:spacing w:after="0"/>
        <w:contextualSpacing w:val="0"/>
        <w:jc w:val="both"/>
        <w:rPr>
          <w:rFonts w:ascii="Times New Roman" w:hAnsi="Times New Roman"/>
          <w:szCs w:val="24"/>
        </w:rPr>
      </w:pPr>
      <w:r w:rsidRPr="00560387">
        <w:rPr>
          <w:rFonts w:ascii="Times New Roman" w:hAnsi="Times New Roman"/>
          <w:szCs w:val="24"/>
        </w:rPr>
        <w:t>In mode 1</w:t>
      </w:r>
      <w:r w:rsidR="00560387">
        <w:rPr>
          <w:rFonts w:ascii="Times New Roman" w:hAnsi="Times New Roman"/>
          <w:szCs w:val="24"/>
        </w:rPr>
        <w:t xml:space="preserve"> (cross-plane reshaping)</w:t>
      </w:r>
      <w:r w:rsidRPr="00560387">
        <w:rPr>
          <w:rFonts w:ascii="Times New Roman" w:hAnsi="Times New Roman"/>
          <w:szCs w:val="24"/>
        </w:rPr>
        <w:t xml:space="preserve">, reshaper is performed as </w:t>
      </w:r>
      <w:r w:rsidR="00205E19">
        <w:rPr>
          <w:rFonts w:ascii="Times New Roman" w:hAnsi="Times New Roman"/>
          <w:szCs w:val="24"/>
        </w:rPr>
        <w:t>c</w:t>
      </w:r>
      <w:r w:rsidRPr="00560387">
        <w:rPr>
          <w:rFonts w:ascii="Times New Roman" w:hAnsi="Times New Roman"/>
          <w:szCs w:val="24"/>
        </w:rPr>
        <w:t>ross-</w:t>
      </w:r>
      <w:r w:rsidR="00205E19">
        <w:rPr>
          <w:rFonts w:ascii="Times New Roman" w:hAnsi="Times New Roman"/>
          <w:szCs w:val="24"/>
        </w:rPr>
        <w:t>c</w:t>
      </w:r>
      <w:r w:rsidRPr="00560387">
        <w:rPr>
          <w:rFonts w:ascii="Times New Roman" w:hAnsi="Times New Roman"/>
          <w:szCs w:val="24"/>
        </w:rPr>
        <w:t xml:space="preserve">omponent </w:t>
      </w:r>
      <w:r w:rsidR="00205E19">
        <w:rPr>
          <w:rFonts w:ascii="Times New Roman" w:hAnsi="Times New Roman"/>
          <w:szCs w:val="24"/>
        </w:rPr>
        <w:t>scaling</w:t>
      </w:r>
      <w:r w:rsidRPr="00560387">
        <w:rPr>
          <w:rFonts w:ascii="Times New Roman" w:hAnsi="Times New Roman"/>
          <w:szCs w:val="24"/>
        </w:rPr>
        <w:t>, with a scaling factor applied to each chroma sample and being a function of the co-located luma sample. This scaling factor function is also modeled as a piece-wise linear function</w:t>
      </w:r>
      <w:r w:rsidR="00205E19">
        <w:rPr>
          <w:rFonts w:ascii="Times New Roman" w:hAnsi="Times New Roman"/>
          <w:szCs w:val="24"/>
        </w:rPr>
        <w:t>.</w:t>
      </w:r>
    </w:p>
    <w:p w14:paraId="6524B6F5" w14:textId="77777777" w:rsidR="00DC34FC" w:rsidRDefault="00DC34FC" w:rsidP="00205E19">
      <w:pPr>
        <w:jc w:val="both"/>
        <w:rPr>
          <w:lang w:eastAsia="ja-JP"/>
        </w:rPr>
      </w:pPr>
      <w:r>
        <w:rPr>
          <w:lang w:eastAsia="ja-JP"/>
        </w:rPr>
        <w:t>Parameters of the luma and chroma reshaper models are signaled in the PPS syntax and usually updated</w:t>
      </w:r>
      <w:r w:rsidRPr="00EB769E">
        <w:rPr>
          <w:lang w:eastAsia="ja-JP"/>
        </w:rPr>
        <w:t xml:space="preserve"> when there is a scene change or IRAP.</w:t>
      </w:r>
    </w:p>
    <w:p w14:paraId="4B760ECC" w14:textId="77777777" w:rsidR="00205E19" w:rsidRDefault="00205E19" w:rsidP="00205E19">
      <w:pPr>
        <w:jc w:val="both"/>
        <w:rPr>
          <w:lang w:eastAsia="ja-JP"/>
        </w:rPr>
      </w:pPr>
    </w:p>
    <w:p w14:paraId="4C8BC818" w14:textId="0CF40D7E" w:rsidR="00DC34FC" w:rsidRDefault="00205E19" w:rsidP="00205E19">
      <w:pPr>
        <w:pStyle w:val="Heading1"/>
        <w:tabs>
          <w:tab w:val="clear" w:pos="360"/>
          <w:tab w:val="clear" w:pos="720"/>
          <w:tab w:val="clear" w:pos="1080"/>
          <w:tab w:val="clear" w:pos="1440"/>
        </w:tabs>
        <w:spacing w:before="120" w:after="120" w:line="276" w:lineRule="auto"/>
        <w:ind w:left="360" w:hanging="360"/>
        <w:jc w:val="both"/>
      </w:pPr>
      <w:bookmarkStart w:id="9" w:name="_Ref429398195"/>
      <w:r>
        <w:t>HDR reconstruction</w:t>
      </w:r>
      <w:r w:rsidR="00DC34FC">
        <w:t xml:space="preserve"> process</w:t>
      </w:r>
    </w:p>
    <w:bookmarkEnd w:id="9"/>
    <w:p w14:paraId="29881A8F" w14:textId="17B9E9F3" w:rsidR="00DC34FC" w:rsidRDefault="00DC34FC" w:rsidP="00205E19">
      <w:pPr>
        <w:jc w:val="both"/>
      </w:pPr>
      <w:r>
        <w:fldChar w:fldCharType="begin"/>
      </w:r>
      <w:r>
        <w:instrText xml:space="preserve"> REF _Ref430706442 \h </w:instrText>
      </w:r>
      <w:r w:rsidR="00205E19">
        <w:instrText xml:space="preserve"> \* MERGEFORMAT </w:instrText>
      </w:r>
      <w:r>
        <w:fldChar w:fldCharType="separate"/>
      </w:r>
      <w:r w:rsidR="00205E19">
        <w:t xml:space="preserve">Figure </w:t>
      </w:r>
      <w:r w:rsidR="00205E19">
        <w:rPr>
          <w:noProof/>
        </w:rPr>
        <w:t>3</w:t>
      </w:r>
      <w:r>
        <w:fldChar w:fldCharType="end"/>
      </w:r>
      <w:r>
        <w:t xml:space="preserve"> provides an illustration of the HDR signal reconstruction process from the YCbCr 4:2:0 decoded samples. </w:t>
      </w:r>
    </w:p>
    <w:bookmarkStart w:id="10" w:name="OLE_LINK520"/>
    <w:bookmarkStart w:id="11" w:name="OLE_LINK521"/>
    <w:p w14:paraId="656FB19E" w14:textId="4D2FBCEB" w:rsidR="00DC34FC" w:rsidRDefault="002D1064" w:rsidP="00DC34FC">
      <w:pPr>
        <w:jc w:val="center"/>
        <w:rPr>
          <w:lang w:val="en-GB" w:eastAsia="ja-JP"/>
        </w:rPr>
      </w:pPr>
      <w:r>
        <w:rPr>
          <w:lang w:val="en-GB" w:eastAsia="ja-JP"/>
        </w:rPr>
        <w:object w:dxaOrig="5496" w:dyaOrig="1693" w14:anchorId="7CA4AFFD">
          <v:shape id="_x0000_i1027" type="#_x0000_t75" style="width:224.75pt;height:70.75pt" o:ole="">
            <v:imagedata r:id="rId19" o:title=""/>
          </v:shape>
          <o:OLEObject Type="Embed" ProgID="Visio.Drawing.11" ShapeID="_x0000_i1027" DrawAspect="Content" ObjectID="_1516564618" r:id="rId20"/>
        </w:object>
      </w:r>
      <w:bookmarkEnd w:id="10"/>
      <w:bookmarkEnd w:id="11"/>
    </w:p>
    <w:p w14:paraId="08FDFA28" w14:textId="77777777" w:rsidR="00DC34FC" w:rsidRDefault="00DC34FC" w:rsidP="00DC34FC">
      <w:pPr>
        <w:pStyle w:val="Caption"/>
        <w:rPr>
          <w:lang w:val="en-GB" w:eastAsia="ja-JP"/>
        </w:rPr>
      </w:pPr>
      <w:bookmarkStart w:id="12" w:name="_Ref430706442"/>
      <w:bookmarkStart w:id="13" w:name="OLE_LINK27"/>
      <w:bookmarkStart w:id="14" w:name="OLE_LINK28"/>
      <w:bookmarkStart w:id="15" w:name="OLE_LINK29"/>
      <w:r>
        <w:t xml:space="preserve">Figure </w:t>
      </w:r>
      <w:r w:rsidR="00812A16">
        <w:fldChar w:fldCharType="begin"/>
      </w:r>
      <w:r w:rsidR="00812A16">
        <w:instrText xml:space="preserve"> SEQ Figure \* ARABIC </w:instrText>
      </w:r>
      <w:r w:rsidR="00812A16">
        <w:fldChar w:fldCharType="separate"/>
      </w:r>
      <w:r w:rsidR="00205E19">
        <w:rPr>
          <w:noProof/>
        </w:rPr>
        <w:t>3</w:t>
      </w:r>
      <w:r w:rsidR="00812A16">
        <w:rPr>
          <w:noProof/>
        </w:rPr>
        <w:fldChar w:fldCharType="end"/>
      </w:r>
      <w:bookmarkEnd w:id="12"/>
      <w:r>
        <w:t>: overall architecture of the HDR reconstruction process.</w:t>
      </w:r>
    </w:p>
    <w:bookmarkEnd w:id="13"/>
    <w:bookmarkEnd w:id="14"/>
    <w:bookmarkEnd w:id="15"/>
    <w:p w14:paraId="12727865" w14:textId="77777777" w:rsidR="00DC34FC" w:rsidRDefault="00DC34FC" w:rsidP="00DC34FC">
      <w:pPr>
        <w:rPr>
          <w:noProof/>
        </w:rPr>
      </w:pPr>
    </w:p>
    <w:p w14:paraId="724F5466" w14:textId="77777777" w:rsidR="00205E19" w:rsidRDefault="00205E19" w:rsidP="00205E19">
      <w:pPr>
        <w:jc w:val="both"/>
        <w:rPr>
          <w:szCs w:val="22"/>
          <w:lang w:val="en-CA"/>
        </w:rPr>
      </w:pPr>
      <w:r>
        <w:rPr>
          <w:szCs w:val="22"/>
          <w:lang w:val="en-CA"/>
        </w:rPr>
        <w:t xml:space="preserve">The inverse reshaper for luma is based on a piece-wise polynomial (PWP) model, with 8 pieces. At the decoder side, a reconstructed luma sample </w:t>
      </w:r>
      <w:r>
        <w:rPr>
          <w:lang w:val="en-GB" w:eastAsia="ja-JP"/>
        </w:rPr>
        <w:t>Y</w:t>
      </w:r>
      <w:r w:rsidRPr="001D7E3B">
        <w:rPr>
          <w:vertAlign w:val="subscript"/>
          <w:lang w:val="en-GB" w:eastAsia="ja-JP"/>
        </w:rPr>
        <w:t>invr</w:t>
      </w:r>
      <w:r w:rsidRPr="001D7E3B">
        <w:rPr>
          <w:lang w:val="en-GB" w:eastAsia="ja-JP"/>
        </w:rPr>
        <w:t xml:space="preserve"> </w:t>
      </w:r>
      <w:r>
        <w:rPr>
          <w:szCs w:val="22"/>
          <w:lang w:val="en-CA"/>
        </w:rPr>
        <w:t xml:space="preserve">is derived using the following equation from the decoded luma sample </w:t>
      </w:r>
      <w:r>
        <w:rPr>
          <w:lang w:val="en-GB" w:eastAsia="ja-JP"/>
        </w:rPr>
        <w:t>Y</w:t>
      </w:r>
      <w:r w:rsidRPr="001D7E3B">
        <w:rPr>
          <w:vertAlign w:val="subscript"/>
          <w:lang w:val="en-GB" w:eastAsia="ja-JP"/>
        </w:rPr>
        <w:t>dec</w:t>
      </w:r>
      <w:r>
        <w:rPr>
          <w:szCs w:val="22"/>
          <w:lang w:val="en-CA"/>
        </w:rPr>
        <w:t>:</w:t>
      </w:r>
    </w:p>
    <w:p w14:paraId="6865D426" w14:textId="77777777" w:rsidR="00205E19" w:rsidRPr="00383287" w:rsidRDefault="00205E19" w:rsidP="00205E19">
      <w:pPr>
        <w:ind w:left="2880"/>
        <w:jc w:val="both"/>
        <w:rPr>
          <w:szCs w:val="22"/>
          <w:lang w:val="en-CA"/>
        </w:rPr>
      </w:pPr>
      <w:r w:rsidRPr="00383287">
        <w:rPr>
          <w:szCs w:val="22"/>
          <w:lang w:val="en-CA"/>
        </w:rPr>
        <w:t>Y</w:t>
      </w:r>
      <w:r w:rsidRPr="00383287">
        <w:rPr>
          <w:szCs w:val="22"/>
          <w:vertAlign w:val="subscript"/>
          <w:lang w:val="en-CA"/>
        </w:rPr>
        <w:t>invr</w:t>
      </w:r>
      <w:r w:rsidRPr="00383287">
        <w:rPr>
          <w:szCs w:val="22"/>
          <w:lang w:val="en-CA"/>
        </w:rPr>
        <w:t xml:space="preserve"> = a</w:t>
      </w:r>
      <w:r w:rsidRPr="00383287">
        <w:rPr>
          <w:szCs w:val="22"/>
          <w:vertAlign w:val="subscript"/>
          <w:lang w:val="en-CA"/>
        </w:rPr>
        <w:t>0j</w:t>
      </w:r>
      <w:r w:rsidRPr="00383287">
        <w:rPr>
          <w:szCs w:val="22"/>
          <w:lang w:val="en-CA"/>
        </w:rPr>
        <w:t xml:space="preserve"> + a</w:t>
      </w:r>
      <w:r w:rsidRPr="00383287">
        <w:rPr>
          <w:szCs w:val="22"/>
          <w:vertAlign w:val="subscript"/>
          <w:lang w:val="en-CA"/>
        </w:rPr>
        <w:t>1j</w:t>
      </w:r>
      <w:r w:rsidRPr="00383287">
        <w:rPr>
          <w:szCs w:val="22"/>
          <w:lang w:val="en-CA"/>
        </w:rPr>
        <w:t xml:space="preserve"> . Y</w:t>
      </w:r>
      <w:r w:rsidRPr="00383287">
        <w:rPr>
          <w:szCs w:val="22"/>
          <w:vertAlign w:val="subscript"/>
          <w:lang w:val="en-CA"/>
        </w:rPr>
        <w:t>dec</w:t>
      </w:r>
      <w:r w:rsidRPr="00383287">
        <w:rPr>
          <w:szCs w:val="22"/>
          <w:lang w:val="en-CA"/>
        </w:rPr>
        <w:t xml:space="preserve"> + a</w:t>
      </w:r>
      <w:r w:rsidRPr="00383287">
        <w:rPr>
          <w:szCs w:val="22"/>
          <w:vertAlign w:val="subscript"/>
          <w:lang w:val="en-CA"/>
        </w:rPr>
        <w:t>2j</w:t>
      </w:r>
      <w:r w:rsidRPr="00383287">
        <w:rPr>
          <w:szCs w:val="22"/>
          <w:lang w:val="en-CA"/>
        </w:rPr>
        <w:t xml:space="preserve"> . Y</w:t>
      </w:r>
      <w:r w:rsidRPr="00383287">
        <w:rPr>
          <w:szCs w:val="22"/>
          <w:vertAlign w:val="subscript"/>
          <w:lang w:val="en-CA"/>
        </w:rPr>
        <w:t>dec</w:t>
      </w:r>
      <w:r w:rsidRPr="00383287">
        <w:rPr>
          <w:szCs w:val="22"/>
          <w:vertAlign w:val="superscript"/>
          <w:lang w:val="en-CA"/>
        </w:rPr>
        <w:t>2</w:t>
      </w:r>
      <w:r w:rsidRPr="00383287">
        <w:rPr>
          <w:szCs w:val="22"/>
          <w:lang w:val="en-CA"/>
        </w:rPr>
        <w:tab/>
      </w:r>
      <w:r w:rsidRPr="00383287">
        <w:rPr>
          <w:szCs w:val="22"/>
          <w:lang w:val="en-CA"/>
        </w:rPr>
        <w:tab/>
      </w:r>
      <w:r>
        <w:rPr>
          <w:szCs w:val="22"/>
          <w:lang w:val="en-CA"/>
        </w:rPr>
        <w:tab/>
      </w:r>
      <w:r>
        <w:rPr>
          <w:szCs w:val="22"/>
          <w:lang w:val="en-CA"/>
        </w:rPr>
        <w:tab/>
      </w:r>
      <w:r w:rsidRPr="00383287">
        <w:rPr>
          <w:szCs w:val="22"/>
          <w:lang w:val="en-CA"/>
        </w:rPr>
        <w:tab/>
        <w:t xml:space="preserve">( </w:t>
      </w:r>
      <w:r w:rsidRPr="00383287">
        <w:rPr>
          <w:szCs w:val="22"/>
          <w:lang w:val="en-CA"/>
        </w:rPr>
        <w:fldChar w:fldCharType="begin"/>
      </w:r>
      <w:r w:rsidRPr="00383287">
        <w:rPr>
          <w:szCs w:val="22"/>
          <w:lang w:val="en-CA"/>
        </w:rPr>
        <w:instrText xml:space="preserve"> SEQ ( \* ARABIC </w:instrText>
      </w:r>
      <w:r w:rsidRPr="00383287">
        <w:rPr>
          <w:szCs w:val="22"/>
          <w:lang w:val="en-CA"/>
        </w:rPr>
        <w:fldChar w:fldCharType="separate"/>
      </w:r>
      <w:r>
        <w:rPr>
          <w:noProof/>
          <w:szCs w:val="22"/>
          <w:lang w:val="en-CA"/>
        </w:rPr>
        <w:t>1</w:t>
      </w:r>
      <w:r w:rsidRPr="00383287">
        <w:rPr>
          <w:szCs w:val="22"/>
          <w:lang w:val="en-CA"/>
        </w:rPr>
        <w:fldChar w:fldCharType="end"/>
      </w:r>
      <w:r w:rsidRPr="00383287">
        <w:rPr>
          <w:szCs w:val="22"/>
          <w:lang w:val="en-CA"/>
        </w:rPr>
        <w:t xml:space="preserve"> )</w:t>
      </w:r>
    </w:p>
    <w:p w14:paraId="2588A2D4" w14:textId="77777777" w:rsidR="00205E19" w:rsidRPr="001D7E3B" w:rsidRDefault="00205E19" w:rsidP="00205E19">
      <w:pPr>
        <w:jc w:val="both"/>
        <w:rPr>
          <w:lang w:val="en-GB" w:eastAsia="ja-JP"/>
        </w:rPr>
      </w:pPr>
      <w:r>
        <w:rPr>
          <w:lang w:val="en-GB" w:eastAsia="ja-JP"/>
        </w:rPr>
        <w:t>where j is the index of the piece-wise segment to which Y</w:t>
      </w:r>
      <w:r w:rsidRPr="004366CD">
        <w:rPr>
          <w:vertAlign w:val="subscript"/>
          <w:lang w:val="en-GB" w:eastAsia="ja-JP"/>
        </w:rPr>
        <w:t>dec</w:t>
      </w:r>
      <w:r>
        <w:rPr>
          <w:lang w:val="en-GB" w:eastAsia="ja-JP"/>
        </w:rPr>
        <w:t xml:space="preserve"> belongs, </w:t>
      </w:r>
      <w:r w:rsidRPr="007467AC">
        <w:rPr>
          <w:lang w:val="en-GB" w:eastAsia="ja-JP"/>
        </w:rPr>
        <w:t>and a</w:t>
      </w:r>
      <w:r w:rsidRPr="007467AC">
        <w:rPr>
          <w:vertAlign w:val="subscript"/>
          <w:lang w:val="en-GB" w:eastAsia="ja-JP"/>
        </w:rPr>
        <w:t>ij</w:t>
      </w:r>
      <w:r w:rsidRPr="007467AC">
        <w:rPr>
          <w:lang w:val="en-GB" w:eastAsia="ja-JP"/>
        </w:rPr>
        <w:t xml:space="preserve"> is </w:t>
      </w:r>
      <w:r>
        <w:rPr>
          <w:lang w:val="en-GB" w:eastAsia="ja-JP"/>
        </w:rPr>
        <w:t xml:space="preserve">the </w:t>
      </w:r>
      <w:r w:rsidRPr="007467AC">
        <w:rPr>
          <w:lang w:val="en-GB" w:eastAsia="ja-JP"/>
        </w:rPr>
        <w:t>it</w:t>
      </w:r>
      <w:r>
        <w:rPr>
          <w:lang w:val="en-GB" w:eastAsia="ja-JP"/>
        </w:rPr>
        <w:t>h-order polynomial coefficient for the j-th segment.</w:t>
      </w:r>
    </w:p>
    <w:p w14:paraId="05DB5D82" w14:textId="77777777" w:rsidR="00205E19" w:rsidRDefault="00205E19" w:rsidP="00205E19">
      <w:pPr>
        <w:jc w:val="both"/>
        <w:rPr>
          <w:lang w:eastAsia="ja-JP"/>
        </w:rPr>
      </w:pPr>
      <w:r>
        <w:rPr>
          <w:lang w:eastAsia="ja-JP"/>
        </w:rPr>
        <w:t>For chroma, the</w:t>
      </w:r>
      <w:r w:rsidRPr="001378B4">
        <w:rPr>
          <w:lang w:eastAsia="ja-JP"/>
        </w:rPr>
        <w:t xml:space="preserve"> </w:t>
      </w:r>
      <w:r>
        <w:rPr>
          <w:lang w:eastAsia="ja-JP"/>
        </w:rPr>
        <w:t>inverse reshaper</w:t>
      </w:r>
      <w:r w:rsidRPr="00E535CE">
        <w:rPr>
          <w:lang w:eastAsia="ja-JP"/>
        </w:rPr>
        <w:t xml:space="preserve"> </w:t>
      </w:r>
      <w:r>
        <w:rPr>
          <w:lang w:eastAsia="ja-JP"/>
        </w:rPr>
        <w:t>is</w:t>
      </w:r>
      <w:r w:rsidRPr="00E535CE">
        <w:rPr>
          <w:lang w:eastAsia="ja-JP"/>
        </w:rPr>
        <w:t xml:space="preserve"> </w:t>
      </w:r>
      <w:r>
        <w:rPr>
          <w:lang w:eastAsia="ja-JP"/>
        </w:rPr>
        <w:t>based on a piece-wise linear (PWL) model, with up to 32 pieces. Two methods are supported for inverse chroma reshaping.</w:t>
      </w:r>
    </w:p>
    <w:p w14:paraId="4B9F0A6F" w14:textId="77777777" w:rsidR="00205E19" w:rsidRPr="009902CD" w:rsidRDefault="00205E19" w:rsidP="00205E19">
      <w:pPr>
        <w:numPr>
          <w:ilvl w:val="0"/>
          <w:numId w:val="16"/>
        </w:numPr>
        <w:jc w:val="both"/>
        <w:rPr>
          <w:rFonts w:eastAsia="Malgun Gothic"/>
          <w:sz w:val="20"/>
          <w:lang w:val="en-GB"/>
        </w:rPr>
      </w:pPr>
      <w:r>
        <w:rPr>
          <w:lang w:eastAsia="ja-JP"/>
        </w:rPr>
        <w:t xml:space="preserve">For method 0 (auto-plane chroma reshaping), input sample value </w:t>
      </w:r>
      <w:r w:rsidRPr="009902CD">
        <w:rPr>
          <w:lang w:val="en-GB" w:eastAsia="ja-JP"/>
        </w:rPr>
        <w:t>C</w:t>
      </w:r>
      <w:r w:rsidRPr="009902CD">
        <w:rPr>
          <w:vertAlign w:val="subscript"/>
          <w:lang w:val="en-GB" w:eastAsia="ja-JP"/>
        </w:rPr>
        <w:t>dec</w:t>
      </w:r>
      <w:r>
        <w:rPr>
          <w:lang w:eastAsia="ja-JP"/>
        </w:rPr>
        <w:t xml:space="preserve"> is mapped to an output sample value </w:t>
      </w:r>
      <w:r w:rsidRPr="009902CD">
        <w:rPr>
          <w:lang w:val="en-GB" w:eastAsia="ja-JP"/>
        </w:rPr>
        <w:t>C</w:t>
      </w:r>
      <w:r w:rsidRPr="009902CD">
        <w:rPr>
          <w:vertAlign w:val="subscript"/>
          <w:lang w:val="en-GB" w:eastAsia="ja-JP"/>
        </w:rPr>
        <w:t xml:space="preserve">invr </w:t>
      </w:r>
      <w:r>
        <w:rPr>
          <w:lang w:eastAsia="ja-JP"/>
        </w:rPr>
        <w:t>as following</w:t>
      </w:r>
      <w:r w:rsidRPr="0073436B">
        <w:rPr>
          <w:lang w:eastAsia="ja-JP"/>
        </w:rPr>
        <w:t>:</w:t>
      </w:r>
    </w:p>
    <w:p w14:paraId="2F6025BB" w14:textId="77777777" w:rsidR="00205E19" w:rsidRPr="00012A04" w:rsidRDefault="00205E19" w:rsidP="00205E19">
      <w:pPr>
        <w:ind w:left="2880"/>
        <w:jc w:val="both"/>
        <w:rPr>
          <w:szCs w:val="22"/>
          <w:lang w:val="en-CA"/>
        </w:rPr>
      </w:pPr>
      <w:r w:rsidRPr="0073436B">
        <w:rPr>
          <w:lang w:val="en-GB" w:eastAsia="ja-JP"/>
        </w:rPr>
        <w:t>C</w:t>
      </w:r>
      <w:r w:rsidRPr="0073436B">
        <w:rPr>
          <w:vertAlign w:val="subscript"/>
          <w:lang w:val="en-GB" w:eastAsia="ja-JP"/>
        </w:rPr>
        <w:t>invr</w:t>
      </w:r>
      <w:r w:rsidRPr="0073436B">
        <w:rPr>
          <w:rFonts w:eastAsia="Malgun Gothic"/>
          <w:sz w:val="20"/>
          <w:lang w:val="en-GB"/>
        </w:rPr>
        <w:t xml:space="preserve"> = </w:t>
      </w:r>
      <w:r w:rsidRPr="0073436B">
        <w:rPr>
          <w:lang w:val="en-GB" w:eastAsia="ja-JP"/>
        </w:rPr>
        <w:t>C</w:t>
      </w:r>
      <w:r w:rsidRPr="0073436B">
        <w:rPr>
          <w:vertAlign w:val="subscript"/>
          <w:lang w:val="en-GB" w:eastAsia="ja-JP"/>
        </w:rPr>
        <w:t>dec</w:t>
      </w:r>
      <w:r w:rsidRPr="0073436B" w:rsidDel="002876EB">
        <w:rPr>
          <w:rFonts w:eastAsia="Malgun Gothic"/>
          <w:sz w:val="20"/>
          <w:lang w:val="en-GB"/>
        </w:rPr>
        <w:t xml:space="preserve"> </w:t>
      </w:r>
      <w:r w:rsidRPr="0073436B">
        <w:rPr>
          <w:rFonts w:eastAsia="Malgun Gothic"/>
          <w:sz w:val="20"/>
          <w:lang w:val="en-GB"/>
        </w:rPr>
        <w:t>* Scale[</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 + Offset[</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w:t>
      </w:r>
      <w:r w:rsidRPr="007A769D">
        <w:rPr>
          <w:szCs w:val="22"/>
          <w:lang w:val="en-CA"/>
        </w:rPr>
        <w:t xml:space="preserve"> </w:t>
      </w:r>
      <w:r w:rsidRPr="00012A04">
        <w:rPr>
          <w:szCs w:val="22"/>
          <w:lang w:val="en-CA"/>
        </w:rPr>
        <w:tab/>
      </w:r>
      <w:r w:rsidRPr="00012A04">
        <w:rPr>
          <w:szCs w:val="22"/>
          <w:lang w:val="en-CA"/>
        </w:rPr>
        <w:tab/>
      </w:r>
      <w:r>
        <w:rPr>
          <w:szCs w:val="22"/>
          <w:lang w:val="en-CA"/>
        </w:rPr>
        <w:tab/>
      </w:r>
      <w:r w:rsidRPr="00012A04">
        <w:rPr>
          <w:szCs w:val="22"/>
          <w:lang w:val="en-CA"/>
        </w:rPr>
        <w:tab/>
        <w:t xml:space="preserve">( </w:t>
      </w:r>
      <w:r w:rsidRPr="00012A04">
        <w:rPr>
          <w:szCs w:val="22"/>
          <w:lang w:val="en-CA"/>
        </w:rPr>
        <w:fldChar w:fldCharType="begin"/>
      </w:r>
      <w:r w:rsidRPr="00012A04">
        <w:rPr>
          <w:szCs w:val="22"/>
          <w:lang w:val="en-CA"/>
        </w:rPr>
        <w:instrText xml:space="preserve"> SEQ ( \* ARABIC </w:instrText>
      </w:r>
      <w:r w:rsidRPr="00012A04">
        <w:rPr>
          <w:szCs w:val="22"/>
          <w:lang w:val="en-CA"/>
        </w:rPr>
        <w:fldChar w:fldCharType="separate"/>
      </w:r>
      <w:r>
        <w:rPr>
          <w:noProof/>
          <w:szCs w:val="22"/>
          <w:lang w:val="en-CA"/>
        </w:rPr>
        <w:t>2</w:t>
      </w:r>
      <w:r w:rsidRPr="00012A04">
        <w:rPr>
          <w:szCs w:val="22"/>
          <w:lang w:val="en-CA"/>
        </w:rPr>
        <w:fldChar w:fldCharType="end"/>
      </w:r>
      <w:r w:rsidRPr="00012A04">
        <w:rPr>
          <w:szCs w:val="22"/>
          <w:lang w:val="en-CA"/>
        </w:rPr>
        <w:t xml:space="preserve"> )</w:t>
      </w:r>
    </w:p>
    <w:p w14:paraId="169455DF" w14:textId="77777777" w:rsidR="00205E19" w:rsidRPr="0073436B" w:rsidRDefault="00205E19" w:rsidP="00205E19">
      <w:pPr>
        <w:ind w:left="720"/>
        <w:jc w:val="both"/>
        <w:rPr>
          <w:rFonts w:eastAsia="Malgun Gothic"/>
          <w:sz w:val="20"/>
          <w:lang w:val="en-GB"/>
        </w:rPr>
      </w:pPr>
      <w:r>
        <w:rPr>
          <w:lang w:eastAsia="ja-JP"/>
        </w:rPr>
        <w:t xml:space="preserve">with i being the index of the piece-wise segment </w:t>
      </w:r>
      <w:r w:rsidRPr="0073436B">
        <w:rPr>
          <w:lang w:eastAsia="ja-JP"/>
        </w:rPr>
        <w:t xml:space="preserve">where </w:t>
      </w:r>
      <w:r w:rsidRPr="0073436B">
        <w:rPr>
          <w:lang w:val="en-GB" w:eastAsia="ja-JP"/>
        </w:rPr>
        <w:t>C</w:t>
      </w:r>
      <w:r w:rsidRPr="0073436B">
        <w:rPr>
          <w:vertAlign w:val="subscript"/>
          <w:lang w:val="en-GB" w:eastAsia="ja-JP"/>
        </w:rPr>
        <w:t>dec</w:t>
      </w:r>
      <w:r w:rsidRPr="0073436B">
        <w:rPr>
          <w:lang w:eastAsia="ja-JP"/>
        </w:rPr>
        <w:t xml:space="preserve"> belongs to</w:t>
      </w:r>
      <w:r>
        <w:rPr>
          <w:lang w:eastAsia="ja-JP"/>
        </w:rPr>
        <w:t xml:space="preserve">, </w:t>
      </w:r>
      <w:r w:rsidRPr="0073436B">
        <w:rPr>
          <w:lang w:eastAsia="ja-JP"/>
        </w:rPr>
        <w:t>Scale[i] and Offset[i]</w:t>
      </w:r>
      <w:r>
        <w:rPr>
          <w:lang w:eastAsia="ja-JP"/>
        </w:rPr>
        <w:t xml:space="preserve"> being the linear model parameters of the i-th segment</w:t>
      </w:r>
      <w:r w:rsidRPr="0073436B">
        <w:rPr>
          <w:lang w:eastAsia="ja-JP"/>
        </w:rPr>
        <w:t>.</w:t>
      </w:r>
    </w:p>
    <w:p w14:paraId="53AF04CE" w14:textId="77777777" w:rsidR="00205E19" w:rsidRPr="0073436B" w:rsidRDefault="00205E19" w:rsidP="00205E19">
      <w:pPr>
        <w:numPr>
          <w:ilvl w:val="0"/>
          <w:numId w:val="16"/>
        </w:numPr>
        <w:jc w:val="both"/>
        <w:rPr>
          <w:lang w:eastAsia="ja-JP"/>
        </w:rPr>
      </w:pPr>
      <w:r w:rsidRPr="0073436B">
        <w:rPr>
          <w:lang w:eastAsia="ja-JP"/>
        </w:rPr>
        <w:t xml:space="preserve">For </w:t>
      </w:r>
      <w:r>
        <w:rPr>
          <w:lang w:eastAsia="ja-JP"/>
        </w:rPr>
        <w:t xml:space="preserve">method </w:t>
      </w:r>
      <w:r w:rsidRPr="0073436B">
        <w:rPr>
          <w:lang w:eastAsia="ja-JP"/>
        </w:rPr>
        <w:t>1 (</w:t>
      </w:r>
      <w:r>
        <w:rPr>
          <w:lang w:eastAsia="ja-JP"/>
        </w:rPr>
        <w:t>cross-plane chroma reshaping</w:t>
      </w:r>
      <w:r w:rsidRPr="0073436B">
        <w:rPr>
          <w:lang w:eastAsia="ja-JP"/>
        </w:rPr>
        <w:t xml:space="preserve">), </w:t>
      </w:r>
      <w:r>
        <w:rPr>
          <w:lang w:eastAsia="ja-JP"/>
        </w:rPr>
        <w:t xml:space="preserve">input </w:t>
      </w:r>
      <w:r w:rsidRPr="0073436B">
        <w:rPr>
          <w:lang w:eastAsia="ja-JP"/>
        </w:rPr>
        <w:t xml:space="preserve">chroma sample </w:t>
      </w:r>
      <w:r w:rsidRPr="0073436B">
        <w:rPr>
          <w:lang w:val="en-GB" w:eastAsia="ja-JP"/>
        </w:rPr>
        <w:t>C</w:t>
      </w:r>
      <w:r w:rsidRPr="0073436B">
        <w:rPr>
          <w:vertAlign w:val="subscript"/>
          <w:lang w:val="en-GB" w:eastAsia="ja-JP"/>
        </w:rPr>
        <w:t>dec</w:t>
      </w:r>
      <w:r w:rsidRPr="0073436B">
        <w:rPr>
          <w:lang w:eastAsia="ja-JP"/>
        </w:rPr>
        <w:t xml:space="preserve"> is mapped to an output sample value </w:t>
      </w:r>
      <w:r w:rsidRPr="0073436B">
        <w:rPr>
          <w:lang w:val="en-GB" w:eastAsia="ja-JP"/>
        </w:rPr>
        <w:t>C</w:t>
      </w:r>
      <w:r w:rsidRPr="0073436B">
        <w:rPr>
          <w:vertAlign w:val="subscript"/>
          <w:lang w:val="en-GB" w:eastAsia="ja-JP"/>
        </w:rPr>
        <w:t>invr</w:t>
      </w:r>
      <w:r w:rsidRPr="0073436B">
        <w:rPr>
          <w:lang w:eastAsia="ja-JP"/>
        </w:rPr>
        <w:t xml:space="preserve"> </w:t>
      </w:r>
      <w:r>
        <w:rPr>
          <w:lang w:eastAsia="ja-JP"/>
        </w:rPr>
        <w:t xml:space="preserve">as following. A scaling factor sc dependent on </w:t>
      </w:r>
      <w:r w:rsidRPr="0073436B">
        <w:rPr>
          <w:lang w:eastAsia="ja-JP"/>
        </w:rPr>
        <w:t xml:space="preserve">the co-located luma sample </w:t>
      </w:r>
      <w:r w:rsidRPr="0073436B">
        <w:rPr>
          <w:lang w:val="en-GB" w:eastAsia="ja-JP"/>
        </w:rPr>
        <w:t>Y</w:t>
      </w:r>
      <w:r>
        <w:rPr>
          <w:vertAlign w:val="subscript"/>
          <w:lang w:val="en-GB" w:eastAsia="ja-JP"/>
        </w:rPr>
        <w:t>dn</w:t>
      </w:r>
      <w:r w:rsidRPr="0073436B">
        <w:rPr>
          <w:lang w:eastAsia="ja-JP"/>
        </w:rPr>
        <w:t xml:space="preserve"> </w:t>
      </w:r>
      <w:r>
        <w:rPr>
          <w:lang w:eastAsia="ja-JP"/>
        </w:rPr>
        <w:t>is derived as follows:</w:t>
      </w:r>
    </w:p>
    <w:p w14:paraId="7C5846E6" w14:textId="77777777" w:rsidR="00205E19" w:rsidRPr="00012A04" w:rsidRDefault="00205E19" w:rsidP="00205E19">
      <w:pPr>
        <w:ind w:left="2880"/>
        <w:jc w:val="both"/>
        <w:rPr>
          <w:szCs w:val="22"/>
          <w:lang w:val="en-CA"/>
        </w:rPr>
      </w:pPr>
      <w:r>
        <w:rPr>
          <w:lang w:val="en-GB" w:eastAsia="ja-JP"/>
        </w:rPr>
        <w:t>sc</w:t>
      </w:r>
      <w:r w:rsidRPr="0073436B">
        <w:rPr>
          <w:rFonts w:eastAsia="Malgun Gothic"/>
          <w:sz w:val="20"/>
          <w:lang w:val="en-GB"/>
        </w:rPr>
        <w:t xml:space="preserve"> =</w:t>
      </w:r>
      <w:r w:rsidRPr="0073436B">
        <w:rPr>
          <w:rFonts w:eastAsia="Malgun Gothic"/>
          <w:sz w:val="20"/>
        </w:rPr>
        <w:t> </w:t>
      </w:r>
      <w:r w:rsidRPr="0073436B">
        <w:rPr>
          <w:lang w:val="en-GB" w:eastAsia="ja-JP"/>
        </w:rPr>
        <w:t>Y</w:t>
      </w:r>
      <w:r>
        <w:rPr>
          <w:vertAlign w:val="subscript"/>
          <w:lang w:val="en-GB" w:eastAsia="ja-JP"/>
        </w:rPr>
        <w:t>dn</w:t>
      </w:r>
      <w:r w:rsidRPr="0073436B">
        <w:rPr>
          <w:rFonts w:eastAsia="Malgun Gothic"/>
          <w:sz w:val="20"/>
          <w:lang w:val="en-GB"/>
        </w:rPr>
        <w:t>* Scale[</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 + Offset[</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w:t>
      </w:r>
      <w:r w:rsidRPr="007A769D">
        <w:rPr>
          <w:szCs w:val="22"/>
          <w:lang w:val="en-CA"/>
        </w:rPr>
        <w:t xml:space="preserve"> </w:t>
      </w:r>
      <w:r w:rsidRPr="00012A04">
        <w:rPr>
          <w:szCs w:val="22"/>
          <w:lang w:val="en-CA"/>
        </w:rPr>
        <w:tab/>
      </w:r>
      <w:r>
        <w:rPr>
          <w:szCs w:val="22"/>
          <w:lang w:val="en-CA"/>
        </w:rPr>
        <w:tab/>
      </w:r>
      <w:r w:rsidRPr="00012A04">
        <w:rPr>
          <w:szCs w:val="22"/>
          <w:lang w:val="en-CA"/>
        </w:rPr>
        <w:tab/>
      </w:r>
      <w:r>
        <w:rPr>
          <w:szCs w:val="22"/>
          <w:lang w:val="en-CA"/>
        </w:rPr>
        <w:tab/>
      </w:r>
      <w:r w:rsidRPr="00012A04">
        <w:rPr>
          <w:szCs w:val="22"/>
          <w:lang w:val="en-CA"/>
        </w:rPr>
        <w:tab/>
        <w:t xml:space="preserve">( </w:t>
      </w:r>
      <w:r w:rsidRPr="00012A04">
        <w:rPr>
          <w:szCs w:val="22"/>
          <w:lang w:val="en-CA"/>
        </w:rPr>
        <w:fldChar w:fldCharType="begin"/>
      </w:r>
      <w:r w:rsidRPr="00012A04">
        <w:rPr>
          <w:szCs w:val="22"/>
          <w:lang w:val="en-CA"/>
        </w:rPr>
        <w:instrText xml:space="preserve"> SEQ ( \* ARABIC </w:instrText>
      </w:r>
      <w:r w:rsidRPr="00012A04">
        <w:rPr>
          <w:szCs w:val="22"/>
          <w:lang w:val="en-CA"/>
        </w:rPr>
        <w:fldChar w:fldCharType="separate"/>
      </w:r>
      <w:r>
        <w:rPr>
          <w:noProof/>
          <w:szCs w:val="22"/>
          <w:lang w:val="en-CA"/>
        </w:rPr>
        <w:t>3</w:t>
      </w:r>
      <w:r w:rsidRPr="00012A04">
        <w:rPr>
          <w:szCs w:val="22"/>
          <w:lang w:val="en-CA"/>
        </w:rPr>
        <w:fldChar w:fldCharType="end"/>
      </w:r>
      <w:r w:rsidRPr="00012A04">
        <w:rPr>
          <w:szCs w:val="22"/>
          <w:lang w:val="en-CA"/>
        </w:rPr>
        <w:t xml:space="preserve"> )</w:t>
      </w:r>
    </w:p>
    <w:p w14:paraId="61A4CD41" w14:textId="77777777" w:rsidR="00205E19" w:rsidRPr="0073436B" w:rsidRDefault="00205E19" w:rsidP="00205E19">
      <w:pPr>
        <w:ind w:left="720"/>
        <w:jc w:val="both"/>
        <w:rPr>
          <w:lang w:eastAsia="ja-JP"/>
        </w:rPr>
      </w:pPr>
      <w:r>
        <w:rPr>
          <w:lang w:eastAsia="ja-JP"/>
        </w:rPr>
        <w:t xml:space="preserve">with i being the index of the piece-wise segment </w:t>
      </w:r>
      <w:r w:rsidRPr="0073436B">
        <w:rPr>
          <w:lang w:eastAsia="ja-JP"/>
        </w:rPr>
        <w:t xml:space="preserve">where </w:t>
      </w:r>
      <w:r w:rsidRPr="0073436B">
        <w:rPr>
          <w:lang w:val="en-GB" w:eastAsia="ja-JP"/>
        </w:rPr>
        <w:t>Y</w:t>
      </w:r>
      <w:r>
        <w:rPr>
          <w:vertAlign w:val="subscript"/>
          <w:lang w:val="en-GB" w:eastAsia="ja-JP"/>
        </w:rPr>
        <w:t>dn</w:t>
      </w:r>
      <w:r w:rsidRPr="0073436B">
        <w:rPr>
          <w:lang w:eastAsia="ja-JP"/>
        </w:rPr>
        <w:t xml:space="preserve"> belongs to</w:t>
      </w:r>
      <w:r>
        <w:rPr>
          <w:lang w:eastAsia="ja-JP"/>
        </w:rPr>
        <w:t xml:space="preserve">, </w:t>
      </w:r>
      <w:r w:rsidRPr="0073436B">
        <w:rPr>
          <w:lang w:eastAsia="ja-JP"/>
        </w:rPr>
        <w:t>Scale[i] and Offset[i]</w:t>
      </w:r>
      <w:r>
        <w:rPr>
          <w:lang w:eastAsia="ja-JP"/>
        </w:rPr>
        <w:t xml:space="preserve"> being the linear model parameters of the i-th segment. Then </w:t>
      </w:r>
      <w:r w:rsidRPr="0073436B">
        <w:rPr>
          <w:lang w:val="en-GB" w:eastAsia="ja-JP"/>
        </w:rPr>
        <w:t>C</w:t>
      </w:r>
      <w:r w:rsidRPr="0073436B">
        <w:rPr>
          <w:vertAlign w:val="subscript"/>
          <w:lang w:val="en-GB" w:eastAsia="ja-JP"/>
        </w:rPr>
        <w:t>invr</w:t>
      </w:r>
      <w:r w:rsidRPr="0073436B">
        <w:rPr>
          <w:lang w:eastAsia="ja-JP"/>
        </w:rPr>
        <w:t xml:space="preserve"> is </w:t>
      </w:r>
      <w:r>
        <w:rPr>
          <w:lang w:eastAsia="ja-JP"/>
        </w:rPr>
        <w:t xml:space="preserve">obtained by scaling </w:t>
      </w:r>
      <w:r w:rsidRPr="0073436B">
        <w:rPr>
          <w:lang w:val="en-GB" w:eastAsia="ja-JP"/>
        </w:rPr>
        <w:t>C</w:t>
      </w:r>
      <w:r w:rsidRPr="0073436B">
        <w:rPr>
          <w:vertAlign w:val="subscript"/>
          <w:lang w:val="en-GB" w:eastAsia="ja-JP"/>
        </w:rPr>
        <w:t>dec</w:t>
      </w:r>
      <w:r w:rsidRPr="0073436B">
        <w:rPr>
          <w:lang w:eastAsia="ja-JP"/>
        </w:rPr>
        <w:t xml:space="preserve"> using the scaling factor s</w:t>
      </w:r>
      <w:r>
        <w:rPr>
          <w:lang w:eastAsia="ja-JP"/>
        </w:rPr>
        <w:t>c</w:t>
      </w:r>
      <w:r w:rsidRPr="0073436B">
        <w:rPr>
          <w:lang w:eastAsia="ja-JP"/>
        </w:rPr>
        <w:t>:</w:t>
      </w:r>
    </w:p>
    <w:p w14:paraId="0A631F71" w14:textId="0231D66C" w:rsidR="00205E19" w:rsidRPr="00012A04" w:rsidRDefault="00205E19" w:rsidP="00205E19">
      <w:pPr>
        <w:ind w:left="2880"/>
        <w:jc w:val="both"/>
        <w:rPr>
          <w:szCs w:val="22"/>
          <w:lang w:val="en-CA"/>
        </w:rPr>
      </w:pPr>
      <w:r w:rsidRPr="0073436B">
        <w:rPr>
          <w:lang w:val="en-GB" w:eastAsia="ja-JP"/>
        </w:rPr>
        <w:t>C</w:t>
      </w:r>
      <w:r w:rsidRPr="0073436B">
        <w:rPr>
          <w:vertAlign w:val="subscript"/>
          <w:lang w:val="en-GB" w:eastAsia="ja-JP"/>
        </w:rPr>
        <w:t>invr</w:t>
      </w:r>
      <w:r w:rsidRPr="0073436B">
        <w:rPr>
          <w:lang w:eastAsia="ja-JP"/>
        </w:rPr>
        <w:t xml:space="preserve"> = </w:t>
      </w:r>
      <w:r>
        <w:rPr>
          <w:lang w:eastAsia="ja-JP"/>
        </w:rPr>
        <w:t>offset</w:t>
      </w:r>
      <w:r w:rsidRPr="00E25D6A">
        <w:rPr>
          <w:vertAlign w:val="subscript"/>
          <w:lang w:eastAsia="ja-JP"/>
        </w:rPr>
        <w:t>1</w:t>
      </w:r>
      <w:r w:rsidRPr="0073436B">
        <w:rPr>
          <w:lang w:eastAsia="ja-JP"/>
        </w:rPr>
        <w:t xml:space="preserve"> + s</w:t>
      </w:r>
      <w:r>
        <w:rPr>
          <w:lang w:eastAsia="ja-JP"/>
        </w:rPr>
        <w:t>c</w:t>
      </w:r>
      <w:r w:rsidRPr="0073436B">
        <w:rPr>
          <w:lang w:eastAsia="ja-JP"/>
        </w:rPr>
        <w:t xml:space="preserve"> * (</w:t>
      </w:r>
      <w:r>
        <w:rPr>
          <w:lang w:eastAsia="ja-JP"/>
        </w:rPr>
        <w:t xml:space="preserve"> </w:t>
      </w:r>
      <w:r w:rsidRPr="0073436B">
        <w:rPr>
          <w:lang w:val="en-GB" w:eastAsia="ja-JP"/>
        </w:rPr>
        <w:t>C</w:t>
      </w:r>
      <w:r>
        <w:rPr>
          <w:vertAlign w:val="subscript"/>
          <w:lang w:val="en-GB" w:eastAsia="ja-JP"/>
        </w:rPr>
        <w:t>dec</w:t>
      </w:r>
      <w:r w:rsidRPr="0073436B">
        <w:rPr>
          <w:lang w:eastAsia="ja-JP"/>
        </w:rPr>
        <w:t xml:space="preserve"> – </w:t>
      </w:r>
      <w:r>
        <w:rPr>
          <w:lang w:eastAsia="ja-JP"/>
        </w:rPr>
        <w:t>offset</w:t>
      </w:r>
      <w:r w:rsidRPr="00E25D6A">
        <w:rPr>
          <w:vertAlign w:val="subscript"/>
          <w:lang w:eastAsia="ja-JP"/>
        </w:rPr>
        <w:t>2</w:t>
      </w:r>
      <w:r>
        <w:rPr>
          <w:lang w:eastAsia="ja-JP"/>
        </w:rPr>
        <w:t xml:space="preserve"> </w:t>
      </w:r>
      <w:r w:rsidRPr="0073436B">
        <w:rPr>
          <w:lang w:eastAsia="ja-JP"/>
        </w:rPr>
        <w:t>)</w:t>
      </w:r>
      <w:r>
        <w:rPr>
          <w:lang w:eastAsia="ja-JP"/>
        </w:rPr>
        <w:tab/>
      </w:r>
      <w:r w:rsidRPr="00012A04">
        <w:rPr>
          <w:szCs w:val="22"/>
          <w:lang w:val="en-CA"/>
        </w:rPr>
        <w:tab/>
      </w:r>
      <w:r w:rsidRPr="00012A04">
        <w:rPr>
          <w:szCs w:val="22"/>
          <w:lang w:val="en-CA"/>
        </w:rPr>
        <w:tab/>
      </w:r>
      <w:r w:rsidRPr="00012A04">
        <w:rPr>
          <w:szCs w:val="22"/>
          <w:lang w:val="en-CA"/>
        </w:rPr>
        <w:tab/>
        <w:t xml:space="preserve">( </w:t>
      </w:r>
      <w:r w:rsidRPr="00012A04">
        <w:rPr>
          <w:szCs w:val="22"/>
          <w:lang w:val="en-CA"/>
        </w:rPr>
        <w:fldChar w:fldCharType="begin"/>
      </w:r>
      <w:r w:rsidRPr="00012A04">
        <w:rPr>
          <w:szCs w:val="22"/>
          <w:lang w:val="en-CA"/>
        </w:rPr>
        <w:instrText xml:space="preserve"> SEQ ( \* ARABIC </w:instrText>
      </w:r>
      <w:r w:rsidRPr="00012A04">
        <w:rPr>
          <w:szCs w:val="22"/>
          <w:lang w:val="en-CA"/>
        </w:rPr>
        <w:fldChar w:fldCharType="separate"/>
      </w:r>
      <w:r>
        <w:rPr>
          <w:noProof/>
          <w:szCs w:val="22"/>
          <w:lang w:val="en-CA"/>
        </w:rPr>
        <w:t>4</w:t>
      </w:r>
      <w:r w:rsidRPr="00012A04">
        <w:rPr>
          <w:szCs w:val="22"/>
          <w:lang w:val="en-CA"/>
        </w:rPr>
        <w:fldChar w:fldCharType="end"/>
      </w:r>
      <w:r w:rsidRPr="00012A04">
        <w:rPr>
          <w:szCs w:val="22"/>
          <w:lang w:val="en-CA"/>
        </w:rPr>
        <w:t xml:space="preserve"> )</w:t>
      </w:r>
    </w:p>
    <w:p w14:paraId="44215917" w14:textId="77777777" w:rsidR="006C7C02" w:rsidRDefault="006C7C02" w:rsidP="006C7C02">
      <w:pPr>
        <w:keepNext/>
        <w:rPr>
          <w:lang w:eastAsia="ja-JP"/>
        </w:rPr>
      </w:pPr>
    </w:p>
    <w:p w14:paraId="5D5A21C9" w14:textId="77777777" w:rsidR="006C7C02" w:rsidRDefault="006C7C02" w:rsidP="006C7C02">
      <w:pPr>
        <w:pStyle w:val="Heading1"/>
        <w:rPr>
          <w:lang w:val="en-CA"/>
        </w:rPr>
      </w:pPr>
      <w:r>
        <w:rPr>
          <w:lang w:val="en-CA"/>
        </w:rPr>
        <w:t>Reference</w:t>
      </w:r>
      <w:r w:rsidRPr="005B217D">
        <w:rPr>
          <w:lang w:val="en-CA"/>
        </w:rPr>
        <w:t>s</w:t>
      </w:r>
    </w:p>
    <w:p w14:paraId="51F9B0BA" w14:textId="21EF66F8" w:rsidR="006C7C02" w:rsidRDefault="006C7C02" w:rsidP="006C7C02">
      <w:pPr>
        <w:numPr>
          <w:ilvl w:val="0"/>
          <w:numId w:val="41"/>
        </w:numPr>
        <w:tabs>
          <w:tab w:val="clear" w:pos="360"/>
          <w:tab w:val="clear" w:pos="720"/>
          <w:tab w:val="clear" w:pos="1080"/>
          <w:tab w:val="clear" w:pos="1440"/>
        </w:tabs>
        <w:jc w:val="both"/>
        <w:textAlignment w:val="auto"/>
        <w:rPr>
          <w:lang w:val="en-CA"/>
        </w:rPr>
      </w:pPr>
      <w:r w:rsidRPr="001B671F">
        <w:rPr>
          <w:lang w:val="en-CA"/>
        </w:rPr>
        <w:t>“</w:t>
      </w:r>
      <w:r w:rsidRPr="001B671F">
        <w:rPr>
          <w:szCs w:val="22"/>
          <w:lang w:val="en-CA"/>
        </w:rPr>
        <w:t>Description of the reshaper parameters derivation process in ETM reference software</w:t>
      </w:r>
      <w:r w:rsidRPr="001B671F">
        <w:rPr>
          <w:lang w:val="en-CA"/>
        </w:rPr>
        <w:t xml:space="preserve">,” </w:t>
      </w:r>
      <w:r w:rsidRPr="001B671F">
        <w:rPr>
          <w:szCs w:val="22"/>
          <w:lang w:val="en-CA"/>
        </w:rPr>
        <w:t>K. Minoo, T. Lu, P. Yin, L. Kerofsky, D. Rusanovskyy, E. François</w:t>
      </w:r>
      <w:r w:rsidRPr="001B671F">
        <w:rPr>
          <w:lang w:val="en-CA"/>
        </w:rPr>
        <w:t>, JCTVC-W0031/MPEG M37536, San Diego, USA</w:t>
      </w:r>
      <w:r>
        <w:rPr>
          <w:lang w:val="en-CA"/>
        </w:rPr>
        <w:t>, Feb.</w:t>
      </w:r>
      <w:r w:rsidRPr="001B671F">
        <w:rPr>
          <w:lang w:val="en-CA"/>
        </w:rPr>
        <w:t xml:space="preserve"> 2016.</w:t>
      </w:r>
      <w:r w:rsidRPr="00AC7F33">
        <w:rPr>
          <w:lang w:val="en-CA"/>
        </w:rPr>
        <w:tab/>
      </w:r>
    </w:p>
    <w:p w14:paraId="4E63950E" w14:textId="77777777" w:rsidR="006C7C02" w:rsidRDefault="006C7C02" w:rsidP="006C7C02">
      <w:pPr>
        <w:keepNext/>
        <w:rPr>
          <w:lang w:eastAsia="ja-JP"/>
        </w:rPr>
      </w:pPr>
    </w:p>
    <w:p w14:paraId="24BC60E0"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9DD261F" w14:textId="77777777" w:rsidR="00D6357B" w:rsidRPr="005B217D" w:rsidRDefault="00D6357B" w:rsidP="00D6357B">
      <w:pPr>
        <w:jc w:val="both"/>
        <w:rPr>
          <w:szCs w:val="22"/>
          <w:lang w:val="en-CA"/>
        </w:rPr>
      </w:pPr>
      <w:r>
        <w:rPr>
          <w:b/>
          <w:szCs w:val="22"/>
          <w:lang w:val="en-CA"/>
        </w:rPr>
        <w:t>Arris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40C6EAB" w14:textId="77777777" w:rsidR="00D6357B" w:rsidRPr="005B217D" w:rsidRDefault="00D6357B" w:rsidP="00D6357B">
      <w:pPr>
        <w:jc w:val="both"/>
        <w:rPr>
          <w:szCs w:val="22"/>
          <w:lang w:val="en-CA"/>
        </w:rPr>
      </w:pPr>
      <w:r>
        <w:rPr>
          <w:b/>
          <w:szCs w:val="22"/>
          <w:lang w:val="en-CA"/>
        </w:rPr>
        <w:t>Dolby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4BFE762E" w14:textId="77777777" w:rsidR="00D6357B" w:rsidRPr="005B217D" w:rsidRDefault="00D6357B" w:rsidP="00D6357B">
      <w:pPr>
        <w:jc w:val="both"/>
        <w:rPr>
          <w:szCs w:val="22"/>
          <w:lang w:val="en-CA"/>
        </w:rPr>
      </w:pPr>
      <w:r>
        <w:rPr>
          <w:b/>
          <w:szCs w:val="22"/>
          <w:lang w:val="en-CA"/>
        </w:rPr>
        <w:t>InterDigital</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C08974D" w14:textId="77777777" w:rsidR="00D6357B" w:rsidRPr="005B217D" w:rsidRDefault="00D6357B" w:rsidP="00D6357B">
      <w:pPr>
        <w:jc w:val="both"/>
        <w:rPr>
          <w:szCs w:val="22"/>
          <w:lang w:val="en-CA"/>
        </w:rPr>
      </w:pPr>
      <w:r>
        <w:rPr>
          <w:b/>
          <w:szCs w:val="22"/>
          <w:lang w:val="en-CA"/>
        </w:rPr>
        <w:t>Qualcomm</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0A167F2" w14:textId="77777777" w:rsidR="00D6357B" w:rsidRPr="005B217D" w:rsidRDefault="00D6357B" w:rsidP="00D6357B">
      <w:pPr>
        <w:jc w:val="both"/>
        <w:rPr>
          <w:szCs w:val="22"/>
          <w:lang w:val="en-CA"/>
        </w:rPr>
      </w:pPr>
      <w:r>
        <w:rPr>
          <w:b/>
          <w:szCs w:val="22"/>
          <w:lang w:val="en-CA"/>
        </w:rPr>
        <w:t>Technicolor</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B1D9C3B" w14:textId="77777777" w:rsidR="007F1F8B" w:rsidRPr="005B217D" w:rsidRDefault="007F1F8B" w:rsidP="009234A5">
      <w:pPr>
        <w:jc w:val="both"/>
        <w:rPr>
          <w:szCs w:val="22"/>
          <w:lang w:val="en-CA"/>
        </w:rPr>
      </w:pPr>
    </w:p>
    <w:sectPr w:rsidR="007F1F8B" w:rsidRPr="005B217D" w:rsidSect="00A01439">
      <w:headerReference w:type="even" r:id="rId21"/>
      <w:headerReference w:type="default" r:id="rId22"/>
      <w:footerReference w:type="even" r:id="rId23"/>
      <w:footerReference w:type="default" r:id="rId24"/>
      <w:headerReference w:type="first" r:id="rId25"/>
      <w:footerReference w:type="first" r:id="rId2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2FE57" w14:textId="77777777" w:rsidR="00812A16" w:rsidRDefault="00812A16">
      <w:r>
        <w:separator/>
      </w:r>
    </w:p>
  </w:endnote>
  <w:endnote w:type="continuationSeparator" w:id="0">
    <w:p w14:paraId="73F91AC5" w14:textId="77777777" w:rsidR="00812A16" w:rsidRDefault="00812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66EDD" w14:textId="77777777" w:rsidR="00DC34FC" w:rsidRDefault="00DC34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67D9D00D" w:rsidR="00DC34FC" w:rsidRDefault="00DC34F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F217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F2177">
      <w:rPr>
        <w:rStyle w:val="PageNumber"/>
        <w:noProof/>
      </w:rPr>
      <w:t>2016-02-09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8E557" w14:textId="77777777" w:rsidR="00DC34FC" w:rsidRDefault="00DC34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73D98" w14:textId="77777777" w:rsidR="00812A16" w:rsidRDefault="00812A16">
      <w:r>
        <w:separator/>
      </w:r>
    </w:p>
  </w:footnote>
  <w:footnote w:type="continuationSeparator" w:id="0">
    <w:p w14:paraId="744D8F2A" w14:textId="77777777" w:rsidR="00812A16" w:rsidRDefault="00812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70FD1" w14:textId="77777777" w:rsidR="00DC34FC" w:rsidRDefault="00DC34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D43E1" w14:textId="77777777" w:rsidR="00DC34FC" w:rsidRDefault="00DC34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05DFD" w14:textId="77777777" w:rsidR="00DC34FC" w:rsidRDefault="00DC34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12D7B"/>
    <w:multiLevelType w:val="hybridMultilevel"/>
    <w:tmpl w:val="07102D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D6FFC"/>
    <w:multiLevelType w:val="hybridMultilevel"/>
    <w:tmpl w:val="DA4E8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63FFA"/>
    <w:multiLevelType w:val="hybridMultilevel"/>
    <w:tmpl w:val="257EC6E6"/>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956489E"/>
    <w:multiLevelType w:val="hybridMultilevel"/>
    <w:tmpl w:val="883CC974"/>
    <w:lvl w:ilvl="0" w:tplc="1E6C9D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BFB58BA"/>
    <w:multiLevelType w:val="hybridMultilevel"/>
    <w:tmpl w:val="653AC25A"/>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583A0D"/>
    <w:multiLevelType w:val="hybridMultilevel"/>
    <w:tmpl w:val="94724B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DC314C"/>
    <w:multiLevelType w:val="multilevel"/>
    <w:tmpl w:val="331C32F2"/>
    <w:lvl w:ilvl="0">
      <w:start w:val="3"/>
      <w:numFmt w:val="decimal"/>
      <w:lvlText w:val="%1."/>
      <w:lvlJc w:val="left"/>
      <w:pPr>
        <w:ind w:left="72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0" w15:restartNumberingAfterBreak="0">
    <w:nsid w:val="11343066"/>
    <w:multiLevelType w:val="hybridMultilevel"/>
    <w:tmpl w:val="F99EBC4A"/>
    <w:lvl w:ilvl="0" w:tplc="023AA96A">
      <w:start w:val="1"/>
      <w:numFmt w:val="bullet"/>
      <w:lvlText w:val=""/>
      <w:lvlJc w:val="left"/>
      <w:pPr>
        <w:tabs>
          <w:tab w:val="num" w:pos="720"/>
        </w:tabs>
        <w:ind w:left="720" w:hanging="360"/>
      </w:pPr>
      <w:rPr>
        <w:rFonts w:ascii="Wingdings" w:hAnsi="Wingdings" w:hint="default"/>
      </w:rPr>
    </w:lvl>
    <w:lvl w:ilvl="1" w:tplc="CDBC28E8" w:tentative="1">
      <w:start w:val="1"/>
      <w:numFmt w:val="bullet"/>
      <w:lvlText w:val=""/>
      <w:lvlJc w:val="left"/>
      <w:pPr>
        <w:tabs>
          <w:tab w:val="num" w:pos="1440"/>
        </w:tabs>
        <w:ind w:left="1440" w:hanging="360"/>
      </w:pPr>
      <w:rPr>
        <w:rFonts w:ascii="Wingdings" w:hAnsi="Wingdings" w:hint="default"/>
      </w:rPr>
    </w:lvl>
    <w:lvl w:ilvl="2" w:tplc="9DB243E6">
      <w:start w:val="1"/>
      <w:numFmt w:val="bullet"/>
      <w:lvlText w:val=""/>
      <w:lvlJc w:val="left"/>
      <w:pPr>
        <w:tabs>
          <w:tab w:val="num" w:pos="2160"/>
        </w:tabs>
        <w:ind w:left="2160" w:hanging="360"/>
      </w:pPr>
      <w:rPr>
        <w:rFonts w:ascii="Wingdings" w:hAnsi="Wingdings" w:hint="default"/>
      </w:rPr>
    </w:lvl>
    <w:lvl w:ilvl="3" w:tplc="4BAA1A00" w:tentative="1">
      <w:start w:val="1"/>
      <w:numFmt w:val="bullet"/>
      <w:lvlText w:val=""/>
      <w:lvlJc w:val="left"/>
      <w:pPr>
        <w:tabs>
          <w:tab w:val="num" w:pos="2880"/>
        </w:tabs>
        <w:ind w:left="2880" w:hanging="360"/>
      </w:pPr>
      <w:rPr>
        <w:rFonts w:ascii="Wingdings" w:hAnsi="Wingdings" w:hint="default"/>
      </w:rPr>
    </w:lvl>
    <w:lvl w:ilvl="4" w:tplc="B720F5D4" w:tentative="1">
      <w:start w:val="1"/>
      <w:numFmt w:val="bullet"/>
      <w:lvlText w:val=""/>
      <w:lvlJc w:val="left"/>
      <w:pPr>
        <w:tabs>
          <w:tab w:val="num" w:pos="3600"/>
        </w:tabs>
        <w:ind w:left="3600" w:hanging="360"/>
      </w:pPr>
      <w:rPr>
        <w:rFonts w:ascii="Wingdings" w:hAnsi="Wingdings" w:hint="default"/>
      </w:rPr>
    </w:lvl>
    <w:lvl w:ilvl="5" w:tplc="7C94C1EC" w:tentative="1">
      <w:start w:val="1"/>
      <w:numFmt w:val="bullet"/>
      <w:lvlText w:val=""/>
      <w:lvlJc w:val="left"/>
      <w:pPr>
        <w:tabs>
          <w:tab w:val="num" w:pos="4320"/>
        </w:tabs>
        <w:ind w:left="4320" w:hanging="360"/>
      </w:pPr>
      <w:rPr>
        <w:rFonts w:ascii="Wingdings" w:hAnsi="Wingdings" w:hint="default"/>
      </w:rPr>
    </w:lvl>
    <w:lvl w:ilvl="6" w:tplc="F22892D2" w:tentative="1">
      <w:start w:val="1"/>
      <w:numFmt w:val="bullet"/>
      <w:lvlText w:val=""/>
      <w:lvlJc w:val="left"/>
      <w:pPr>
        <w:tabs>
          <w:tab w:val="num" w:pos="5040"/>
        </w:tabs>
        <w:ind w:left="5040" w:hanging="360"/>
      </w:pPr>
      <w:rPr>
        <w:rFonts w:ascii="Wingdings" w:hAnsi="Wingdings" w:hint="default"/>
      </w:rPr>
    </w:lvl>
    <w:lvl w:ilvl="7" w:tplc="0B08B4DA" w:tentative="1">
      <w:start w:val="1"/>
      <w:numFmt w:val="bullet"/>
      <w:lvlText w:val=""/>
      <w:lvlJc w:val="left"/>
      <w:pPr>
        <w:tabs>
          <w:tab w:val="num" w:pos="5760"/>
        </w:tabs>
        <w:ind w:left="5760" w:hanging="360"/>
      </w:pPr>
      <w:rPr>
        <w:rFonts w:ascii="Wingdings" w:hAnsi="Wingdings" w:hint="default"/>
      </w:rPr>
    </w:lvl>
    <w:lvl w:ilvl="8" w:tplc="9648E02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346AD6"/>
    <w:multiLevelType w:val="hybridMultilevel"/>
    <w:tmpl w:val="C32CF3EE"/>
    <w:lvl w:ilvl="0" w:tplc="992470B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86A4C3E"/>
    <w:multiLevelType w:val="hybridMultilevel"/>
    <w:tmpl w:val="70AC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EA5721"/>
    <w:multiLevelType w:val="hybridMultilevel"/>
    <w:tmpl w:val="B38C8E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7521E8"/>
    <w:multiLevelType w:val="hybridMultilevel"/>
    <w:tmpl w:val="0916F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F5820"/>
    <w:multiLevelType w:val="hybridMultilevel"/>
    <w:tmpl w:val="38B87B5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C820C8"/>
    <w:multiLevelType w:val="hybridMultilevel"/>
    <w:tmpl w:val="C0C4AA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6914DA6"/>
    <w:multiLevelType w:val="hybridMultilevel"/>
    <w:tmpl w:val="5A366346"/>
    <w:lvl w:ilvl="0" w:tplc="74787D6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7163B3A"/>
    <w:multiLevelType w:val="hybridMultilevel"/>
    <w:tmpl w:val="B136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B5358E"/>
    <w:multiLevelType w:val="hybridMultilevel"/>
    <w:tmpl w:val="F182C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6569D"/>
    <w:multiLevelType w:val="hybridMultilevel"/>
    <w:tmpl w:val="1D525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0D3934"/>
    <w:multiLevelType w:val="hybridMultilevel"/>
    <w:tmpl w:val="6C9E58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DE30D6"/>
    <w:multiLevelType w:val="hybridMultilevel"/>
    <w:tmpl w:val="0EB24460"/>
    <w:lvl w:ilvl="0" w:tplc="A94C472E">
      <w:start w:val="4"/>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670213"/>
    <w:multiLevelType w:val="hybridMultilevel"/>
    <w:tmpl w:val="6D3AE912"/>
    <w:lvl w:ilvl="0" w:tplc="F5E2A9CC">
      <w:start w:val="1"/>
      <w:numFmt w:val="bullet"/>
      <w:lvlText w:val="-"/>
      <w:lvlJc w:val="left"/>
      <w:pPr>
        <w:ind w:left="720" w:hanging="360"/>
      </w:pPr>
      <w:rPr>
        <w:rFonts w:ascii="Calibri" w:eastAsia="MS Mincho"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AF4194"/>
    <w:multiLevelType w:val="hybridMultilevel"/>
    <w:tmpl w:val="1D525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1B0AB1"/>
    <w:multiLevelType w:val="hybridMultilevel"/>
    <w:tmpl w:val="A2401482"/>
    <w:lvl w:ilvl="0" w:tplc="73A4DF76">
      <w:numFmt w:val="bullet"/>
      <w:lvlText w:val="-"/>
      <w:lvlJc w:val="left"/>
      <w:pPr>
        <w:ind w:left="1440" w:hanging="360"/>
      </w:pPr>
      <w:rPr>
        <w:rFonts w:ascii="Calibri" w:eastAsia="MS Mincho"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40D3443"/>
    <w:multiLevelType w:val="hybridMultilevel"/>
    <w:tmpl w:val="6CD498E4"/>
    <w:lvl w:ilvl="0" w:tplc="CFE08434">
      <w:start w:val="1"/>
      <w:numFmt w:val="bullet"/>
      <w:lvlText w:val=""/>
      <w:lvlJc w:val="left"/>
      <w:pPr>
        <w:tabs>
          <w:tab w:val="num" w:pos="720"/>
        </w:tabs>
        <w:ind w:left="720" w:hanging="360"/>
      </w:pPr>
      <w:rPr>
        <w:rFonts w:ascii="Wingdings" w:hAnsi="Wingdings" w:hint="default"/>
      </w:rPr>
    </w:lvl>
    <w:lvl w:ilvl="1" w:tplc="65583E80" w:tentative="1">
      <w:start w:val="1"/>
      <w:numFmt w:val="bullet"/>
      <w:lvlText w:val=""/>
      <w:lvlJc w:val="left"/>
      <w:pPr>
        <w:tabs>
          <w:tab w:val="num" w:pos="1440"/>
        </w:tabs>
        <w:ind w:left="1440" w:hanging="360"/>
      </w:pPr>
      <w:rPr>
        <w:rFonts w:ascii="Wingdings" w:hAnsi="Wingdings" w:hint="default"/>
      </w:rPr>
    </w:lvl>
    <w:lvl w:ilvl="2" w:tplc="28E8C492">
      <w:start w:val="1"/>
      <w:numFmt w:val="bullet"/>
      <w:lvlText w:val=""/>
      <w:lvlJc w:val="left"/>
      <w:pPr>
        <w:tabs>
          <w:tab w:val="num" w:pos="2160"/>
        </w:tabs>
        <w:ind w:left="2160" w:hanging="360"/>
      </w:pPr>
      <w:rPr>
        <w:rFonts w:ascii="Wingdings" w:hAnsi="Wingdings" w:hint="default"/>
      </w:rPr>
    </w:lvl>
    <w:lvl w:ilvl="3" w:tplc="CC7EAC5E" w:tentative="1">
      <w:start w:val="1"/>
      <w:numFmt w:val="bullet"/>
      <w:lvlText w:val=""/>
      <w:lvlJc w:val="left"/>
      <w:pPr>
        <w:tabs>
          <w:tab w:val="num" w:pos="2880"/>
        </w:tabs>
        <w:ind w:left="2880" w:hanging="360"/>
      </w:pPr>
      <w:rPr>
        <w:rFonts w:ascii="Wingdings" w:hAnsi="Wingdings" w:hint="default"/>
      </w:rPr>
    </w:lvl>
    <w:lvl w:ilvl="4" w:tplc="FFB2FFB8" w:tentative="1">
      <w:start w:val="1"/>
      <w:numFmt w:val="bullet"/>
      <w:lvlText w:val=""/>
      <w:lvlJc w:val="left"/>
      <w:pPr>
        <w:tabs>
          <w:tab w:val="num" w:pos="3600"/>
        </w:tabs>
        <w:ind w:left="3600" w:hanging="360"/>
      </w:pPr>
      <w:rPr>
        <w:rFonts w:ascii="Wingdings" w:hAnsi="Wingdings" w:hint="default"/>
      </w:rPr>
    </w:lvl>
    <w:lvl w:ilvl="5" w:tplc="D3F0465A" w:tentative="1">
      <w:start w:val="1"/>
      <w:numFmt w:val="bullet"/>
      <w:lvlText w:val=""/>
      <w:lvlJc w:val="left"/>
      <w:pPr>
        <w:tabs>
          <w:tab w:val="num" w:pos="4320"/>
        </w:tabs>
        <w:ind w:left="4320" w:hanging="360"/>
      </w:pPr>
      <w:rPr>
        <w:rFonts w:ascii="Wingdings" w:hAnsi="Wingdings" w:hint="default"/>
      </w:rPr>
    </w:lvl>
    <w:lvl w:ilvl="6" w:tplc="5FFA628C" w:tentative="1">
      <w:start w:val="1"/>
      <w:numFmt w:val="bullet"/>
      <w:lvlText w:val=""/>
      <w:lvlJc w:val="left"/>
      <w:pPr>
        <w:tabs>
          <w:tab w:val="num" w:pos="5040"/>
        </w:tabs>
        <w:ind w:left="5040" w:hanging="360"/>
      </w:pPr>
      <w:rPr>
        <w:rFonts w:ascii="Wingdings" w:hAnsi="Wingdings" w:hint="default"/>
      </w:rPr>
    </w:lvl>
    <w:lvl w:ilvl="7" w:tplc="15C0AE8C" w:tentative="1">
      <w:start w:val="1"/>
      <w:numFmt w:val="bullet"/>
      <w:lvlText w:val=""/>
      <w:lvlJc w:val="left"/>
      <w:pPr>
        <w:tabs>
          <w:tab w:val="num" w:pos="5760"/>
        </w:tabs>
        <w:ind w:left="5760" w:hanging="360"/>
      </w:pPr>
      <w:rPr>
        <w:rFonts w:ascii="Wingdings" w:hAnsi="Wingdings" w:hint="default"/>
      </w:rPr>
    </w:lvl>
    <w:lvl w:ilvl="8" w:tplc="E482CB1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2F1232"/>
    <w:multiLevelType w:val="hybridMultilevel"/>
    <w:tmpl w:val="7DA6C124"/>
    <w:lvl w:ilvl="0" w:tplc="D1DEB5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462D08"/>
    <w:multiLevelType w:val="hybridMultilevel"/>
    <w:tmpl w:val="D908B7E2"/>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D04069"/>
    <w:multiLevelType w:val="hybridMultilevel"/>
    <w:tmpl w:val="206668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26733C"/>
    <w:multiLevelType w:val="hybridMultilevel"/>
    <w:tmpl w:val="12164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9" w15:restartNumberingAfterBreak="0">
    <w:nsid w:val="6C8E4355"/>
    <w:multiLevelType w:val="hybridMultilevel"/>
    <w:tmpl w:val="44DE75B2"/>
    <w:lvl w:ilvl="0" w:tplc="F2400A30">
      <w:start w:val="1"/>
      <w:numFmt w:val="lowerLetter"/>
      <w:lvlText w:val="%1."/>
      <w:lvlJc w:val="left"/>
      <w:pPr>
        <w:ind w:left="684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8"/>
  </w:num>
  <w:num w:numId="3">
    <w:abstractNumId w:val="31"/>
  </w:num>
  <w:num w:numId="4">
    <w:abstractNumId w:val="29"/>
  </w:num>
  <w:num w:numId="5">
    <w:abstractNumId w:val="30"/>
  </w:num>
  <w:num w:numId="6">
    <w:abstractNumId w:val="18"/>
  </w:num>
  <w:num w:numId="7">
    <w:abstractNumId w:val="24"/>
  </w:num>
  <w:num w:numId="8">
    <w:abstractNumId w:val="18"/>
  </w:num>
  <w:num w:numId="9">
    <w:abstractNumId w:val="1"/>
  </w:num>
  <w:num w:numId="10">
    <w:abstractNumId w:val="17"/>
  </w:num>
  <w:num w:numId="11">
    <w:abstractNumId w:val="8"/>
  </w:num>
  <w:num w:numId="12">
    <w:abstractNumId w:val="16"/>
  </w:num>
  <w:num w:numId="13">
    <w:abstractNumId w:val="18"/>
  </w:num>
  <w:num w:numId="14">
    <w:abstractNumId w:val="18"/>
  </w:num>
  <w:num w:numId="15">
    <w:abstractNumId w:val="18"/>
  </w:num>
  <w:num w:numId="16">
    <w:abstractNumId w:val="21"/>
  </w:num>
  <w:num w:numId="17">
    <w:abstractNumId w:val="23"/>
  </w:num>
  <w:num w:numId="18">
    <w:abstractNumId w:val="12"/>
  </w:num>
  <w:num w:numId="19">
    <w:abstractNumId w:val="18"/>
  </w:num>
  <w:num w:numId="20">
    <w:abstractNumId w:val="34"/>
  </w:num>
  <w:num w:numId="21">
    <w:abstractNumId w:val="33"/>
  </w:num>
  <w:num w:numId="22">
    <w:abstractNumId w:val="10"/>
  </w:num>
  <w:num w:numId="23">
    <w:abstractNumId w:val="6"/>
  </w:num>
  <w:num w:numId="24">
    <w:abstractNumId w:val="32"/>
  </w:num>
  <w:num w:numId="25">
    <w:abstractNumId w:val="3"/>
  </w:num>
  <w:num w:numId="26">
    <w:abstractNumId w:val="2"/>
  </w:num>
  <w:num w:numId="27">
    <w:abstractNumId w:val="26"/>
  </w:num>
  <w:num w:numId="28">
    <w:abstractNumId w:val="20"/>
  </w:num>
  <w:num w:numId="29">
    <w:abstractNumId w:val="28"/>
  </w:num>
  <w:num w:numId="30">
    <w:abstractNumId w:val="9"/>
  </w:num>
  <w:num w:numId="31">
    <w:abstractNumId w:val="25"/>
  </w:num>
  <w:num w:numId="32">
    <w:abstractNumId w:val="15"/>
  </w:num>
  <w:num w:numId="33">
    <w:abstractNumId w:val="19"/>
  </w:num>
  <w:num w:numId="34">
    <w:abstractNumId w:val="39"/>
  </w:num>
  <w:num w:numId="35">
    <w:abstractNumId w:val="35"/>
  </w:num>
  <w:num w:numId="36">
    <w:abstractNumId w:val="11"/>
  </w:num>
  <w:num w:numId="37">
    <w:abstractNumId w:val="37"/>
  </w:num>
  <w:num w:numId="38">
    <w:abstractNumId w:val="6"/>
  </w:num>
  <w:num w:numId="39">
    <w:abstractNumId w:val="4"/>
  </w:num>
  <w:num w:numId="40">
    <w:abstractNumId w:val="36"/>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4"/>
  </w:num>
  <w:num w:numId="44">
    <w:abstractNumId w:val="27"/>
  </w:num>
  <w:num w:numId="45">
    <w:abstractNumId w:val="13"/>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185"/>
    <w:rsid w:val="00001441"/>
    <w:rsid w:val="00005756"/>
    <w:rsid w:val="0001469B"/>
    <w:rsid w:val="0002184B"/>
    <w:rsid w:val="0002300A"/>
    <w:rsid w:val="00027ADA"/>
    <w:rsid w:val="000308A3"/>
    <w:rsid w:val="0003189B"/>
    <w:rsid w:val="00043236"/>
    <w:rsid w:val="000445BD"/>
    <w:rsid w:val="000458BC"/>
    <w:rsid w:val="00045C41"/>
    <w:rsid w:val="00046C03"/>
    <w:rsid w:val="00057C84"/>
    <w:rsid w:val="00060A23"/>
    <w:rsid w:val="0006100F"/>
    <w:rsid w:val="00065039"/>
    <w:rsid w:val="0007614F"/>
    <w:rsid w:val="00077CAF"/>
    <w:rsid w:val="00086F84"/>
    <w:rsid w:val="000A0AD0"/>
    <w:rsid w:val="000A5C9E"/>
    <w:rsid w:val="000B07B9"/>
    <w:rsid w:val="000B0C0F"/>
    <w:rsid w:val="000B1C6B"/>
    <w:rsid w:val="000B4FF9"/>
    <w:rsid w:val="000B7EEB"/>
    <w:rsid w:val="000C09AC"/>
    <w:rsid w:val="000E00F3"/>
    <w:rsid w:val="000F158C"/>
    <w:rsid w:val="000F547B"/>
    <w:rsid w:val="00102F3D"/>
    <w:rsid w:val="0010397B"/>
    <w:rsid w:val="00107F89"/>
    <w:rsid w:val="00121DD6"/>
    <w:rsid w:val="00124E38"/>
    <w:rsid w:val="0012580B"/>
    <w:rsid w:val="00131F90"/>
    <w:rsid w:val="0013526E"/>
    <w:rsid w:val="001378B4"/>
    <w:rsid w:val="00146152"/>
    <w:rsid w:val="00156BC9"/>
    <w:rsid w:val="001620C8"/>
    <w:rsid w:val="00171371"/>
    <w:rsid w:val="00175A24"/>
    <w:rsid w:val="0018126B"/>
    <w:rsid w:val="00187E58"/>
    <w:rsid w:val="001A297E"/>
    <w:rsid w:val="001A368E"/>
    <w:rsid w:val="001A7329"/>
    <w:rsid w:val="001A792F"/>
    <w:rsid w:val="001A7CB6"/>
    <w:rsid w:val="001B2C92"/>
    <w:rsid w:val="001B436D"/>
    <w:rsid w:val="001B4E28"/>
    <w:rsid w:val="001C0153"/>
    <w:rsid w:val="001C1961"/>
    <w:rsid w:val="001C3525"/>
    <w:rsid w:val="001C3AFB"/>
    <w:rsid w:val="001C5734"/>
    <w:rsid w:val="001D1BD2"/>
    <w:rsid w:val="001D3C04"/>
    <w:rsid w:val="001E02BE"/>
    <w:rsid w:val="001E3B37"/>
    <w:rsid w:val="001E40C4"/>
    <w:rsid w:val="001F0D3B"/>
    <w:rsid w:val="001F2594"/>
    <w:rsid w:val="001F48EA"/>
    <w:rsid w:val="001F5D0C"/>
    <w:rsid w:val="001F7823"/>
    <w:rsid w:val="00203C31"/>
    <w:rsid w:val="00204EE2"/>
    <w:rsid w:val="002055A6"/>
    <w:rsid w:val="00205E19"/>
    <w:rsid w:val="00206460"/>
    <w:rsid w:val="002069B4"/>
    <w:rsid w:val="00212A31"/>
    <w:rsid w:val="0021309B"/>
    <w:rsid w:val="00215DFC"/>
    <w:rsid w:val="00217DA5"/>
    <w:rsid w:val="002212DF"/>
    <w:rsid w:val="00222CD4"/>
    <w:rsid w:val="00224E23"/>
    <w:rsid w:val="00225016"/>
    <w:rsid w:val="002264A6"/>
    <w:rsid w:val="00227BA7"/>
    <w:rsid w:val="0023011C"/>
    <w:rsid w:val="002375C1"/>
    <w:rsid w:val="00243D61"/>
    <w:rsid w:val="00243F58"/>
    <w:rsid w:val="00263398"/>
    <w:rsid w:val="00266F06"/>
    <w:rsid w:val="0027165F"/>
    <w:rsid w:val="002723BC"/>
    <w:rsid w:val="00273412"/>
    <w:rsid w:val="00275BCF"/>
    <w:rsid w:val="0028413D"/>
    <w:rsid w:val="00291E36"/>
    <w:rsid w:val="00292257"/>
    <w:rsid w:val="002929CC"/>
    <w:rsid w:val="002A54E0"/>
    <w:rsid w:val="002B1595"/>
    <w:rsid w:val="002B191D"/>
    <w:rsid w:val="002C17FE"/>
    <w:rsid w:val="002D0AF6"/>
    <w:rsid w:val="002D1064"/>
    <w:rsid w:val="002D2671"/>
    <w:rsid w:val="002D7BAE"/>
    <w:rsid w:val="002E52B8"/>
    <w:rsid w:val="002F164D"/>
    <w:rsid w:val="002F3D8E"/>
    <w:rsid w:val="00304BEA"/>
    <w:rsid w:val="00305429"/>
    <w:rsid w:val="00306206"/>
    <w:rsid w:val="003076B4"/>
    <w:rsid w:val="00314EA1"/>
    <w:rsid w:val="00315D97"/>
    <w:rsid w:val="00317658"/>
    <w:rsid w:val="00317D85"/>
    <w:rsid w:val="00327C56"/>
    <w:rsid w:val="0033117E"/>
    <w:rsid w:val="003315A1"/>
    <w:rsid w:val="00334C74"/>
    <w:rsid w:val="003373EC"/>
    <w:rsid w:val="00342FF4"/>
    <w:rsid w:val="00346148"/>
    <w:rsid w:val="003639FD"/>
    <w:rsid w:val="00363AB7"/>
    <w:rsid w:val="003669EA"/>
    <w:rsid w:val="003706CC"/>
    <w:rsid w:val="00377710"/>
    <w:rsid w:val="00377CF5"/>
    <w:rsid w:val="00383287"/>
    <w:rsid w:val="003A2D8E"/>
    <w:rsid w:val="003A33B6"/>
    <w:rsid w:val="003A593F"/>
    <w:rsid w:val="003A7CE6"/>
    <w:rsid w:val="003B1689"/>
    <w:rsid w:val="003B38BF"/>
    <w:rsid w:val="003C20E4"/>
    <w:rsid w:val="003D4722"/>
    <w:rsid w:val="003D6342"/>
    <w:rsid w:val="003E1B56"/>
    <w:rsid w:val="003E6F90"/>
    <w:rsid w:val="003F47C1"/>
    <w:rsid w:val="003F5D0F"/>
    <w:rsid w:val="004004BF"/>
    <w:rsid w:val="004064E7"/>
    <w:rsid w:val="00410C1F"/>
    <w:rsid w:val="00414101"/>
    <w:rsid w:val="004231C3"/>
    <w:rsid w:val="004234F0"/>
    <w:rsid w:val="0043337E"/>
    <w:rsid w:val="00433DDB"/>
    <w:rsid w:val="00437619"/>
    <w:rsid w:val="00443785"/>
    <w:rsid w:val="00447A29"/>
    <w:rsid w:val="00452E3B"/>
    <w:rsid w:val="00460682"/>
    <w:rsid w:val="004614A1"/>
    <w:rsid w:val="00465A1E"/>
    <w:rsid w:val="00481E36"/>
    <w:rsid w:val="004944E5"/>
    <w:rsid w:val="004A11E1"/>
    <w:rsid w:val="004A2A63"/>
    <w:rsid w:val="004A3C28"/>
    <w:rsid w:val="004B1EFF"/>
    <w:rsid w:val="004B210C"/>
    <w:rsid w:val="004C282A"/>
    <w:rsid w:val="004C5E1F"/>
    <w:rsid w:val="004C6135"/>
    <w:rsid w:val="004D405F"/>
    <w:rsid w:val="004D44AF"/>
    <w:rsid w:val="004E3794"/>
    <w:rsid w:val="004E4270"/>
    <w:rsid w:val="004E4F4A"/>
    <w:rsid w:val="004E4F4F"/>
    <w:rsid w:val="004E6789"/>
    <w:rsid w:val="004F1DE3"/>
    <w:rsid w:val="004F2018"/>
    <w:rsid w:val="004F5E71"/>
    <w:rsid w:val="004F61E3"/>
    <w:rsid w:val="00502E10"/>
    <w:rsid w:val="0051015C"/>
    <w:rsid w:val="00511CE4"/>
    <w:rsid w:val="00516CF1"/>
    <w:rsid w:val="00522869"/>
    <w:rsid w:val="00525041"/>
    <w:rsid w:val="00531AE9"/>
    <w:rsid w:val="005362E8"/>
    <w:rsid w:val="00550A66"/>
    <w:rsid w:val="005539E7"/>
    <w:rsid w:val="00560387"/>
    <w:rsid w:val="0056483D"/>
    <w:rsid w:val="00566FDD"/>
    <w:rsid w:val="00567EC7"/>
    <w:rsid w:val="00570013"/>
    <w:rsid w:val="00575687"/>
    <w:rsid w:val="005801A2"/>
    <w:rsid w:val="005910A0"/>
    <w:rsid w:val="005952A5"/>
    <w:rsid w:val="005A33A1"/>
    <w:rsid w:val="005A4D5D"/>
    <w:rsid w:val="005B217D"/>
    <w:rsid w:val="005B52CC"/>
    <w:rsid w:val="005B6656"/>
    <w:rsid w:val="005C385F"/>
    <w:rsid w:val="005C6EAD"/>
    <w:rsid w:val="005D61DC"/>
    <w:rsid w:val="005E1AC6"/>
    <w:rsid w:val="005F6F1B"/>
    <w:rsid w:val="00606283"/>
    <w:rsid w:val="00624B33"/>
    <w:rsid w:val="0063041A"/>
    <w:rsid w:val="00630AA2"/>
    <w:rsid w:val="00645FAA"/>
    <w:rsid w:val="00646707"/>
    <w:rsid w:val="00646FAD"/>
    <w:rsid w:val="00657F7E"/>
    <w:rsid w:val="00661AD4"/>
    <w:rsid w:val="00662E58"/>
    <w:rsid w:val="0066390D"/>
    <w:rsid w:val="00664DCF"/>
    <w:rsid w:val="006A0D85"/>
    <w:rsid w:val="006A771E"/>
    <w:rsid w:val="006B397E"/>
    <w:rsid w:val="006C2BF2"/>
    <w:rsid w:val="006C35E0"/>
    <w:rsid w:val="006C5D39"/>
    <w:rsid w:val="006C7C02"/>
    <w:rsid w:val="006D6D9B"/>
    <w:rsid w:val="006E2810"/>
    <w:rsid w:val="006E5417"/>
    <w:rsid w:val="006F1BDD"/>
    <w:rsid w:val="007023DE"/>
    <w:rsid w:val="00712F60"/>
    <w:rsid w:val="00720E3B"/>
    <w:rsid w:val="00730CDA"/>
    <w:rsid w:val="00731BB1"/>
    <w:rsid w:val="0074393F"/>
    <w:rsid w:val="00745F6B"/>
    <w:rsid w:val="0075585E"/>
    <w:rsid w:val="00760F01"/>
    <w:rsid w:val="0076647A"/>
    <w:rsid w:val="00770571"/>
    <w:rsid w:val="007768FF"/>
    <w:rsid w:val="007824D3"/>
    <w:rsid w:val="00787B3E"/>
    <w:rsid w:val="007920A4"/>
    <w:rsid w:val="00796EE3"/>
    <w:rsid w:val="007A2219"/>
    <w:rsid w:val="007A769D"/>
    <w:rsid w:val="007A7D29"/>
    <w:rsid w:val="007B257B"/>
    <w:rsid w:val="007B4AB8"/>
    <w:rsid w:val="007C0060"/>
    <w:rsid w:val="007D1181"/>
    <w:rsid w:val="007E01A3"/>
    <w:rsid w:val="007F1F8B"/>
    <w:rsid w:val="007F5354"/>
    <w:rsid w:val="007F67A1"/>
    <w:rsid w:val="00801D4E"/>
    <w:rsid w:val="008050C0"/>
    <w:rsid w:val="00807A7E"/>
    <w:rsid w:val="00810717"/>
    <w:rsid w:val="00811BE2"/>
    <w:rsid w:val="00811C05"/>
    <w:rsid w:val="00812A16"/>
    <w:rsid w:val="008206C8"/>
    <w:rsid w:val="00822AF9"/>
    <w:rsid w:val="00834A85"/>
    <w:rsid w:val="0084469C"/>
    <w:rsid w:val="00863810"/>
    <w:rsid w:val="0086387C"/>
    <w:rsid w:val="0086649C"/>
    <w:rsid w:val="00874A6C"/>
    <w:rsid w:val="00876C65"/>
    <w:rsid w:val="008A23B9"/>
    <w:rsid w:val="008A4B4C"/>
    <w:rsid w:val="008B4EC0"/>
    <w:rsid w:val="008C239F"/>
    <w:rsid w:val="008D5F3B"/>
    <w:rsid w:val="008D7860"/>
    <w:rsid w:val="008E480C"/>
    <w:rsid w:val="008F1ED9"/>
    <w:rsid w:val="009004E8"/>
    <w:rsid w:val="00907757"/>
    <w:rsid w:val="009104FF"/>
    <w:rsid w:val="009212B0"/>
    <w:rsid w:val="00921FA1"/>
    <w:rsid w:val="009234A5"/>
    <w:rsid w:val="009251A8"/>
    <w:rsid w:val="00933453"/>
    <w:rsid w:val="009336F7"/>
    <w:rsid w:val="0093403D"/>
    <w:rsid w:val="0093520F"/>
    <w:rsid w:val="0093636C"/>
    <w:rsid w:val="009374A7"/>
    <w:rsid w:val="00941B9C"/>
    <w:rsid w:val="00955F6D"/>
    <w:rsid w:val="009560F7"/>
    <w:rsid w:val="00963DE1"/>
    <w:rsid w:val="00964783"/>
    <w:rsid w:val="009700F4"/>
    <w:rsid w:val="00980DC7"/>
    <w:rsid w:val="0098196C"/>
    <w:rsid w:val="00984BA4"/>
    <w:rsid w:val="0098551D"/>
    <w:rsid w:val="00986FF8"/>
    <w:rsid w:val="0099518F"/>
    <w:rsid w:val="0099769F"/>
    <w:rsid w:val="009A0824"/>
    <w:rsid w:val="009A523D"/>
    <w:rsid w:val="009A583A"/>
    <w:rsid w:val="009B02A1"/>
    <w:rsid w:val="009D12C6"/>
    <w:rsid w:val="009F4015"/>
    <w:rsid w:val="009F496B"/>
    <w:rsid w:val="00A01439"/>
    <w:rsid w:val="00A02E61"/>
    <w:rsid w:val="00A05CFF"/>
    <w:rsid w:val="00A07879"/>
    <w:rsid w:val="00A10819"/>
    <w:rsid w:val="00A13048"/>
    <w:rsid w:val="00A3281F"/>
    <w:rsid w:val="00A46843"/>
    <w:rsid w:val="00A526EC"/>
    <w:rsid w:val="00A52B5C"/>
    <w:rsid w:val="00A56B97"/>
    <w:rsid w:val="00A6093D"/>
    <w:rsid w:val="00A61B0B"/>
    <w:rsid w:val="00A767DC"/>
    <w:rsid w:val="00A76A6D"/>
    <w:rsid w:val="00A83253"/>
    <w:rsid w:val="00A94B10"/>
    <w:rsid w:val="00AA3B83"/>
    <w:rsid w:val="00AA6E84"/>
    <w:rsid w:val="00AB4F01"/>
    <w:rsid w:val="00AD05A8"/>
    <w:rsid w:val="00AE341B"/>
    <w:rsid w:val="00AE38A5"/>
    <w:rsid w:val="00AF5676"/>
    <w:rsid w:val="00B04227"/>
    <w:rsid w:val="00B04776"/>
    <w:rsid w:val="00B07CA7"/>
    <w:rsid w:val="00B1279A"/>
    <w:rsid w:val="00B301AC"/>
    <w:rsid w:val="00B4194A"/>
    <w:rsid w:val="00B5222E"/>
    <w:rsid w:val="00B53179"/>
    <w:rsid w:val="00B600CD"/>
    <w:rsid w:val="00B61C96"/>
    <w:rsid w:val="00B73A2A"/>
    <w:rsid w:val="00B94B06"/>
    <w:rsid w:val="00B94C28"/>
    <w:rsid w:val="00BB3B8A"/>
    <w:rsid w:val="00BB742C"/>
    <w:rsid w:val="00BC10BA"/>
    <w:rsid w:val="00BC4F6E"/>
    <w:rsid w:val="00BC5AFD"/>
    <w:rsid w:val="00BD01CA"/>
    <w:rsid w:val="00BE5E1A"/>
    <w:rsid w:val="00BF0098"/>
    <w:rsid w:val="00BF5E54"/>
    <w:rsid w:val="00C04F43"/>
    <w:rsid w:val="00C0609D"/>
    <w:rsid w:val="00C106AF"/>
    <w:rsid w:val="00C115AB"/>
    <w:rsid w:val="00C11925"/>
    <w:rsid w:val="00C11F3E"/>
    <w:rsid w:val="00C133DF"/>
    <w:rsid w:val="00C26CCB"/>
    <w:rsid w:val="00C30249"/>
    <w:rsid w:val="00C3307C"/>
    <w:rsid w:val="00C3723B"/>
    <w:rsid w:val="00C405A5"/>
    <w:rsid w:val="00C42466"/>
    <w:rsid w:val="00C436B3"/>
    <w:rsid w:val="00C606C9"/>
    <w:rsid w:val="00C6559E"/>
    <w:rsid w:val="00C67519"/>
    <w:rsid w:val="00C7060E"/>
    <w:rsid w:val="00C74B24"/>
    <w:rsid w:val="00C80288"/>
    <w:rsid w:val="00C84003"/>
    <w:rsid w:val="00C841B0"/>
    <w:rsid w:val="00C90650"/>
    <w:rsid w:val="00C91CFE"/>
    <w:rsid w:val="00C97D78"/>
    <w:rsid w:val="00CB4399"/>
    <w:rsid w:val="00CC2AAE"/>
    <w:rsid w:val="00CC57B2"/>
    <w:rsid w:val="00CC5A42"/>
    <w:rsid w:val="00CD0EAB"/>
    <w:rsid w:val="00CE587F"/>
    <w:rsid w:val="00CE5E02"/>
    <w:rsid w:val="00CE79AC"/>
    <w:rsid w:val="00CF34DB"/>
    <w:rsid w:val="00CF558F"/>
    <w:rsid w:val="00D010C0"/>
    <w:rsid w:val="00D073E2"/>
    <w:rsid w:val="00D41694"/>
    <w:rsid w:val="00D446EC"/>
    <w:rsid w:val="00D501D6"/>
    <w:rsid w:val="00D51BF0"/>
    <w:rsid w:val="00D55942"/>
    <w:rsid w:val="00D5763B"/>
    <w:rsid w:val="00D57BDF"/>
    <w:rsid w:val="00D60905"/>
    <w:rsid w:val="00D6357B"/>
    <w:rsid w:val="00D72107"/>
    <w:rsid w:val="00D729DC"/>
    <w:rsid w:val="00D72CB6"/>
    <w:rsid w:val="00D807BF"/>
    <w:rsid w:val="00D81279"/>
    <w:rsid w:val="00D82FCC"/>
    <w:rsid w:val="00D92CED"/>
    <w:rsid w:val="00D97827"/>
    <w:rsid w:val="00DA17FC"/>
    <w:rsid w:val="00DA593A"/>
    <w:rsid w:val="00DA670E"/>
    <w:rsid w:val="00DA7887"/>
    <w:rsid w:val="00DB0ED9"/>
    <w:rsid w:val="00DB2C26"/>
    <w:rsid w:val="00DC1A7C"/>
    <w:rsid w:val="00DC34FC"/>
    <w:rsid w:val="00DC5A8B"/>
    <w:rsid w:val="00DD02F4"/>
    <w:rsid w:val="00DD4A08"/>
    <w:rsid w:val="00DE6B43"/>
    <w:rsid w:val="00E0134F"/>
    <w:rsid w:val="00E04D65"/>
    <w:rsid w:val="00E11923"/>
    <w:rsid w:val="00E14D57"/>
    <w:rsid w:val="00E165EA"/>
    <w:rsid w:val="00E20D66"/>
    <w:rsid w:val="00E22DA6"/>
    <w:rsid w:val="00E262D4"/>
    <w:rsid w:val="00E33F90"/>
    <w:rsid w:val="00E36250"/>
    <w:rsid w:val="00E47F81"/>
    <w:rsid w:val="00E54511"/>
    <w:rsid w:val="00E61DAC"/>
    <w:rsid w:val="00E72B80"/>
    <w:rsid w:val="00E75FE3"/>
    <w:rsid w:val="00E86C4C"/>
    <w:rsid w:val="00E87DBC"/>
    <w:rsid w:val="00E907A3"/>
    <w:rsid w:val="00EA54C5"/>
    <w:rsid w:val="00EA5AE0"/>
    <w:rsid w:val="00EB7AB1"/>
    <w:rsid w:val="00EC67E5"/>
    <w:rsid w:val="00EE427E"/>
    <w:rsid w:val="00EE7CD8"/>
    <w:rsid w:val="00EF48CC"/>
    <w:rsid w:val="00F00801"/>
    <w:rsid w:val="00F155B5"/>
    <w:rsid w:val="00F319E3"/>
    <w:rsid w:val="00F37031"/>
    <w:rsid w:val="00F63F27"/>
    <w:rsid w:val="00F6493F"/>
    <w:rsid w:val="00F72F84"/>
    <w:rsid w:val="00F73032"/>
    <w:rsid w:val="00F848FC"/>
    <w:rsid w:val="00F85597"/>
    <w:rsid w:val="00F9282A"/>
    <w:rsid w:val="00F96BAD"/>
    <w:rsid w:val="00FA139D"/>
    <w:rsid w:val="00FA1AA8"/>
    <w:rsid w:val="00FA5828"/>
    <w:rsid w:val="00FB0E84"/>
    <w:rsid w:val="00FB255D"/>
    <w:rsid w:val="00FC1861"/>
    <w:rsid w:val="00FC587E"/>
    <w:rsid w:val="00FD01C2"/>
    <w:rsid w:val="00FE595C"/>
    <w:rsid w:val="00FE6358"/>
    <w:rsid w:val="00FF0CE3"/>
    <w:rsid w:val="00FF2177"/>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46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rsid w:val="00964783"/>
    <w:rPr>
      <w:sz w:val="20"/>
    </w:rPr>
  </w:style>
  <w:style w:type="character" w:customStyle="1" w:styleId="CommentTextChar">
    <w:name w:val="Comment Text Char"/>
    <w:link w:val="CommentText"/>
    <w:rsid w:val="00964783"/>
    <w:rPr>
      <w:lang w:eastAsia="en-US"/>
    </w:rPr>
  </w:style>
  <w:style w:type="paragraph" w:styleId="CommentSubject">
    <w:name w:val="annotation subject"/>
    <w:basedOn w:val="CommentText"/>
    <w:next w:val="CommentText"/>
    <w:link w:val="CommentSubjectChar"/>
    <w:rsid w:val="00964783"/>
    <w:rPr>
      <w:b/>
      <w:bCs/>
    </w:rPr>
  </w:style>
  <w:style w:type="character" w:customStyle="1" w:styleId="CommentSubjectChar">
    <w:name w:val="Comment Subject Char"/>
    <w:link w:val="CommentSubject"/>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rsid w:val="006C7C02"/>
    <w:rPr>
      <w:rFonts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220938300">
      <w:bodyDiv w:val="1"/>
      <w:marLeft w:val="0"/>
      <w:marRight w:val="0"/>
      <w:marTop w:val="0"/>
      <w:marBottom w:val="0"/>
      <w:divBdr>
        <w:top w:val="none" w:sz="0" w:space="0" w:color="auto"/>
        <w:left w:val="none" w:sz="0" w:space="0" w:color="auto"/>
        <w:bottom w:val="none" w:sz="0" w:space="0" w:color="auto"/>
        <w:right w:val="none" w:sz="0" w:space="0" w:color="auto"/>
      </w:divBdr>
    </w:div>
    <w:div w:id="156436382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mytror@qti.qualcomm.com" TargetMode="External"/><Relationship Id="rId18" Type="http://schemas.openxmlformats.org/officeDocument/2006/relationships/oleObject" Target="embeddings/oleObject2.bin"/><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Louis.Kerofsky@interdigital.com" TargetMode="External"/><Relationship Id="rId17" Type="http://schemas.openxmlformats.org/officeDocument/2006/relationships/image" Target="media/image4.emf"/><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lu@dolby.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Koohyar.Minoo@arris.com"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edouard.francois@technicolor.co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67A9E-EA9F-4D1D-8FAB-DECCF79C2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1579</Words>
  <Characters>9005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LinksUpToDate>false</LinksUpToDate>
  <CharactersWithSpaces>10563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
  <cp:keywords>JCT-VC, MPEG, VCEG</cp:keywords>
  <cp:lastModifiedBy/>
  <cp:revision>1</cp:revision>
  <dcterms:created xsi:type="dcterms:W3CDTF">2016-02-09T21:46:00Z</dcterms:created>
  <dcterms:modified xsi:type="dcterms:W3CDTF">2016-02-09T22:11:00Z</dcterms:modified>
</cp:coreProperties>
</file>