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930A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3948CC1B" w:rsidR="008A4B4C" w:rsidRPr="005B217D" w:rsidRDefault="00E61DAC" w:rsidP="00A2004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C50DDF">
              <w:rPr>
                <w:lang w:val="en-CA"/>
              </w:rPr>
              <w:t>0088</w:t>
            </w:r>
            <w:bookmarkStart w:id="0" w:name="_GoBack"/>
            <w:r w:rsidR="00A20041" w:rsidRPr="00844F19">
              <w:rPr>
                <w:lang w:val="en-CA"/>
              </w:rPr>
              <w:t xml:space="preserve"> </w:t>
            </w:r>
            <w:r w:rsidR="00CC0EBB" w:rsidRPr="00844F19">
              <w:rPr>
                <w:lang w:val="en-CA"/>
              </w:rPr>
              <w:t>/</w:t>
            </w:r>
            <w:r w:rsidR="00A20041" w:rsidRPr="00844F19">
              <w:rPr>
                <w:lang w:val="en-CA"/>
              </w:rPr>
              <w:t xml:space="preserve"> </w:t>
            </w:r>
            <w:bookmarkEnd w:id="0"/>
            <w:r w:rsidR="00CC0EBB">
              <w:rPr>
                <w:u w:val="single"/>
                <w:lang w:val="en-CA"/>
              </w:rPr>
              <w:t>m37</w:t>
            </w:r>
            <w:r w:rsidR="00A20041">
              <w:rPr>
                <w:u w:val="single"/>
                <w:lang w:val="en-CA"/>
              </w:rPr>
              <w:t>727</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4E5E59">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036CD292" w:rsidR="00E61DAC" w:rsidRPr="00DC5A8B" w:rsidRDefault="00BE795E" w:rsidP="004E5E59">
            <w:pPr>
              <w:spacing w:before="60" w:after="60"/>
              <w:rPr>
                <w:b/>
                <w:szCs w:val="22"/>
                <w:lang w:val="en-CA"/>
              </w:rPr>
            </w:pPr>
            <w:r w:rsidRPr="00BE795E">
              <w:rPr>
                <w:b/>
                <w:szCs w:val="22"/>
                <w:lang w:val="en-CA"/>
              </w:rPr>
              <w:t>SDR backward compatibility requirements for HEVC HDR extension</w:t>
            </w:r>
          </w:p>
        </w:tc>
      </w:tr>
      <w:tr w:rsidR="00E61DAC" w:rsidRPr="005B217D" w14:paraId="18025C5A" w14:textId="77777777" w:rsidTr="004E5E59">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4E5E59">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00D6E21E" w:rsidR="00E61DAC" w:rsidRPr="005B217D" w:rsidRDefault="00BE795E" w:rsidP="004E5E59">
            <w:pPr>
              <w:spacing w:before="60" w:after="60"/>
              <w:rPr>
                <w:szCs w:val="22"/>
                <w:lang w:val="en-CA"/>
              </w:rPr>
            </w:pPr>
            <w:r>
              <w:rPr>
                <w:szCs w:val="22"/>
                <w:lang w:val="en-CA"/>
              </w:rPr>
              <w:t>Information</w:t>
            </w:r>
          </w:p>
        </w:tc>
      </w:tr>
      <w:tr w:rsidR="00E61DAC" w:rsidRPr="005B217D" w14:paraId="650C3A0B" w14:textId="77777777" w:rsidTr="004E5E59">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77A6A382" w14:textId="456ECEB7" w:rsidR="00CC0EBB" w:rsidRPr="00CC0EBB" w:rsidRDefault="00C50DDF" w:rsidP="00CC0EBB">
            <w:pPr>
              <w:spacing w:before="60" w:after="60"/>
              <w:rPr>
                <w:szCs w:val="22"/>
                <w:lang w:val="en-CA"/>
              </w:rPr>
            </w:pPr>
            <w:r>
              <w:rPr>
                <w:szCs w:val="22"/>
                <w:lang w:val="en-CA"/>
              </w:rPr>
              <w:t>W.</w:t>
            </w:r>
            <w:r w:rsidRPr="00C50DDF">
              <w:rPr>
                <w:szCs w:val="22"/>
                <w:lang w:val="en-CA"/>
              </w:rPr>
              <w:t xml:space="preserve"> de</w:t>
            </w:r>
            <w:r>
              <w:rPr>
                <w:szCs w:val="22"/>
                <w:lang w:val="en-CA"/>
              </w:rPr>
              <w:t xml:space="preserve"> </w:t>
            </w:r>
            <w:r w:rsidRPr="00C50DDF">
              <w:rPr>
                <w:szCs w:val="22"/>
                <w:lang w:val="en-CA"/>
              </w:rPr>
              <w:t xml:space="preserve">Haan, </w:t>
            </w:r>
            <w:r w:rsidR="00250202">
              <w:rPr>
                <w:szCs w:val="22"/>
                <w:lang w:val="en-CA"/>
              </w:rPr>
              <w:t>L. van de Kerkhof</w:t>
            </w:r>
            <w:r w:rsidR="00CC0EBB" w:rsidRPr="00CC0EBB">
              <w:rPr>
                <w:szCs w:val="22"/>
                <w:lang w:val="en-CA"/>
              </w:rPr>
              <w:t xml:space="preserve"> (</w:t>
            </w:r>
            <w:r w:rsidR="00250202">
              <w:rPr>
                <w:szCs w:val="22"/>
                <w:lang w:val="en-CA"/>
              </w:rPr>
              <w:t>Philips</w:t>
            </w:r>
            <w:r w:rsidR="00CC0EBB" w:rsidRPr="00CC0EBB">
              <w:rPr>
                <w:szCs w:val="22"/>
                <w:lang w:val="en-CA"/>
              </w:rPr>
              <w:t>)</w:t>
            </w:r>
          </w:p>
          <w:p w14:paraId="6757E1B9" w14:textId="75A74263" w:rsidR="00E61DAC" w:rsidRPr="005B217D" w:rsidRDefault="00CC0EBB">
            <w:pPr>
              <w:spacing w:before="60" w:after="60"/>
              <w:rPr>
                <w:szCs w:val="22"/>
                <w:lang w:val="en-CA"/>
              </w:rPr>
            </w:pPr>
            <w:r>
              <w:rPr>
                <w:szCs w:val="22"/>
                <w:lang w:val="en-CA"/>
              </w:rPr>
              <w:t>E. Franç</w:t>
            </w:r>
            <w:r w:rsidRPr="00CC0EBB">
              <w:rPr>
                <w:szCs w:val="22"/>
                <w:lang w:val="en-CA"/>
              </w:rPr>
              <w:t>ois (Technicolor)</w:t>
            </w:r>
          </w:p>
        </w:tc>
        <w:tc>
          <w:tcPr>
            <w:tcW w:w="900" w:type="dxa"/>
          </w:tcPr>
          <w:p w14:paraId="317B6FBE"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14:paraId="677A9753" w14:textId="292807BC" w:rsidR="00E61DAC" w:rsidRPr="005B217D" w:rsidRDefault="00E61DAC" w:rsidP="00C50DDF">
            <w:pPr>
              <w:spacing w:before="60" w:after="60"/>
              <w:rPr>
                <w:szCs w:val="22"/>
                <w:lang w:val="en-CA"/>
              </w:rPr>
            </w:pPr>
            <w:r w:rsidRPr="005B217D">
              <w:rPr>
                <w:szCs w:val="22"/>
                <w:lang w:val="en-CA"/>
              </w:rPr>
              <w:br/>
            </w:r>
            <w:hyperlink r:id="rId10" w:history="1">
              <w:r w:rsidR="00250202" w:rsidRPr="00824849">
                <w:rPr>
                  <w:rStyle w:val="Hyperlink"/>
                  <w:szCs w:val="22"/>
                  <w:lang w:val="en-CA"/>
                </w:rPr>
                <w:t>leon.van.de.kerkhof@philips.com</w:t>
              </w:r>
            </w:hyperlink>
            <w:r w:rsidR="00C50DDF">
              <w:rPr>
                <w:rStyle w:val="Hyperlink"/>
                <w:szCs w:val="22"/>
                <w:lang w:val="en-CA"/>
              </w:rPr>
              <w:br/>
            </w:r>
            <w:hyperlink r:id="rId11" w:history="1">
              <w:r w:rsidR="00C50DDF" w:rsidRPr="009103F4">
                <w:rPr>
                  <w:rStyle w:val="Hyperlink"/>
                  <w:szCs w:val="22"/>
                  <w:lang w:val="en-CA"/>
                </w:rPr>
                <w:t>wiebe.de.haan@philips.com</w:t>
              </w:r>
            </w:hyperlink>
            <w:r w:rsidR="00C50DDF">
              <w:rPr>
                <w:szCs w:val="22"/>
                <w:lang w:val="en-CA"/>
              </w:rPr>
              <w:t xml:space="preserve"> </w:t>
            </w:r>
            <w:r w:rsidR="00250202">
              <w:rPr>
                <w:szCs w:val="22"/>
                <w:lang w:val="en-CA"/>
              </w:rPr>
              <w:br/>
            </w:r>
            <w:hyperlink r:id="rId12" w:history="1">
              <w:r w:rsidR="00CC0EBB" w:rsidRPr="00CC0EBB">
                <w:rPr>
                  <w:rStyle w:val="Hyperlink"/>
                  <w:szCs w:val="22"/>
                  <w:lang w:val="en-CA"/>
                </w:rPr>
                <w:t>edouard.francois@technicolor.com</w:t>
              </w:r>
            </w:hyperlink>
          </w:p>
        </w:tc>
      </w:tr>
      <w:tr w:rsidR="00E61DAC" w:rsidRPr="005B217D" w14:paraId="506E6D8A" w14:textId="77777777" w:rsidTr="004E5E59">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58B4F03B" w:rsidR="00E61DAC" w:rsidRPr="005B217D" w:rsidRDefault="00BE795E" w:rsidP="004F2018">
            <w:pPr>
              <w:tabs>
                <w:tab w:val="left" w:pos="1170"/>
              </w:tabs>
              <w:spacing w:before="120"/>
              <w:jc w:val="both"/>
              <w:rPr>
                <w:szCs w:val="22"/>
                <w:lang w:val="en-CA"/>
              </w:rPr>
            </w:pPr>
            <w:r>
              <w:rPr>
                <w:szCs w:val="24"/>
                <w:lang w:val="en-CA" w:eastAsia="ja-JP"/>
              </w:rPr>
              <w:t>Philips</w:t>
            </w:r>
            <w:r w:rsidR="004F2018">
              <w:rPr>
                <w:szCs w:val="24"/>
                <w:lang w:val="en-CA" w:eastAsia="ja-JP"/>
              </w:rPr>
              <w:t xml:space="preserve">, </w:t>
            </w:r>
            <w:r w:rsidR="004F2018" w:rsidRPr="004E2081">
              <w:rPr>
                <w:szCs w:val="24"/>
                <w:lang w:val="en-CA" w:eastAsia="ja-JP"/>
              </w:rPr>
              <w:t>Technicolor</w:t>
            </w:r>
            <w:r w:rsidR="004F2018">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1CDF074" w14:textId="18B2FBFC" w:rsidR="00263398" w:rsidRPr="00AD6E45" w:rsidRDefault="00AF5676" w:rsidP="009234A5">
      <w:pPr>
        <w:jc w:val="both"/>
        <w:rPr>
          <w:sz w:val="24"/>
          <w:szCs w:val="22"/>
          <w:lang w:val="en-CA"/>
        </w:rPr>
      </w:pPr>
      <w:r w:rsidRPr="00AD6E45">
        <w:rPr>
          <w:sz w:val="24"/>
          <w:szCs w:val="22"/>
          <w:lang w:val="en-CA"/>
        </w:rPr>
        <w:t xml:space="preserve">This document </w:t>
      </w:r>
      <w:r w:rsidR="002D5389">
        <w:rPr>
          <w:sz w:val="24"/>
          <w:szCs w:val="22"/>
          <w:lang w:val="en-CA"/>
        </w:rPr>
        <w:t>aims at re-</w:t>
      </w:r>
      <w:r w:rsidR="00E70A47">
        <w:rPr>
          <w:sz w:val="24"/>
          <w:szCs w:val="22"/>
          <w:lang w:val="en-CA"/>
        </w:rPr>
        <w:t>emphasiz</w:t>
      </w:r>
      <w:r w:rsidR="002D5389">
        <w:rPr>
          <w:sz w:val="24"/>
          <w:szCs w:val="22"/>
          <w:lang w:val="en-CA"/>
        </w:rPr>
        <w:t>ing</w:t>
      </w:r>
      <w:r w:rsidR="00E70A47">
        <w:rPr>
          <w:sz w:val="24"/>
          <w:szCs w:val="22"/>
          <w:lang w:val="en-CA"/>
        </w:rPr>
        <w:t xml:space="preserve"> the importance of SDR backward compatibility for the incoming HDR video content distribution systems</w:t>
      </w:r>
      <w:r w:rsidRPr="00AD6E45">
        <w:rPr>
          <w:sz w:val="24"/>
          <w:szCs w:val="22"/>
          <w:lang w:val="en-CA"/>
        </w:rPr>
        <w:t>.</w:t>
      </w:r>
    </w:p>
    <w:p w14:paraId="748E67C8" w14:textId="77777777" w:rsidR="00745F6B" w:rsidRPr="005B217D" w:rsidRDefault="00AF5676" w:rsidP="00E11923">
      <w:pPr>
        <w:pStyle w:val="Heading1"/>
        <w:rPr>
          <w:lang w:val="en-CA"/>
        </w:rPr>
      </w:pPr>
      <w:r>
        <w:rPr>
          <w:lang w:val="en-CA"/>
        </w:rPr>
        <w:t>Introduction</w:t>
      </w:r>
    </w:p>
    <w:p w14:paraId="2A50DFFA" w14:textId="559607FD" w:rsidR="001B761E" w:rsidRPr="00EE5686" w:rsidRDefault="004E5E59" w:rsidP="004234F0">
      <w:pPr>
        <w:jc w:val="both"/>
        <w:rPr>
          <w:sz w:val="24"/>
          <w:szCs w:val="22"/>
          <w:lang w:val="en-CA"/>
        </w:rPr>
      </w:pPr>
      <w:r w:rsidRPr="00EE5686">
        <w:rPr>
          <w:sz w:val="24"/>
          <w:szCs w:val="22"/>
          <w:lang w:val="en-CA"/>
        </w:rPr>
        <w:t xml:space="preserve">The exploration work for a possible HEVC extension for HDR and WCG video </w:t>
      </w:r>
      <w:r w:rsidR="001B761E" w:rsidRPr="00EE5686">
        <w:rPr>
          <w:sz w:val="24"/>
          <w:szCs w:val="22"/>
          <w:lang w:val="en-CA"/>
        </w:rPr>
        <w:t xml:space="preserve">is </w:t>
      </w:r>
      <w:r w:rsidR="00E40154">
        <w:rPr>
          <w:sz w:val="24"/>
          <w:szCs w:val="22"/>
          <w:lang w:val="en-CA"/>
        </w:rPr>
        <w:t>in</w:t>
      </w:r>
      <w:r w:rsidR="00E40154" w:rsidRPr="00EE5686">
        <w:rPr>
          <w:sz w:val="24"/>
          <w:szCs w:val="22"/>
          <w:lang w:val="en-CA"/>
        </w:rPr>
        <w:t xml:space="preserve"> </w:t>
      </w:r>
      <w:r w:rsidR="001B761E" w:rsidRPr="00EE5686">
        <w:rPr>
          <w:sz w:val="24"/>
          <w:szCs w:val="22"/>
          <w:lang w:val="en-CA"/>
        </w:rPr>
        <w:t xml:space="preserve">progress. An exploratory Test Model and different Core Experiments have been set up in October 2015. In these exploratory works, two main tracks are under investigation: HDR-only systems, where the main target is improved compression performance compared to the </w:t>
      </w:r>
      <w:r w:rsidR="00FB523F" w:rsidRPr="00EE5686">
        <w:rPr>
          <w:sz w:val="24"/>
          <w:szCs w:val="22"/>
          <w:lang w:val="en-CA"/>
        </w:rPr>
        <w:t>draft HEVC</w:t>
      </w:r>
      <w:r w:rsidR="001B761E" w:rsidRPr="00EE5686">
        <w:rPr>
          <w:sz w:val="24"/>
          <w:szCs w:val="22"/>
          <w:lang w:val="en-CA"/>
        </w:rPr>
        <w:t xml:space="preserve"> specification; SDR backward compatible systems, where the target is to deliver an SDR backward compatible content adapted to legacy SDR devices, while offering good compression performance.</w:t>
      </w:r>
    </w:p>
    <w:p w14:paraId="041112B3" w14:textId="6BEAC497" w:rsidR="001B761E" w:rsidRPr="00EE5686" w:rsidRDefault="001B761E" w:rsidP="004234F0">
      <w:pPr>
        <w:jc w:val="both"/>
        <w:rPr>
          <w:sz w:val="24"/>
          <w:szCs w:val="22"/>
          <w:lang w:val="en-CA"/>
        </w:rPr>
      </w:pPr>
      <w:r w:rsidRPr="00EE5686">
        <w:rPr>
          <w:sz w:val="24"/>
          <w:szCs w:val="22"/>
          <w:lang w:val="en-CA"/>
        </w:rPr>
        <w:t>This document aims at re-emphasizing the importance of</w:t>
      </w:r>
      <w:r w:rsidR="00E70A47">
        <w:rPr>
          <w:sz w:val="24"/>
          <w:szCs w:val="22"/>
          <w:lang w:val="en-CA"/>
        </w:rPr>
        <w:t xml:space="preserve"> this second track</w:t>
      </w:r>
      <w:r w:rsidR="00E70A47" w:rsidRPr="00EE5686">
        <w:rPr>
          <w:sz w:val="24"/>
          <w:szCs w:val="22"/>
          <w:lang w:val="en-CA"/>
        </w:rPr>
        <w:t xml:space="preserve"> for the actual HDR video deployment in the coming years</w:t>
      </w:r>
      <w:r w:rsidR="00E70A47">
        <w:rPr>
          <w:sz w:val="24"/>
          <w:szCs w:val="22"/>
          <w:lang w:val="en-CA"/>
        </w:rPr>
        <w:t>. It reminds the main features of the</w:t>
      </w:r>
      <w:r w:rsidRPr="00EE5686">
        <w:rPr>
          <w:sz w:val="24"/>
          <w:szCs w:val="22"/>
          <w:lang w:val="en-CA"/>
        </w:rPr>
        <w:t xml:space="preserve"> SDR backward compatibility </w:t>
      </w:r>
      <w:r w:rsidR="00E70A47">
        <w:rPr>
          <w:sz w:val="24"/>
          <w:szCs w:val="22"/>
          <w:lang w:val="en-CA"/>
        </w:rPr>
        <w:t>requirement, and the overall architecture of such an SDR backward compatible system.</w:t>
      </w:r>
    </w:p>
    <w:p w14:paraId="19C94AE5" w14:textId="77777777" w:rsidR="001B671F" w:rsidRDefault="001B671F" w:rsidP="00EE5686">
      <w:pPr>
        <w:spacing w:before="0" w:after="120"/>
        <w:jc w:val="both"/>
        <w:rPr>
          <w:sz w:val="24"/>
          <w:szCs w:val="22"/>
          <w:lang w:val="en-CA"/>
        </w:rPr>
      </w:pPr>
    </w:p>
    <w:p w14:paraId="55E4C5F4" w14:textId="77777777" w:rsidR="00FF4F7E" w:rsidRPr="004F68D4" w:rsidRDefault="00FF4F7E" w:rsidP="00FF4F7E">
      <w:pPr>
        <w:pStyle w:val="Heading1"/>
        <w:tabs>
          <w:tab w:val="clear" w:pos="360"/>
          <w:tab w:val="clear" w:pos="720"/>
          <w:tab w:val="clear" w:pos="1080"/>
          <w:tab w:val="clear" w:pos="1440"/>
        </w:tabs>
        <w:spacing w:before="120" w:after="120" w:line="276" w:lineRule="auto"/>
      </w:pPr>
      <w:r>
        <w:t>Description of SDR backward compatibility requirements</w:t>
      </w:r>
    </w:p>
    <w:p w14:paraId="1248F40F" w14:textId="6A79A957" w:rsidR="001B761E" w:rsidRPr="00EE5686" w:rsidRDefault="001B761E" w:rsidP="00EE5686">
      <w:pPr>
        <w:spacing w:before="0" w:after="120"/>
        <w:jc w:val="both"/>
        <w:rPr>
          <w:sz w:val="24"/>
          <w:szCs w:val="22"/>
          <w:lang w:val="en-CA"/>
        </w:rPr>
      </w:pPr>
      <w:r w:rsidRPr="00EE5686">
        <w:rPr>
          <w:sz w:val="24"/>
          <w:szCs w:val="22"/>
          <w:lang w:val="en-CA"/>
        </w:rPr>
        <w:t xml:space="preserve">MPEG document M37244 [1], co-signed by </w:t>
      </w:r>
      <w:r w:rsidR="00EE5686" w:rsidRPr="00EE5686">
        <w:rPr>
          <w:sz w:val="24"/>
          <w:szCs w:val="22"/>
          <w:lang w:val="en-CA"/>
        </w:rPr>
        <w:t xml:space="preserve">17 companies, </w:t>
      </w:r>
      <w:r w:rsidRPr="00EE5686">
        <w:rPr>
          <w:sz w:val="24"/>
          <w:szCs w:val="22"/>
          <w:lang w:val="en-CA"/>
        </w:rPr>
        <w:t>identifie</w:t>
      </w:r>
      <w:r w:rsidR="00EE5686" w:rsidRPr="00EE5686">
        <w:rPr>
          <w:sz w:val="24"/>
          <w:szCs w:val="22"/>
          <w:lang w:val="en-CA"/>
        </w:rPr>
        <w:t>s</w:t>
      </w:r>
      <w:r w:rsidRPr="00EE5686">
        <w:rPr>
          <w:sz w:val="24"/>
          <w:szCs w:val="22"/>
          <w:lang w:val="en-CA"/>
        </w:rPr>
        <w:t xml:space="preserve"> the following major requirements related to the support of SDR backward compatibility in HDR distribution systems:</w:t>
      </w:r>
    </w:p>
    <w:p w14:paraId="041311E1" w14:textId="29359432" w:rsidR="001B761E" w:rsidRPr="00EE5686" w:rsidRDefault="001B761E" w:rsidP="00EE5686">
      <w:pPr>
        <w:pStyle w:val="ListParagraph"/>
        <w:numPr>
          <w:ilvl w:val="0"/>
          <w:numId w:val="36"/>
        </w:numPr>
        <w:spacing w:after="120" w:line="240" w:lineRule="auto"/>
        <w:contextualSpacing w:val="0"/>
        <w:jc w:val="both"/>
        <w:rPr>
          <w:rFonts w:ascii="Times New Roman" w:hAnsi="Times New Roman"/>
          <w:sz w:val="24"/>
          <w:lang w:val="en-CA"/>
        </w:rPr>
      </w:pPr>
      <w:r w:rsidRPr="00EE5686">
        <w:rPr>
          <w:rFonts w:ascii="Times New Roman" w:hAnsi="Times New Roman"/>
          <w:sz w:val="24"/>
          <w:lang w:val="en-CA"/>
        </w:rPr>
        <w:t>Compatibility with SDR rendering devices. The video should be decodable by a non-HDR aware decoder without modifications to the SDR device. The resulting decoded video should deliver a high quality image on SDR displays without further processing. This is vital for a phased HDR deployment as we do not expect all devices to be HDR aware and it is not economical to run concurrent HDR and SDR broadcasts (simulcast). Legacy SDR devices should not require any modifications. This will also simplify storage and distribution management without the need to store multiple copies of files in both SDR and HDR formats.</w:t>
      </w:r>
    </w:p>
    <w:p w14:paraId="6AA19A29" w14:textId="49F619A2" w:rsidR="001B761E" w:rsidRPr="00EE5686" w:rsidRDefault="001B761E" w:rsidP="00EE5686">
      <w:pPr>
        <w:pStyle w:val="ListParagraph"/>
        <w:numPr>
          <w:ilvl w:val="0"/>
          <w:numId w:val="36"/>
        </w:numPr>
        <w:spacing w:after="120" w:line="240" w:lineRule="auto"/>
        <w:contextualSpacing w:val="0"/>
        <w:jc w:val="both"/>
        <w:rPr>
          <w:rFonts w:ascii="Times New Roman" w:hAnsi="Times New Roman"/>
          <w:sz w:val="24"/>
          <w:lang w:val="en-CA"/>
        </w:rPr>
      </w:pPr>
      <w:r w:rsidRPr="00EE5686">
        <w:rPr>
          <w:rFonts w:ascii="Times New Roman" w:hAnsi="Times New Roman"/>
          <w:sz w:val="24"/>
          <w:lang w:val="en-CA"/>
        </w:rPr>
        <w:t>Single layer design with 10 bit support.  This will enable re-use of existing HEVC Main 10 implementations and efficient single decoder deployments on devices.</w:t>
      </w:r>
    </w:p>
    <w:p w14:paraId="54A4044A" w14:textId="63A83DC1" w:rsidR="001B761E" w:rsidRPr="00EE5686" w:rsidRDefault="001B761E" w:rsidP="00EE5686">
      <w:pPr>
        <w:pStyle w:val="ListParagraph"/>
        <w:numPr>
          <w:ilvl w:val="0"/>
          <w:numId w:val="36"/>
        </w:numPr>
        <w:spacing w:after="120" w:line="240" w:lineRule="auto"/>
        <w:contextualSpacing w:val="0"/>
        <w:jc w:val="both"/>
        <w:rPr>
          <w:rFonts w:ascii="Times New Roman" w:hAnsi="Times New Roman"/>
          <w:sz w:val="24"/>
          <w:lang w:val="en-CA"/>
        </w:rPr>
      </w:pPr>
      <w:r w:rsidRPr="00EE5686">
        <w:rPr>
          <w:rFonts w:ascii="Times New Roman" w:hAnsi="Times New Roman"/>
          <w:sz w:val="24"/>
          <w:lang w:val="en-CA"/>
        </w:rPr>
        <w:lastRenderedPageBreak/>
        <w:t>If metadata is needed to support HDR, it should be integrated into an automated broadcast workflow and support typical television operations such as mixes, wipes and graphics overlays.</w:t>
      </w:r>
    </w:p>
    <w:p w14:paraId="33456C37" w14:textId="29460405" w:rsidR="001B761E" w:rsidRPr="00EE5686" w:rsidRDefault="001B761E" w:rsidP="00EE5686">
      <w:pPr>
        <w:pStyle w:val="ListParagraph"/>
        <w:numPr>
          <w:ilvl w:val="0"/>
          <w:numId w:val="36"/>
        </w:numPr>
        <w:spacing w:after="120" w:line="240" w:lineRule="auto"/>
        <w:contextualSpacing w:val="0"/>
        <w:jc w:val="both"/>
        <w:rPr>
          <w:rFonts w:ascii="Times New Roman" w:hAnsi="Times New Roman"/>
          <w:sz w:val="24"/>
          <w:lang w:val="en-CA"/>
        </w:rPr>
      </w:pPr>
      <w:r w:rsidRPr="00EE5686">
        <w:rPr>
          <w:rFonts w:ascii="Times New Roman" w:hAnsi="Times New Roman"/>
          <w:sz w:val="24"/>
          <w:lang w:val="en-CA"/>
        </w:rPr>
        <w:t xml:space="preserve">Any changes of the HEVC coding specifications to support HDR should not impact the HEVC core decoder on devices and should be available in a timely fashion to match the DVB, ATSC and ARIB HDR standardization timescales. </w:t>
      </w:r>
    </w:p>
    <w:p w14:paraId="6D825669" w14:textId="07B1439B" w:rsidR="001B761E" w:rsidRDefault="001B761E" w:rsidP="00EE5686">
      <w:pPr>
        <w:pStyle w:val="ListParagraph"/>
        <w:numPr>
          <w:ilvl w:val="0"/>
          <w:numId w:val="36"/>
        </w:numPr>
        <w:spacing w:after="120" w:line="240" w:lineRule="auto"/>
        <w:contextualSpacing w:val="0"/>
        <w:jc w:val="both"/>
        <w:rPr>
          <w:rFonts w:ascii="Times New Roman" w:hAnsi="Times New Roman"/>
          <w:sz w:val="24"/>
          <w:lang w:val="en-CA"/>
        </w:rPr>
      </w:pPr>
      <w:r w:rsidRPr="00EE5686">
        <w:rPr>
          <w:rFonts w:ascii="Times New Roman" w:hAnsi="Times New Roman"/>
          <w:sz w:val="24"/>
          <w:lang w:val="en-CA"/>
        </w:rPr>
        <w:t>As there is still considerable debate and discussion going on within the industry regarding OETFs for HDR video production and programme exchange, and more than one OETF for HDR video is considered likely, any MPEG solution should support the common HDR productions formats, such as EOTFs, through transcoding where necessary, with minimal loss of quality.</w:t>
      </w:r>
    </w:p>
    <w:p w14:paraId="6F16AA65" w14:textId="77777777" w:rsidR="00FB523F" w:rsidRDefault="00FB523F" w:rsidP="00FB523F">
      <w:pPr>
        <w:spacing w:after="120"/>
        <w:jc w:val="both"/>
        <w:rPr>
          <w:sz w:val="24"/>
          <w:lang w:val="en-CA"/>
        </w:rPr>
      </w:pPr>
    </w:p>
    <w:p w14:paraId="4687CC1C" w14:textId="3D927FC7" w:rsidR="00FB523F" w:rsidRPr="004F68D4" w:rsidRDefault="00FB523F" w:rsidP="00FB523F">
      <w:pPr>
        <w:pStyle w:val="Heading1"/>
        <w:tabs>
          <w:tab w:val="clear" w:pos="360"/>
          <w:tab w:val="clear" w:pos="720"/>
          <w:tab w:val="clear" w:pos="1080"/>
          <w:tab w:val="clear" w:pos="1440"/>
        </w:tabs>
        <w:spacing w:before="120" w:after="120" w:line="276" w:lineRule="auto"/>
      </w:pPr>
      <w:r>
        <w:t>Synoptic of a</w:t>
      </w:r>
      <w:r w:rsidR="00A2379B">
        <w:t xml:space="preserve"> single-layer</w:t>
      </w:r>
      <w:r>
        <w:t xml:space="preserve"> SDR backward compatible distribution system</w:t>
      </w:r>
    </w:p>
    <w:p w14:paraId="62AE204B" w14:textId="2036C94D" w:rsidR="00FB523F" w:rsidRDefault="00FB523F" w:rsidP="00FB523F">
      <w:pPr>
        <w:spacing w:before="0" w:after="120"/>
        <w:jc w:val="both"/>
        <w:rPr>
          <w:sz w:val="24"/>
          <w:szCs w:val="22"/>
          <w:lang w:val="en-CA"/>
        </w:rPr>
      </w:pPr>
      <w:r>
        <w:rPr>
          <w:sz w:val="24"/>
          <w:szCs w:val="22"/>
          <w:lang w:val="en-CA"/>
        </w:rPr>
        <w:t>Figure 1 illustrates the global synoptic of an SDR backward compatible distribution system. This type of solutions has been proposed in various MPEG-JCTVC contributions, such as [2,3,4,5].</w:t>
      </w:r>
    </w:p>
    <w:p w14:paraId="4D19BA15" w14:textId="77777777" w:rsidR="00FB523F" w:rsidRDefault="00FB523F" w:rsidP="00FB523F">
      <w:pPr>
        <w:spacing w:before="0" w:after="120"/>
        <w:jc w:val="both"/>
        <w:rPr>
          <w:sz w:val="24"/>
          <w:szCs w:val="22"/>
          <w:lang w:val="en-CA"/>
        </w:rPr>
      </w:pPr>
    </w:p>
    <w:p w14:paraId="6F04937D" w14:textId="77777777" w:rsidR="00FB523F" w:rsidRDefault="00FB523F" w:rsidP="00FB523F">
      <w:pPr>
        <w:keepNext/>
        <w:jc w:val="center"/>
        <w:rPr>
          <w:lang w:eastAsia="ja-JP"/>
        </w:rPr>
      </w:pPr>
      <w:r>
        <w:rPr>
          <w:lang w:eastAsia="ja-JP"/>
        </w:rPr>
        <w:object w:dxaOrig="11750" w:dyaOrig="2583" w14:anchorId="607012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99.75pt" o:ole="">
            <v:imagedata r:id="rId13" o:title=""/>
          </v:shape>
          <o:OLEObject Type="Embed" ProgID="Visio.Drawing.11" ShapeID="_x0000_i1025" DrawAspect="Content" ObjectID="_1516559800" r:id="rId14"/>
        </w:object>
      </w:r>
    </w:p>
    <w:p w14:paraId="1D9B16C7" w14:textId="77777777" w:rsidR="00FB523F" w:rsidRPr="003B627B" w:rsidRDefault="00FB523F" w:rsidP="00FB523F">
      <w:pPr>
        <w:pStyle w:val="Caption"/>
        <w:rPr>
          <w:color w:val="auto"/>
        </w:rPr>
      </w:pPr>
      <w:bookmarkStart w:id="1" w:name="_Ref429396359"/>
      <w:r w:rsidRPr="003B627B">
        <w:rPr>
          <w:color w:val="auto"/>
        </w:rPr>
        <w:t xml:space="preserve">Figure </w:t>
      </w:r>
      <w:r w:rsidRPr="003B627B">
        <w:rPr>
          <w:color w:val="auto"/>
        </w:rPr>
        <w:fldChar w:fldCharType="begin"/>
      </w:r>
      <w:r w:rsidRPr="003B627B">
        <w:rPr>
          <w:color w:val="auto"/>
        </w:rPr>
        <w:instrText xml:space="preserve"> SEQ Figure \* ARABIC </w:instrText>
      </w:r>
      <w:r w:rsidRPr="003B627B">
        <w:rPr>
          <w:color w:val="auto"/>
        </w:rPr>
        <w:fldChar w:fldCharType="separate"/>
      </w:r>
      <w:r w:rsidRPr="003B627B">
        <w:rPr>
          <w:noProof/>
          <w:color w:val="auto"/>
        </w:rPr>
        <w:t>1</w:t>
      </w:r>
      <w:r w:rsidRPr="003B627B">
        <w:rPr>
          <w:noProof/>
          <w:color w:val="auto"/>
        </w:rPr>
        <w:fldChar w:fldCharType="end"/>
      </w:r>
      <w:bookmarkEnd w:id="1"/>
      <w:r w:rsidRPr="003B627B">
        <w:rPr>
          <w:noProof/>
          <w:color w:val="auto"/>
        </w:rPr>
        <w:t>.</w:t>
      </w:r>
      <w:r w:rsidRPr="003B627B">
        <w:rPr>
          <w:color w:val="auto"/>
        </w:rPr>
        <w:t xml:space="preserve"> </w:t>
      </w:r>
      <w:r w:rsidRPr="003B627B">
        <w:rPr>
          <w:color w:val="auto"/>
          <w:sz w:val="24"/>
          <w:szCs w:val="22"/>
          <w:lang w:val="en-CA"/>
        </w:rPr>
        <w:t xml:space="preserve">SDR backward compatible </w:t>
      </w:r>
      <w:r w:rsidRPr="003B627B">
        <w:rPr>
          <w:color w:val="auto"/>
        </w:rPr>
        <w:t>system diagram.</w:t>
      </w:r>
    </w:p>
    <w:p w14:paraId="61C58737" w14:textId="77777777" w:rsidR="00FB523F" w:rsidRDefault="00FB523F" w:rsidP="00FB523F">
      <w:pPr>
        <w:spacing w:before="0" w:after="120"/>
        <w:jc w:val="both"/>
        <w:rPr>
          <w:lang w:eastAsia="ja-JP"/>
        </w:rPr>
      </w:pPr>
    </w:p>
    <w:p w14:paraId="71E12849" w14:textId="77777777" w:rsidR="00FB523F" w:rsidRDefault="00FB523F" w:rsidP="00FB523F">
      <w:pPr>
        <w:spacing w:before="0" w:after="120"/>
        <w:jc w:val="both"/>
        <w:rPr>
          <w:sz w:val="24"/>
          <w:szCs w:val="22"/>
          <w:lang w:val="en-CA"/>
        </w:rPr>
      </w:pPr>
      <w:r w:rsidRPr="001B671F">
        <w:rPr>
          <w:sz w:val="24"/>
          <w:szCs w:val="22"/>
          <w:lang w:val="en-CA"/>
        </w:rPr>
        <w:t xml:space="preserve">The </w:t>
      </w:r>
      <w:bookmarkStart w:id="2" w:name="OLE_LINK513"/>
      <w:bookmarkStart w:id="3" w:name="OLE_LINK514"/>
      <w:bookmarkStart w:id="4" w:name="OLE_LINK515"/>
      <w:r>
        <w:rPr>
          <w:sz w:val="24"/>
          <w:szCs w:val="22"/>
          <w:lang w:val="en-CA"/>
        </w:rPr>
        <w:t xml:space="preserve">SDR backward compatible </w:t>
      </w:r>
      <w:r w:rsidRPr="001B671F">
        <w:rPr>
          <w:sz w:val="24"/>
          <w:szCs w:val="22"/>
          <w:lang w:val="en-CA"/>
        </w:rPr>
        <w:t xml:space="preserve">system </w:t>
      </w:r>
      <w:r>
        <w:rPr>
          <w:sz w:val="24"/>
          <w:szCs w:val="22"/>
          <w:lang w:val="en-CA"/>
        </w:rPr>
        <w:t xml:space="preserve">is made of four basic components: </w:t>
      </w:r>
    </w:p>
    <w:p w14:paraId="65D37A85" w14:textId="77777777" w:rsidR="00FB523F" w:rsidRDefault="00FB523F" w:rsidP="00FB523F">
      <w:pPr>
        <w:spacing w:before="0" w:after="120"/>
        <w:jc w:val="both"/>
        <w:rPr>
          <w:sz w:val="24"/>
          <w:szCs w:val="22"/>
          <w:lang w:val="en-CA"/>
        </w:rPr>
      </w:pPr>
      <w:r>
        <w:rPr>
          <w:sz w:val="24"/>
          <w:szCs w:val="22"/>
          <w:lang w:val="en-CA"/>
        </w:rPr>
        <w:t>Encoder side</w:t>
      </w:r>
    </w:p>
    <w:p w14:paraId="7D101FD9" w14:textId="37574CD5" w:rsidR="00FB523F" w:rsidRPr="005C03D9" w:rsidRDefault="00FB523F" w:rsidP="00FB523F">
      <w:pPr>
        <w:pStyle w:val="ListParagraph"/>
        <w:numPr>
          <w:ilvl w:val="0"/>
          <w:numId w:val="38"/>
        </w:numPr>
        <w:spacing w:after="120"/>
        <w:jc w:val="both"/>
        <w:rPr>
          <w:rFonts w:ascii="Times New Roman" w:hAnsi="Times New Roman"/>
          <w:sz w:val="24"/>
          <w:lang w:val="en-CA"/>
        </w:rPr>
      </w:pPr>
      <w:r w:rsidRPr="005C03D9">
        <w:rPr>
          <w:rFonts w:ascii="Times New Roman" w:hAnsi="Times New Roman"/>
          <w:sz w:val="24"/>
          <w:lang w:val="en-CA"/>
        </w:rPr>
        <w:t xml:space="preserve">The </w:t>
      </w:r>
      <w:r w:rsidRPr="00A913D8">
        <w:rPr>
          <w:rFonts w:ascii="Times New Roman" w:hAnsi="Times New Roman"/>
          <w:b/>
          <w:sz w:val="24"/>
          <w:lang w:val="en-CA"/>
        </w:rPr>
        <w:t>HDR pre-processing</w:t>
      </w:r>
      <w:r w:rsidRPr="005C03D9">
        <w:rPr>
          <w:rFonts w:ascii="Times New Roman" w:hAnsi="Times New Roman"/>
          <w:sz w:val="24"/>
          <w:lang w:val="en-CA"/>
        </w:rPr>
        <w:t xml:space="preserve"> block produces from the input HDR content an SDR backward compatible content, plus </w:t>
      </w:r>
      <w:r>
        <w:rPr>
          <w:rFonts w:ascii="Times New Roman" w:hAnsi="Times New Roman"/>
          <w:sz w:val="24"/>
          <w:lang w:val="en-CA"/>
        </w:rPr>
        <w:t>HDR-</w:t>
      </w:r>
      <w:r w:rsidRPr="005C03D9">
        <w:rPr>
          <w:rFonts w:ascii="Times New Roman" w:hAnsi="Times New Roman"/>
          <w:sz w:val="24"/>
          <w:lang w:val="en-CA"/>
        </w:rPr>
        <w:t xml:space="preserve">related metadata that will be </w:t>
      </w:r>
      <w:r w:rsidR="00133B8E">
        <w:rPr>
          <w:rFonts w:ascii="Times New Roman" w:hAnsi="Times New Roman"/>
          <w:sz w:val="24"/>
          <w:lang w:val="en-CA"/>
        </w:rPr>
        <w:t>used</w:t>
      </w:r>
      <w:r w:rsidR="00133B8E" w:rsidRPr="005C03D9">
        <w:rPr>
          <w:rFonts w:ascii="Times New Roman" w:hAnsi="Times New Roman"/>
          <w:sz w:val="24"/>
          <w:lang w:val="en-CA"/>
        </w:rPr>
        <w:t xml:space="preserve"> </w:t>
      </w:r>
      <w:r w:rsidRPr="005C03D9">
        <w:rPr>
          <w:rFonts w:ascii="Times New Roman" w:hAnsi="Times New Roman"/>
          <w:sz w:val="24"/>
          <w:lang w:val="en-CA"/>
        </w:rPr>
        <w:t>to regenerate the HDR content from the SDR content at decoder side.</w:t>
      </w:r>
    </w:p>
    <w:p w14:paraId="6EA2B85F" w14:textId="63781A47" w:rsidR="00FB523F" w:rsidRPr="005C03D9" w:rsidRDefault="00FB523F" w:rsidP="00FB523F">
      <w:pPr>
        <w:pStyle w:val="ListParagraph"/>
        <w:numPr>
          <w:ilvl w:val="0"/>
          <w:numId w:val="38"/>
        </w:numPr>
        <w:spacing w:after="120"/>
        <w:jc w:val="both"/>
        <w:rPr>
          <w:rFonts w:ascii="Times New Roman" w:hAnsi="Times New Roman"/>
          <w:sz w:val="24"/>
          <w:lang w:val="en-CA"/>
        </w:rPr>
      </w:pPr>
      <w:r>
        <w:rPr>
          <w:rFonts w:ascii="Times New Roman" w:hAnsi="Times New Roman"/>
          <w:sz w:val="24"/>
          <w:lang w:val="en-CA"/>
        </w:rPr>
        <w:t xml:space="preserve">The </w:t>
      </w:r>
      <w:r w:rsidRPr="00A913D8">
        <w:rPr>
          <w:rFonts w:ascii="Times New Roman" w:hAnsi="Times New Roman"/>
          <w:b/>
          <w:sz w:val="24"/>
          <w:lang w:val="en-CA"/>
        </w:rPr>
        <w:t>Encoder</w:t>
      </w:r>
      <w:r w:rsidRPr="005C03D9">
        <w:rPr>
          <w:rFonts w:ascii="Times New Roman" w:hAnsi="Times New Roman"/>
          <w:sz w:val="24"/>
          <w:lang w:val="en-CA"/>
        </w:rPr>
        <w:t xml:space="preserve"> </w:t>
      </w:r>
      <w:r w:rsidR="002A454D" w:rsidRPr="005C03D9">
        <w:rPr>
          <w:rFonts w:ascii="Times New Roman" w:hAnsi="Times New Roman"/>
          <w:sz w:val="24"/>
          <w:lang w:val="en-CA"/>
        </w:rPr>
        <w:t>block that</w:t>
      </w:r>
      <w:r w:rsidRPr="005C03D9">
        <w:rPr>
          <w:rFonts w:ascii="Times New Roman" w:hAnsi="Times New Roman"/>
          <w:sz w:val="24"/>
          <w:lang w:val="en-CA"/>
        </w:rPr>
        <w:t xml:space="preserve"> should typically be based on HEVC Main 10 profile; the generate</w:t>
      </w:r>
      <w:r>
        <w:rPr>
          <w:rFonts w:ascii="Times New Roman" w:hAnsi="Times New Roman"/>
          <w:sz w:val="24"/>
          <w:lang w:val="en-CA"/>
        </w:rPr>
        <w:t>d bitstream embeds the SDR binary s</w:t>
      </w:r>
      <w:r w:rsidRPr="005C03D9">
        <w:rPr>
          <w:rFonts w:ascii="Times New Roman" w:hAnsi="Times New Roman"/>
          <w:sz w:val="24"/>
          <w:lang w:val="en-CA"/>
        </w:rPr>
        <w:t xml:space="preserve">tream, </w:t>
      </w:r>
      <w:r>
        <w:rPr>
          <w:rFonts w:ascii="Times New Roman" w:hAnsi="Times New Roman"/>
          <w:sz w:val="24"/>
          <w:lang w:val="en-CA"/>
        </w:rPr>
        <w:t>plus HDR-</w:t>
      </w:r>
      <w:r w:rsidR="00C50DDF">
        <w:rPr>
          <w:rFonts w:ascii="Times New Roman" w:hAnsi="Times New Roman"/>
          <w:sz w:val="24"/>
          <w:lang w:val="en-CA"/>
        </w:rPr>
        <w:t>related</w:t>
      </w:r>
      <w:r w:rsidR="00C50DDF" w:rsidRPr="005C03D9">
        <w:rPr>
          <w:rFonts w:ascii="Times New Roman" w:hAnsi="Times New Roman"/>
          <w:sz w:val="24"/>
          <w:lang w:val="en-CA"/>
        </w:rPr>
        <w:t xml:space="preserve"> metadata</w:t>
      </w:r>
      <w:r>
        <w:rPr>
          <w:rFonts w:ascii="Times New Roman" w:hAnsi="Times New Roman"/>
          <w:sz w:val="24"/>
          <w:lang w:val="en-CA"/>
        </w:rPr>
        <w:t xml:space="preserve"> embedded for example in an SEI container</w:t>
      </w:r>
      <w:r w:rsidRPr="005C03D9">
        <w:rPr>
          <w:rFonts w:ascii="Times New Roman" w:hAnsi="Times New Roman"/>
          <w:sz w:val="24"/>
          <w:lang w:val="en-CA"/>
        </w:rPr>
        <w:t>.</w:t>
      </w:r>
      <w:r w:rsidR="00133B8E">
        <w:rPr>
          <w:rFonts w:ascii="Times New Roman" w:hAnsi="Times New Roman"/>
          <w:sz w:val="24"/>
          <w:lang w:val="en-CA"/>
        </w:rPr>
        <w:t xml:space="preserve"> It is highly desirable that the size of the HDR-related metadata is negligible compared to the SDR video stream, even at low video bit rates, to ensure that e.g. existing SDR broadcast channels can be used.</w:t>
      </w:r>
    </w:p>
    <w:p w14:paraId="73880E1E" w14:textId="77777777" w:rsidR="00FB523F" w:rsidRPr="009758F8" w:rsidRDefault="00FB523F" w:rsidP="00FB523F">
      <w:pPr>
        <w:spacing w:before="0" w:after="120"/>
        <w:jc w:val="both"/>
        <w:rPr>
          <w:sz w:val="24"/>
          <w:szCs w:val="22"/>
          <w:lang w:val="en-CA"/>
        </w:rPr>
      </w:pPr>
      <w:r>
        <w:rPr>
          <w:sz w:val="24"/>
          <w:szCs w:val="22"/>
          <w:lang w:val="en-CA"/>
        </w:rPr>
        <w:t>Decoder side</w:t>
      </w:r>
    </w:p>
    <w:p w14:paraId="45928D9C" w14:textId="02DCCB85" w:rsidR="00FB523F" w:rsidRPr="005C03D9" w:rsidRDefault="00FB523F" w:rsidP="00FB523F">
      <w:pPr>
        <w:pStyle w:val="ListParagraph"/>
        <w:numPr>
          <w:ilvl w:val="0"/>
          <w:numId w:val="38"/>
        </w:numPr>
        <w:spacing w:after="120"/>
        <w:jc w:val="both"/>
        <w:rPr>
          <w:rFonts w:ascii="Times New Roman" w:hAnsi="Times New Roman"/>
          <w:sz w:val="24"/>
          <w:lang w:val="en-CA"/>
        </w:rPr>
      </w:pPr>
      <w:r>
        <w:rPr>
          <w:rFonts w:ascii="Times New Roman" w:hAnsi="Times New Roman"/>
          <w:sz w:val="24"/>
          <w:lang w:val="en-CA"/>
        </w:rPr>
        <w:t xml:space="preserve">The </w:t>
      </w:r>
      <w:r w:rsidRPr="00A913D8">
        <w:rPr>
          <w:rFonts w:ascii="Times New Roman" w:hAnsi="Times New Roman"/>
          <w:b/>
          <w:sz w:val="24"/>
          <w:lang w:val="en-CA"/>
        </w:rPr>
        <w:t>Decoder</w:t>
      </w:r>
      <w:r w:rsidRPr="005C03D9">
        <w:rPr>
          <w:rFonts w:ascii="Times New Roman" w:hAnsi="Times New Roman"/>
          <w:sz w:val="24"/>
          <w:lang w:val="en-CA"/>
        </w:rPr>
        <w:t xml:space="preserve"> block that should typically be </w:t>
      </w:r>
      <w:r>
        <w:rPr>
          <w:rFonts w:ascii="Times New Roman" w:hAnsi="Times New Roman"/>
          <w:sz w:val="24"/>
          <w:lang w:val="en-CA"/>
        </w:rPr>
        <w:t>compliant to</w:t>
      </w:r>
      <w:r w:rsidRPr="005C03D9">
        <w:rPr>
          <w:rFonts w:ascii="Times New Roman" w:hAnsi="Times New Roman"/>
          <w:sz w:val="24"/>
          <w:lang w:val="en-CA"/>
        </w:rPr>
        <w:t xml:space="preserve"> HEVC Main 10 profile</w:t>
      </w:r>
      <w:r>
        <w:rPr>
          <w:rFonts w:ascii="Times New Roman" w:hAnsi="Times New Roman"/>
          <w:sz w:val="24"/>
          <w:lang w:val="en-CA"/>
        </w:rPr>
        <w:t>; t</w:t>
      </w:r>
      <w:r w:rsidRPr="005C03D9">
        <w:rPr>
          <w:rFonts w:ascii="Times New Roman" w:hAnsi="Times New Roman"/>
          <w:sz w:val="24"/>
          <w:lang w:val="en-CA"/>
        </w:rPr>
        <w:t xml:space="preserve">he output of the decoder </w:t>
      </w:r>
      <w:r w:rsidR="00133B8E">
        <w:rPr>
          <w:rFonts w:ascii="Times New Roman" w:hAnsi="Times New Roman"/>
          <w:sz w:val="24"/>
          <w:lang w:val="en-CA"/>
        </w:rPr>
        <w:t>is</w:t>
      </w:r>
      <w:r w:rsidR="00133B8E" w:rsidRPr="005C03D9">
        <w:rPr>
          <w:rFonts w:ascii="Times New Roman" w:hAnsi="Times New Roman"/>
          <w:sz w:val="24"/>
          <w:lang w:val="en-CA"/>
        </w:rPr>
        <w:t xml:space="preserve"> </w:t>
      </w:r>
      <w:r w:rsidRPr="005C03D9">
        <w:rPr>
          <w:rFonts w:ascii="Times New Roman" w:hAnsi="Times New Roman"/>
          <w:sz w:val="24"/>
          <w:lang w:val="en-CA"/>
        </w:rPr>
        <w:t>an SDR backward compatible video</w:t>
      </w:r>
      <w:r>
        <w:rPr>
          <w:rFonts w:ascii="Times New Roman" w:hAnsi="Times New Roman"/>
          <w:sz w:val="24"/>
          <w:lang w:val="en-CA"/>
        </w:rPr>
        <w:t xml:space="preserve"> and</w:t>
      </w:r>
      <w:r w:rsidRPr="005C03D9">
        <w:rPr>
          <w:rFonts w:ascii="Times New Roman" w:hAnsi="Times New Roman"/>
          <w:sz w:val="24"/>
          <w:lang w:val="en-CA"/>
        </w:rPr>
        <w:t xml:space="preserve"> HDR-</w:t>
      </w:r>
      <w:r w:rsidR="00C50DDF" w:rsidRPr="005C03D9">
        <w:rPr>
          <w:rFonts w:ascii="Times New Roman" w:hAnsi="Times New Roman"/>
          <w:sz w:val="24"/>
          <w:lang w:val="en-CA"/>
        </w:rPr>
        <w:t xml:space="preserve">related </w:t>
      </w:r>
      <w:r w:rsidR="00C50DDF">
        <w:rPr>
          <w:rFonts w:ascii="Times New Roman" w:hAnsi="Times New Roman"/>
          <w:sz w:val="24"/>
          <w:lang w:val="en-CA"/>
        </w:rPr>
        <w:t>metadata</w:t>
      </w:r>
      <w:r w:rsidRPr="005C03D9">
        <w:rPr>
          <w:rFonts w:ascii="Times New Roman" w:hAnsi="Times New Roman"/>
          <w:sz w:val="24"/>
          <w:lang w:val="en-CA"/>
        </w:rPr>
        <w:t>.</w:t>
      </w:r>
      <w:r>
        <w:rPr>
          <w:rFonts w:ascii="Times New Roman" w:hAnsi="Times New Roman"/>
          <w:sz w:val="24"/>
          <w:lang w:val="en-CA"/>
        </w:rPr>
        <w:t xml:space="preserve"> The </w:t>
      </w:r>
      <w:r w:rsidRPr="005C03D9">
        <w:rPr>
          <w:rFonts w:ascii="Times New Roman" w:hAnsi="Times New Roman"/>
          <w:sz w:val="24"/>
          <w:lang w:val="en-CA"/>
        </w:rPr>
        <w:t>SDR backward compatible video</w:t>
      </w:r>
      <w:r>
        <w:rPr>
          <w:rFonts w:ascii="Times New Roman" w:hAnsi="Times New Roman"/>
          <w:sz w:val="24"/>
          <w:lang w:val="en-CA"/>
        </w:rPr>
        <w:t xml:space="preserve"> can be directly sent to legacy SDR rendering devices.</w:t>
      </w:r>
    </w:p>
    <w:p w14:paraId="224F6520" w14:textId="744E40BA" w:rsidR="00FB523F" w:rsidRPr="005C03D9" w:rsidRDefault="00FB523F" w:rsidP="00FB523F">
      <w:pPr>
        <w:pStyle w:val="ListParagraph"/>
        <w:numPr>
          <w:ilvl w:val="0"/>
          <w:numId w:val="38"/>
        </w:numPr>
        <w:spacing w:after="120"/>
        <w:jc w:val="both"/>
        <w:rPr>
          <w:rFonts w:ascii="Times New Roman" w:hAnsi="Times New Roman"/>
          <w:sz w:val="24"/>
          <w:lang w:val="en-CA"/>
        </w:rPr>
      </w:pPr>
      <w:r w:rsidRPr="005C03D9">
        <w:rPr>
          <w:rFonts w:ascii="Times New Roman" w:hAnsi="Times New Roman"/>
          <w:sz w:val="24"/>
          <w:lang w:val="en-CA"/>
        </w:rPr>
        <w:lastRenderedPageBreak/>
        <w:t xml:space="preserve">The </w:t>
      </w:r>
      <w:r w:rsidRPr="00A913D8">
        <w:rPr>
          <w:rFonts w:ascii="Times New Roman" w:hAnsi="Times New Roman"/>
          <w:b/>
          <w:sz w:val="24"/>
          <w:lang w:val="en-CA"/>
        </w:rPr>
        <w:t>HDR reconstruction</w:t>
      </w:r>
      <w:r w:rsidRPr="005C03D9">
        <w:rPr>
          <w:rFonts w:ascii="Times New Roman" w:hAnsi="Times New Roman"/>
          <w:sz w:val="24"/>
          <w:lang w:val="en-CA"/>
        </w:rPr>
        <w:t xml:space="preserve"> block</w:t>
      </w:r>
      <w:bookmarkEnd w:id="2"/>
      <w:bookmarkEnd w:id="3"/>
      <w:bookmarkEnd w:id="4"/>
      <w:r>
        <w:rPr>
          <w:rFonts w:ascii="Times New Roman" w:hAnsi="Times New Roman"/>
          <w:sz w:val="24"/>
          <w:lang w:val="en-CA"/>
        </w:rPr>
        <w:t xml:space="preserve"> generates from the decoded SDR video and HDR-</w:t>
      </w:r>
      <w:r w:rsidR="00E40154">
        <w:rPr>
          <w:rFonts w:ascii="Times New Roman" w:hAnsi="Times New Roman"/>
          <w:sz w:val="24"/>
          <w:lang w:val="en-CA"/>
        </w:rPr>
        <w:t>related</w:t>
      </w:r>
      <w:r>
        <w:rPr>
          <w:rFonts w:ascii="Times New Roman" w:hAnsi="Times New Roman"/>
          <w:sz w:val="24"/>
          <w:lang w:val="en-CA"/>
        </w:rPr>
        <w:t xml:space="preserve"> metadata the HDR signal that can then be rendered on new HDR rendering devices</w:t>
      </w:r>
      <w:r w:rsidRPr="005C03D9">
        <w:rPr>
          <w:rFonts w:ascii="Times New Roman" w:hAnsi="Times New Roman"/>
          <w:sz w:val="24"/>
          <w:lang w:val="en-CA"/>
        </w:rPr>
        <w:t>.</w:t>
      </w:r>
    </w:p>
    <w:p w14:paraId="0754EF61" w14:textId="77777777" w:rsidR="00FB523F" w:rsidRPr="00FB523F" w:rsidRDefault="00FB523F" w:rsidP="00FB523F">
      <w:pPr>
        <w:spacing w:after="120"/>
        <w:jc w:val="both"/>
        <w:rPr>
          <w:sz w:val="24"/>
          <w:lang w:val="en-CA"/>
        </w:rPr>
      </w:pPr>
    </w:p>
    <w:p w14:paraId="401FED37" w14:textId="50A039ED" w:rsidR="00FF4F7E" w:rsidRDefault="00FF4F7E" w:rsidP="00FF4F7E">
      <w:pPr>
        <w:pStyle w:val="Heading1"/>
        <w:rPr>
          <w:lang w:val="en-CA"/>
        </w:rPr>
      </w:pPr>
      <w:r>
        <w:rPr>
          <w:lang w:val="en-CA"/>
        </w:rPr>
        <w:t>Reference</w:t>
      </w:r>
      <w:r w:rsidRPr="005B217D">
        <w:rPr>
          <w:lang w:val="en-CA"/>
        </w:rPr>
        <w:t>s</w:t>
      </w:r>
    </w:p>
    <w:p w14:paraId="774B226D" w14:textId="77777777" w:rsidR="00AC7F33" w:rsidRPr="00AC7F33" w:rsidRDefault="00AC7F33" w:rsidP="007D02D9">
      <w:pPr>
        <w:numPr>
          <w:ilvl w:val="0"/>
          <w:numId w:val="37"/>
        </w:numPr>
        <w:tabs>
          <w:tab w:val="clear" w:pos="360"/>
          <w:tab w:val="clear" w:pos="720"/>
          <w:tab w:val="clear" w:pos="1080"/>
          <w:tab w:val="clear" w:pos="1440"/>
        </w:tabs>
        <w:jc w:val="both"/>
        <w:textAlignment w:val="auto"/>
        <w:rPr>
          <w:lang w:val="en-CA"/>
        </w:rPr>
      </w:pPr>
      <w:r>
        <w:rPr>
          <w:szCs w:val="24"/>
        </w:rPr>
        <w:t xml:space="preserve"> </w:t>
      </w:r>
      <w:r w:rsidR="00E908EB">
        <w:rPr>
          <w:szCs w:val="24"/>
        </w:rPr>
        <w:t>“</w:t>
      </w:r>
      <w:r w:rsidR="00E908EB">
        <w:t xml:space="preserve">SDR backward compatibility requirements for HEVC HDR extension,” </w:t>
      </w:r>
      <w:r w:rsidR="00E908EB">
        <w:rPr>
          <w:szCs w:val="24"/>
        </w:rPr>
        <w:t xml:space="preserve"> </w:t>
      </w:r>
      <w:r w:rsidR="00E908EB">
        <w:rPr>
          <w:lang w:eastAsia="ja-JP"/>
        </w:rPr>
        <w:t>D. Huang, S. Pejhan, P.</w:t>
      </w:r>
      <w:r w:rsidR="00E908EB" w:rsidRPr="00C839A6">
        <w:rPr>
          <w:lang w:eastAsia="ja-JP"/>
        </w:rPr>
        <w:t xml:space="preserve"> Layton</w:t>
      </w:r>
      <w:r w:rsidR="00E908EB">
        <w:rPr>
          <w:lang w:eastAsia="ja-JP"/>
        </w:rPr>
        <w:t>, F. P. Ochoa, Z. Ingah, S. Flamia, S. Ahmed, S. Chen,, P. M. Bandeira,</w:t>
      </w:r>
      <w:r w:rsidR="00E908EB" w:rsidRPr="00EC7C55">
        <w:rPr>
          <w:lang w:eastAsia="ja-JP"/>
        </w:rPr>
        <w:t xml:space="preserve"> </w:t>
      </w:r>
      <w:r w:rsidR="00E908EB">
        <w:rPr>
          <w:lang w:eastAsia="ja-JP"/>
        </w:rPr>
        <w:t>Y. Nishida, L. van de Kerkhof, M. Aitken, C. Johns, K. Singh, E. François, D. Gibellino, R. Stafford, B.</w:t>
      </w:r>
      <w:r w:rsidR="00E908EB" w:rsidRPr="004E2932">
        <w:rPr>
          <w:lang w:eastAsia="ja-JP"/>
        </w:rPr>
        <w:t xml:space="preserve"> Gudowski</w:t>
      </w:r>
      <w:r w:rsidR="00E908EB">
        <w:t xml:space="preserve">, </w:t>
      </w:r>
      <w:r w:rsidR="00E908EB" w:rsidRPr="00E908EB">
        <w:rPr>
          <w:szCs w:val="24"/>
        </w:rPr>
        <w:t>MPEG document M37244, Geneva, Switzerland, Oct. 2015.</w:t>
      </w:r>
    </w:p>
    <w:p w14:paraId="4BF70658" w14:textId="77777777" w:rsidR="00AC7F33" w:rsidRDefault="00AC7F33" w:rsidP="00AC7F33">
      <w:pPr>
        <w:numPr>
          <w:ilvl w:val="0"/>
          <w:numId w:val="37"/>
        </w:numPr>
        <w:jc w:val="both"/>
        <w:textAlignment w:val="auto"/>
        <w:rPr>
          <w:lang w:val="en-CA"/>
        </w:rPr>
      </w:pPr>
      <w:r w:rsidRPr="001B671F">
        <w:rPr>
          <w:lang w:val="en-CA"/>
        </w:rPr>
        <w:t>“</w:t>
      </w:r>
      <w:r w:rsidRPr="00E908EB">
        <w:t>Using an SEI message for Philips CFE proposal</w:t>
      </w:r>
      <w:r w:rsidRPr="001B671F">
        <w:rPr>
          <w:lang w:val="en-CA"/>
        </w:rPr>
        <w:t xml:space="preserve">,” </w:t>
      </w:r>
      <w:r>
        <w:t>H. van Mourik, W. de Haan</w:t>
      </w:r>
      <w:r w:rsidRPr="001B671F">
        <w:rPr>
          <w:lang w:val="en-CA"/>
        </w:rPr>
        <w:t xml:space="preserve">, </w:t>
      </w:r>
      <w:r>
        <w:rPr>
          <w:szCs w:val="24"/>
        </w:rPr>
        <w:t>MPEG document M37224, Geneva, Switzerland, Oct. 2015</w:t>
      </w:r>
      <w:r w:rsidRPr="001B671F">
        <w:rPr>
          <w:lang w:val="en-CA"/>
        </w:rPr>
        <w:t>.</w:t>
      </w:r>
    </w:p>
    <w:p w14:paraId="5EBB4478" w14:textId="77777777" w:rsidR="00AC7F33" w:rsidRPr="00E908EB" w:rsidRDefault="00AC7F33" w:rsidP="00AC7F33">
      <w:pPr>
        <w:numPr>
          <w:ilvl w:val="0"/>
          <w:numId w:val="37"/>
        </w:numPr>
        <w:jc w:val="both"/>
        <w:textAlignment w:val="auto"/>
        <w:rPr>
          <w:lang w:val="en-CA"/>
        </w:rPr>
      </w:pPr>
      <w:bookmarkStart w:id="5" w:name="_Ref422171165"/>
      <w:r w:rsidRPr="001B671F">
        <w:rPr>
          <w:lang w:val="en-CA"/>
        </w:rPr>
        <w:t>“</w:t>
      </w:r>
      <w:r>
        <w:t>Test model draft for SDR backward compatibility from CE2.2.a proposal</w:t>
      </w:r>
      <w:r w:rsidRPr="001B671F">
        <w:rPr>
          <w:lang w:val="en-CA"/>
        </w:rPr>
        <w:t xml:space="preserve">,” </w:t>
      </w:r>
      <w:r>
        <w:t xml:space="preserve">E. </w:t>
      </w:r>
      <w:r w:rsidRPr="001B671F">
        <w:rPr>
          <w:szCs w:val="22"/>
          <w:lang w:val="en-CA"/>
        </w:rPr>
        <w:t>François</w:t>
      </w:r>
      <w:r>
        <w:t>, F. Galpin, S. Lasserre, F. Le Leannec, T. Poirier</w:t>
      </w:r>
      <w:r w:rsidRPr="001B671F">
        <w:rPr>
          <w:lang w:val="en-CA"/>
        </w:rPr>
        <w:t xml:space="preserve">, </w:t>
      </w:r>
      <w:r>
        <w:rPr>
          <w:szCs w:val="24"/>
        </w:rPr>
        <w:t>MPEG document M37400, Geneva, Switzerland, Oct. 2015</w:t>
      </w:r>
      <w:r w:rsidRPr="001B671F">
        <w:rPr>
          <w:lang w:val="en-CA"/>
        </w:rPr>
        <w:t>.</w:t>
      </w:r>
      <w:bookmarkEnd w:id="5"/>
    </w:p>
    <w:p w14:paraId="513E9C04" w14:textId="77777777" w:rsidR="00AC7F33" w:rsidRPr="00E73F92" w:rsidRDefault="00AC7F33" w:rsidP="00AC7F33">
      <w:pPr>
        <w:numPr>
          <w:ilvl w:val="0"/>
          <w:numId w:val="37"/>
        </w:numPr>
        <w:jc w:val="both"/>
        <w:textAlignment w:val="auto"/>
        <w:rPr>
          <w:lang w:val="en-CA"/>
        </w:rPr>
      </w:pPr>
      <w:bookmarkStart w:id="6" w:name="_Ref421549950"/>
      <w:r>
        <w:rPr>
          <w:szCs w:val="24"/>
        </w:rPr>
        <w:t>“</w:t>
      </w:r>
      <w:r>
        <w:t xml:space="preserve">Proposed initial Test Model for HEVC HDR extension,” </w:t>
      </w:r>
      <w:r>
        <w:rPr>
          <w:szCs w:val="24"/>
        </w:rPr>
        <w:t xml:space="preserve"> </w:t>
      </w:r>
      <w:r>
        <w:t xml:space="preserve">R. Brondijk, R. Goris, R. van der Vleuten, L. van de Kerkhof, D. Rusanovskyy, A. Ramasubramonian, D. Bugdayci, S. Lee, J. Sole, M. Karczewicz, F. Galpin, S. Lasserre, F. Le Leannec, T. Poirier, E. </w:t>
      </w:r>
      <w:r w:rsidRPr="001B671F">
        <w:rPr>
          <w:szCs w:val="22"/>
          <w:lang w:val="en-CA"/>
        </w:rPr>
        <w:t>François</w:t>
      </w:r>
      <w:r>
        <w:t xml:space="preserve">, </w:t>
      </w:r>
      <w:r>
        <w:rPr>
          <w:szCs w:val="24"/>
        </w:rPr>
        <w:t>MPEG document M37285, Geneva, Switzerland</w:t>
      </w:r>
      <w:bookmarkEnd w:id="6"/>
      <w:r>
        <w:rPr>
          <w:szCs w:val="24"/>
        </w:rPr>
        <w:t>, Oct. 2015.</w:t>
      </w:r>
    </w:p>
    <w:p w14:paraId="6D25C8E1" w14:textId="7470A354" w:rsidR="00FF4F7E" w:rsidRDefault="00AC7F33" w:rsidP="00AC7F33">
      <w:pPr>
        <w:numPr>
          <w:ilvl w:val="0"/>
          <w:numId w:val="37"/>
        </w:numPr>
        <w:tabs>
          <w:tab w:val="clear" w:pos="360"/>
          <w:tab w:val="clear" w:pos="720"/>
          <w:tab w:val="clear" w:pos="1080"/>
          <w:tab w:val="clear" w:pos="1440"/>
        </w:tabs>
        <w:jc w:val="both"/>
        <w:textAlignment w:val="auto"/>
        <w:rPr>
          <w:lang w:val="en-CA"/>
        </w:rPr>
      </w:pPr>
      <w:r w:rsidRPr="001B671F">
        <w:rPr>
          <w:lang w:val="en-CA"/>
        </w:rPr>
        <w:t>“</w:t>
      </w:r>
      <w:r w:rsidRPr="001B671F">
        <w:rPr>
          <w:szCs w:val="22"/>
          <w:lang w:val="en-CA"/>
        </w:rPr>
        <w:t>Description of the reshaper parameters derivation process in ETM reference software</w:t>
      </w:r>
      <w:r w:rsidRPr="001B671F">
        <w:rPr>
          <w:lang w:val="en-CA"/>
        </w:rPr>
        <w:t xml:space="preserve">,” </w:t>
      </w:r>
      <w:r w:rsidRPr="001B671F">
        <w:rPr>
          <w:szCs w:val="22"/>
          <w:lang w:val="en-CA"/>
        </w:rPr>
        <w:t>K. Minoo, T. Lu, P. Yin, L. Kerofsky, D. Rusanovskyy, E. François</w:t>
      </w:r>
      <w:r w:rsidRPr="001B671F">
        <w:rPr>
          <w:lang w:val="en-CA"/>
        </w:rPr>
        <w:t>, JCTVC-W0031/MPEG M37536, San Diego, USA</w:t>
      </w:r>
      <w:r>
        <w:rPr>
          <w:lang w:val="en-CA"/>
        </w:rPr>
        <w:t>, Feb.</w:t>
      </w:r>
      <w:r w:rsidRPr="001B671F">
        <w:rPr>
          <w:lang w:val="en-CA"/>
        </w:rPr>
        <w:t xml:space="preserve"> 2016.</w:t>
      </w:r>
      <w:r w:rsidR="00E908EB" w:rsidRPr="00AC7F33">
        <w:rPr>
          <w:lang w:val="en-CA"/>
        </w:rPr>
        <w:tab/>
      </w:r>
    </w:p>
    <w:p w14:paraId="52A9490F" w14:textId="77777777" w:rsidR="007725B5" w:rsidRPr="00AC7F33" w:rsidRDefault="007725B5" w:rsidP="007725B5">
      <w:pPr>
        <w:tabs>
          <w:tab w:val="clear" w:pos="360"/>
          <w:tab w:val="clear" w:pos="720"/>
          <w:tab w:val="clear" w:pos="1080"/>
          <w:tab w:val="clear" w:pos="1440"/>
        </w:tabs>
        <w:ind w:left="720"/>
        <w:jc w:val="both"/>
        <w:textAlignment w:val="auto"/>
        <w:rPr>
          <w:lang w:val="en-CA"/>
        </w:rPr>
      </w:pPr>
    </w:p>
    <w:p w14:paraId="23DC2A74" w14:textId="4A74DBB6" w:rsidR="00FF4F7E" w:rsidRPr="005B217D" w:rsidRDefault="00FF4F7E" w:rsidP="00FF4F7E">
      <w:pPr>
        <w:pStyle w:val="Heading1"/>
        <w:rPr>
          <w:lang w:val="en-CA"/>
        </w:rPr>
      </w:pPr>
      <w:r w:rsidRPr="005B217D">
        <w:rPr>
          <w:lang w:val="en-CA"/>
        </w:rPr>
        <w:t>Patent rights declarations</w:t>
      </w:r>
    </w:p>
    <w:p w14:paraId="15C244F5" w14:textId="66ACC932" w:rsidR="00EE5686" w:rsidRPr="005B217D" w:rsidRDefault="00EE5686" w:rsidP="00EE5686">
      <w:pPr>
        <w:jc w:val="both"/>
        <w:rPr>
          <w:szCs w:val="22"/>
          <w:lang w:val="en-CA"/>
        </w:rPr>
      </w:pPr>
      <w:r>
        <w:rPr>
          <w:b/>
          <w:szCs w:val="22"/>
          <w:lang w:val="en-CA"/>
        </w:rPr>
        <w:t>Philips</w:t>
      </w:r>
      <w:r w:rsidRPr="005B217D">
        <w:rPr>
          <w:b/>
          <w:szCs w:val="22"/>
          <w:lang w:val="en-CA"/>
        </w:rPr>
        <w:t xml:space="preserve"> does not have any current or pending patent rights relating to the technology described in this contribution.</w:t>
      </w:r>
    </w:p>
    <w:p w14:paraId="58DC3961" w14:textId="77777777" w:rsidR="00EE5686" w:rsidRPr="005B217D" w:rsidRDefault="00EE5686" w:rsidP="00EE5686">
      <w:pPr>
        <w:jc w:val="both"/>
        <w:rPr>
          <w:szCs w:val="22"/>
          <w:lang w:val="en-CA"/>
        </w:rPr>
      </w:pPr>
      <w:r>
        <w:rPr>
          <w:b/>
          <w:szCs w:val="22"/>
          <w:lang w:val="en-CA"/>
        </w:rPr>
        <w:t>Technicolor</w:t>
      </w:r>
      <w:r w:rsidRPr="005B217D">
        <w:rPr>
          <w:b/>
          <w:szCs w:val="22"/>
          <w:lang w:val="en-CA"/>
        </w:rPr>
        <w:t xml:space="preserve"> does not have any current or pending patent rights relating to the technology described in this contribution.</w:t>
      </w:r>
    </w:p>
    <w:p w14:paraId="7B1D9C3B" w14:textId="77777777" w:rsidR="007F1F8B" w:rsidRPr="005B217D" w:rsidRDefault="007F1F8B" w:rsidP="009234A5">
      <w:pPr>
        <w:jc w:val="both"/>
        <w:rPr>
          <w:szCs w:val="22"/>
          <w:lang w:val="en-CA"/>
        </w:rPr>
      </w:pPr>
    </w:p>
    <w:sectPr w:rsidR="007F1F8B" w:rsidRPr="005B217D" w:rsidSect="00A01439">
      <w:headerReference w:type="even" r:id="rId15"/>
      <w:headerReference w:type="default" r:id="rId16"/>
      <w:footerReference w:type="even" r:id="rId17"/>
      <w:footerReference w:type="default" r:id="rId18"/>
      <w:headerReference w:type="first" r:id="rId19"/>
      <w:footerReference w:type="firs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AC778" w14:textId="77777777" w:rsidR="00F83C65" w:rsidRDefault="00F83C65">
      <w:r>
        <w:separator/>
      </w:r>
    </w:p>
  </w:endnote>
  <w:endnote w:type="continuationSeparator" w:id="0">
    <w:p w14:paraId="3A241823" w14:textId="77777777" w:rsidR="00F83C65" w:rsidRDefault="00F8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EDD" w14:textId="77777777" w:rsidR="004E5E59" w:rsidRDefault="004E5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79161A00" w:rsidR="004E5E59" w:rsidRDefault="004E5E5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44F1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50DDF">
      <w:rPr>
        <w:rStyle w:val="PageNumber"/>
        <w:noProof/>
      </w:rPr>
      <w:t>2016-02-08</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E557" w14:textId="77777777" w:rsidR="004E5E59" w:rsidRDefault="004E5E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C6302" w14:textId="77777777" w:rsidR="00F83C65" w:rsidRDefault="00F83C65">
      <w:r>
        <w:separator/>
      </w:r>
    </w:p>
  </w:footnote>
  <w:footnote w:type="continuationSeparator" w:id="0">
    <w:p w14:paraId="491AC9A7" w14:textId="77777777" w:rsidR="00F83C65" w:rsidRDefault="00F83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0FD1" w14:textId="77777777" w:rsidR="004E5E59" w:rsidRDefault="004E5E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43E1" w14:textId="77777777" w:rsidR="004E5E59" w:rsidRDefault="004E5E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05DFD" w14:textId="77777777" w:rsidR="004E5E59" w:rsidRDefault="004E5E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12D7B"/>
    <w:multiLevelType w:val="hybridMultilevel"/>
    <w:tmpl w:val="07102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D6FFC"/>
    <w:multiLevelType w:val="hybridMultilevel"/>
    <w:tmpl w:val="DA4E8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FB58BA"/>
    <w:multiLevelType w:val="hybridMultilevel"/>
    <w:tmpl w:val="653AC25A"/>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C314C"/>
    <w:multiLevelType w:val="multilevel"/>
    <w:tmpl w:val="331C32F2"/>
    <w:lvl w:ilvl="0">
      <w:start w:val="3"/>
      <w:numFmt w:val="decimal"/>
      <w:lvlText w:val="%1."/>
      <w:lvlJc w:val="left"/>
      <w:pPr>
        <w:ind w:left="72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1343066"/>
    <w:multiLevelType w:val="hybridMultilevel"/>
    <w:tmpl w:val="F99EBC4A"/>
    <w:lvl w:ilvl="0" w:tplc="023AA96A">
      <w:start w:val="1"/>
      <w:numFmt w:val="bullet"/>
      <w:lvlText w:val=""/>
      <w:lvlJc w:val="left"/>
      <w:pPr>
        <w:tabs>
          <w:tab w:val="num" w:pos="720"/>
        </w:tabs>
        <w:ind w:left="720" w:hanging="360"/>
      </w:pPr>
      <w:rPr>
        <w:rFonts w:ascii="Wingdings" w:hAnsi="Wingdings" w:hint="default"/>
      </w:rPr>
    </w:lvl>
    <w:lvl w:ilvl="1" w:tplc="CDBC28E8" w:tentative="1">
      <w:start w:val="1"/>
      <w:numFmt w:val="bullet"/>
      <w:lvlText w:val=""/>
      <w:lvlJc w:val="left"/>
      <w:pPr>
        <w:tabs>
          <w:tab w:val="num" w:pos="1440"/>
        </w:tabs>
        <w:ind w:left="1440" w:hanging="360"/>
      </w:pPr>
      <w:rPr>
        <w:rFonts w:ascii="Wingdings" w:hAnsi="Wingdings" w:hint="default"/>
      </w:rPr>
    </w:lvl>
    <w:lvl w:ilvl="2" w:tplc="9DB243E6">
      <w:start w:val="1"/>
      <w:numFmt w:val="bullet"/>
      <w:lvlText w:val=""/>
      <w:lvlJc w:val="left"/>
      <w:pPr>
        <w:tabs>
          <w:tab w:val="num" w:pos="2160"/>
        </w:tabs>
        <w:ind w:left="2160" w:hanging="360"/>
      </w:pPr>
      <w:rPr>
        <w:rFonts w:ascii="Wingdings" w:hAnsi="Wingdings" w:hint="default"/>
      </w:rPr>
    </w:lvl>
    <w:lvl w:ilvl="3" w:tplc="4BAA1A00" w:tentative="1">
      <w:start w:val="1"/>
      <w:numFmt w:val="bullet"/>
      <w:lvlText w:val=""/>
      <w:lvlJc w:val="left"/>
      <w:pPr>
        <w:tabs>
          <w:tab w:val="num" w:pos="2880"/>
        </w:tabs>
        <w:ind w:left="2880" w:hanging="360"/>
      </w:pPr>
      <w:rPr>
        <w:rFonts w:ascii="Wingdings" w:hAnsi="Wingdings" w:hint="default"/>
      </w:rPr>
    </w:lvl>
    <w:lvl w:ilvl="4" w:tplc="B720F5D4" w:tentative="1">
      <w:start w:val="1"/>
      <w:numFmt w:val="bullet"/>
      <w:lvlText w:val=""/>
      <w:lvlJc w:val="left"/>
      <w:pPr>
        <w:tabs>
          <w:tab w:val="num" w:pos="3600"/>
        </w:tabs>
        <w:ind w:left="3600" w:hanging="360"/>
      </w:pPr>
      <w:rPr>
        <w:rFonts w:ascii="Wingdings" w:hAnsi="Wingdings" w:hint="default"/>
      </w:rPr>
    </w:lvl>
    <w:lvl w:ilvl="5" w:tplc="7C94C1EC" w:tentative="1">
      <w:start w:val="1"/>
      <w:numFmt w:val="bullet"/>
      <w:lvlText w:val=""/>
      <w:lvlJc w:val="left"/>
      <w:pPr>
        <w:tabs>
          <w:tab w:val="num" w:pos="4320"/>
        </w:tabs>
        <w:ind w:left="4320" w:hanging="360"/>
      </w:pPr>
      <w:rPr>
        <w:rFonts w:ascii="Wingdings" w:hAnsi="Wingdings" w:hint="default"/>
      </w:rPr>
    </w:lvl>
    <w:lvl w:ilvl="6" w:tplc="F22892D2" w:tentative="1">
      <w:start w:val="1"/>
      <w:numFmt w:val="bullet"/>
      <w:lvlText w:val=""/>
      <w:lvlJc w:val="left"/>
      <w:pPr>
        <w:tabs>
          <w:tab w:val="num" w:pos="5040"/>
        </w:tabs>
        <w:ind w:left="5040" w:hanging="360"/>
      </w:pPr>
      <w:rPr>
        <w:rFonts w:ascii="Wingdings" w:hAnsi="Wingdings" w:hint="default"/>
      </w:rPr>
    </w:lvl>
    <w:lvl w:ilvl="7" w:tplc="0B08B4DA" w:tentative="1">
      <w:start w:val="1"/>
      <w:numFmt w:val="bullet"/>
      <w:lvlText w:val=""/>
      <w:lvlJc w:val="left"/>
      <w:pPr>
        <w:tabs>
          <w:tab w:val="num" w:pos="5760"/>
        </w:tabs>
        <w:ind w:left="5760" w:hanging="360"/>
      </w:pPr>
      <w:rPr>
        <w:rFonts w:ascii="Wingdings" w:hAnsi="Wingdings" w:hint="default"/>
      </w:rPr>
    </w:lvl>
    <w:lvl w:ilvl="8" w:tplc="9648E0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6A4C3E"/>
    <w:multiLevelType w:val="hybridMultilevel"/>
    <w:tmpl w:val="70AC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F5820"/>
    <w:multiLevelType w:val="hybridMultilevel"/>
    <w:tmpl w:val="38B87B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820C8"/>
    <w:multiLevelType w:val="hybridMultilevel"/>
    <w:tmpl w:val="C0C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6914DA6"/>
    <w:multiLevelType w:val="hybridMultilevel"/>
    <w:tmpl w:val="5A366346"/>
    <w:lvl w:ilvl="0" w:tplc="74787D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163B3A"/>
    <w:multiLevelType w:val="hybridMultilevel"/>
    <w:tmpl w:val="B136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5358E"/>
    <w:multiLevelType w:val="hybridMultilevel"/>
    <w:tmpl w:val="F182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0D3934"/>
    <w:multiLevelType w:val="hybridMultilevel"/>
    <w:tmpl w:val="6C9E5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DE30D6"/>
    <w:multiLevelType w:val="hybridMultilevel"/>
    <w:tmpl w:val="0EB24460"/>
    <w:lvl w:ilvl="0" w:tplc="A94C472E">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70213"/>
    <w:multiLevelType w:val="hybridMultilevel"/>
    <w:tmpl w:val="6D3AE912"/>
    <w:lvl w:ilvl="0" w:tplc="F5E2A9CC">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1B0AB1"/>
    <w:multiLevelType w:val="hybridMultilevel"/>
    <w:tmpl w:val="A2401482"/>
    <w:lvl w:ilvl="0" w:tplc="73A4DF76">
      <w:numFmt w:val="bullet"/>
      <w:lvlText w:val="-"/>
      <w:lvlJc w:val="left"/>
      <w:pPr>
        <w:ind w:left="1440" w:hanging="360"/>
      </w:pPr>
      <w:rPr>
        <w:rFonts w:ascii="Calibri" w:eastAsia="MS Mincho"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40D3443"/>
    <w:multiLevelType w:val="hybridMultilevel"/>
    <w:tmpl w:val="6CD498E4"/>
    <w:lvl w:ilvl="0" w:tplc="CFE08434">
      <w:start w:val="1"/>
      <w:numFmt w:val="bullet"/>
      <w:lvlText w:val=""/>
      <w:lvlJc w:val="left"/>
      <w:pPr>
        <w:tabs>
          <w:tab w:val="num" w:pos="720"/>
        </w:tabs>
        <w:ind w:left="720" w:hanging="360"/>
      </w:pPr>
      <w:rPr>
        <w:rFonts w:ascii="Wingdings" w:hAnsi="Wingdings" w:hint="default"/>
      </w:rPr>
    </w:lvl>
    <w:lvl w:ilvl="1" w:tplc="65583E80" w:tentative="1">
      <w:start w:val="1"/>
      <w:numFmt w:val="bullet"/>
      <w:lvlText w:val=""/>
      <w:lvlJc w:val="left"/>
      <w:pPr>
        <w:tabs>
          <w:tab w:val="num" w:pos="1440"/>
        </w:tabs>
        <w:ind w:left="1440" w:hanging="360"/>
      </w:pPr>
      <w:rPr>
        <w:rFonts w:ascii="Wingdings" w:hAnsi="Wingdings" w:hint="default"/>
      </w:rPr>
    </w:lvl>
    <w:lvl w:ilvl="2" w:tplc="28E8C492">
      <w:start w:val="1"/>
      <w:numFmt w:val="bullet"/>
      <w:lvlText w:val=""/>
      <w:lvlJc w:val="left"/>
      <w:pPr>
        <w:tabs>
          <w:tab w:val="num" w:pos="2160"/>
        </w:tabs>
        <w:ind w:left="2160" w:hanging="360"/>
      </w:pPr>
      <w:rPr>
        <w:rFonts w:ascii="Wingdings" w:hAnsi="Wingdings" w:hint="default"/>
      </w:rPr>
    </w:lvl>
    <w:lvl w:ilvl="3" w:tplc="CC7EAC5E" w:tentative="1">
      <w:start w:val="1"/>
      <w:numFmt w:val="bullet"/>
      <w:lvlText w:val=""/>
      <w:lvlJc w:val="left"/>
      <w:pPr>
        <w:tabs>
          <w:tab w:val="num" w:pos="2880"/>
        </w:tabs>
        <w:ind w:left="2880" w:hanging="360"/>
      </w:pPr>
      <w:rPr>
        <w:rFonts w:ascii="Wingdings" w:hAnsi="Wingdings" w:hint="default"/>
      </w:rPr>
    </w:lvl>
    <w:lvl w:ilvl="4" w:tplc="FFB2FFB8" w:tentative="1">
      <w:start w:val="1"/>
      <w:numFmt w:val="bullet"/>
      <w:lvlText w:val=""/>
      <w:lvlJc w:val="left"/>
      <w:pPr>
        <w:tabs>
          <w:tab w:val="num" w:pos="3600"/>
        </w:tabs>
        <w:ind w:left="3600" w:hanging="360"/>
      </w:pPr>
      <w:rPr>
        <w:rFonts w:ascii="Wingdings" w:hAnsi="Wingdings" w:hint="default"/>
      </w:rPr>
    </w:lvl>
    <w:lvl w:ilvl="5" w:tplc="D3F0465A" w:tentative="1">
      <w:start w:val="1"/>
      <w:numFmt w:val="bullet"/>
      <w:lvlText w:val=""/>
      <w:lvlJc w:val="left"/>
      <w:pPr>
        <w:tabs>
          <w:tab w:val="num" w:pos="4320"/>
        </w:tabs>
        <w:ind w:left="4320" w:hanging="360"/>
      </w:pPr>
      <w:rPr>
        <w:rFonts w:ascii="Wingdings" w:hAnsi="Wingdings" w:hint="default"/>
      </w:rPr>
    </w:lvl>
    <w:lvl w:ilvl="6" w:tplc="5FFA628C" w:tentative="1">
      <w:start w:val="1"/>
      <w:numFmt w:val="bullet"/>
      <w:lvlText w:val=""/>
      <w:lvlJc w:val="left"/>
      <w:pPr>
        <w:tabs>
          <w:tab w:val="num" w:pos="5040"/>
        </w:tabs>
        <w:ind w:left="5040" w:hanging="360"/>
      </w:pPr>
      <w:rPr>
        <w:rFonts w:ascii="Wingdings" w:hAnsi="Wingdings" w:hint="default"/>
      </w:rPr>
    </w:lvl>
    <w:lvl w:ilvl="7" w:tplc="15C0AE8C" w:tentative="1">
      <w:start w:val="1"/>
      <w:numFmt w:val="bullet"/>
      <w:lvlText w:val=""/>
      <w:lvlJc w:val="left"/>
      <w:pPr>
        <w:tabs>
          <w:tab w:val="num" w:pos="5760"/>
        </w:tabs>
        <w:ind w:left="5760" w:hanging="360"/>
      </w:pPr>
      <w:rPr>
        <w:rFonts w:ascii="Wingdings" w:hAnsi="Wingdings" w:hint="default"/>
      </w:rPr>
    </w:lvl>
    <w:lvl w:ilvl="8" w:tplc="E482CB1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2F1232"/>
    <w:multiLevelType w:val="hybridMultilevel"/>
    <w:tmpl w:val="7DA6C124"/>
    <w:lvl w:ilvl="0" w:tplc="D1DEB5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462D08"/>
    <w:multiLevelType w:val="hybridMultilevel"/>
    <w:tmpl w:val="D908B7E2"/>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D04069"/>
    <w:multiLevelType w:val="hybridMultilevel"/>
    <w:tmpl w:val="206668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0" w15:restartNumberingAfterBreak="0">
    <w:nsid w:val="6C8E4355"/>
    <w:multiLevelType w:val="hybridMultilevel"/>
    <w:tmpl w:val="44DE75B2"/>
    <w:lvl w:ilvl="0" w:tplc="F2400A30">
      <w:start w:val="1"/>
      <w:numFmt w:val="low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31" w15:restartNumberingAfterBreak="0">
    <w:nsid w:val="70677E8B"/>
    <w:multiLevelType w:val="hybridMultilevel"/>
    <w:tmpl w:val="CFEC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482304"/>
    <w:multiLevelType w:val="hybridMultilevel"/>
    <w:tmpl w:val="FF04C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9"/>
  </w:num>
  <w:num w:numId="3">
    <w:abstractNumId w:val="24"/>
  </w:num>
  <w:num w:numId="4">
    <w:abstractNumId w:val="22"/>
  </w:num>
  <w:num w:numId="5">
    <w:abstractNumId w:val="23"/>
  </w:num>
  <w:num w:numId="6">
    <w:abstractNumId w:val="13"/>
  </w:num>
  <w:num w:numId="7">
    <w:abstractNumId w:val="18"/>
  </w:num>
  <w:num w:numId="8">
    <w:abstractNumId w:val="13"/>
  </w:num>
  <w:num w:numId="9">
    <w:abstractNumId w:val="1"/>
  </w:num>
  <w:num w:numId="10">
    <w:abstractNumId w:val="12"/>
  </w:num>
  <w:num w:numId="11">
    <w:abstractNumId w:val="6"/>
  </w:num>
  <w:num w:numId="12">
    <w:abstractNumId w:val="11"/>
  </w:num>
  <w:num w:numId="13">
    <w:abstractNumId w:val="13"/>
  </w:num>
  <w:num w:numId="14">
    <w:abstractNumId w:val="13"/>
  </w:num>
  <w:num w:numId="15">
    <w:abstractNumId w:val="13"/>
  </w:num>
  <w:num w:numId="16">
    <w:abstractNumId w:val="16"/>
  </w:num>
  <w:num w:numId="17">
    <w:abstractNumId w:val="17"/>
  </w:num>
  <w:num w:numId="18">
    <w:abstractNumId w:val="9"/>
  </w:num>
  <w:num w:numId="19">
    <w:abstractNumId w:val="13"/>
  </w:num>
  <w:num w:numId="20">
    <w:abstractNumId w:val="27"/>
  </w:num>
  <w:num w:numId="21">
    <w:abstractNumId w:val="26"/>
  </w:num>
  <w:num w:numId="22">
    <w:abstractNumId w:val="8"/>
  </w:num>
  <w:num w:numId="23">
    <w:abstractNumId w:val="5"/>
  </w:num>
  <w:num w:numId="24">
    <w:abstractNumId w:val="25"/>
  </w:num>
  <w:num w:numId="25">
    <w:abstractNumId w:val="3"/>
  </w:num>
  <w:num w:numId="26">
    <w:abstractNumId w:val="2"/>
  </w:num>
  <w:num w:numId="27">
    <w:abstractNumId w:val="20"/>
  </w:num>
  <w:num w:numId="28">
    <w:abstractNumId w:val="15"/>
  </w:num>
  <w:num w:numId="29">
    <w:abstractNumId w:val="21"/>
  </w:num>
  <w:num w:numId="30">
    <w:abstractNumId w:val="7"/>
  </w:num>
  <w:num w:numId="31">
    <w:abstractNumId w:val="19"/>
  </w:num>
  <w:num w:numId="32">
    <w:abstractNumId w:val="10"/>
  </w:num>
  <w:num w:numId="33">
    <w:abstractNumId w:val="14"/>
  </w:num>
  <w:num w:numId="34">
    <w:abstractNumId w:val="30"/>
  </w:num>
  <w:num w:numId="35">
    <w:abstractNumId w:val="28"/>
  </w:num>
  <w:num w:numId="36">
    <w:abstractNumId w:val="31"/>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441"/>
    <w:rsid w:val="00005756"/>
    <w:rsid w:val="0002184B"/>
    <w:rsid w:val="0002300A"/>
    <w:rsid w:val="00027ADA"/>
    <w:rsid w:val="000308A3"/>
    <w:rsid w:val="000445BD"/>
    <w:rsid w:val="000458BC"/>
    <w:rsid w:val="00045C41"/>
    <w:rsid w:val="00046C03"/>
    <w:rsid w:val="00057C84"/>
    <w:rsid w:val="00060A23"/>
    <w:rsid w:val="0006100F"/>
    <w:rsid w:val="00065039"/>
    <w:rsid w:val="0007614F"/>
    <w:rsid w:val="00077CAF"/>
    <w:rsid w:val="000A0AD0"/>
    <w:rsid w:val="000B07B9"/>
    <w:rsid w:val="000B0C0F"/>
    <w:rsid w:val="000B1C6B"/>
    <w:rsid w:val="000B4FF9"/>
    <w:rsid w:val="000B7EEB"/>
    <w:rsid w:val="000C09AC"/>
    <w:rsid w:val="000E00F3"/>
    <w:rsid w:val="000F158C"/>
    <w:rsid w:val="000F547B"/>
    <w:rsid w:val="00102F3D"/>
    <w:rsid w:val="0010397B"/>
    <w:rsid w:val="00107F89"/>
    <w:rsid w:val="00121DD6"/>
    <w:rsid w:val="00124E38"/>
    <w:rsid w:val="0012580B"/>
    <w:rsid w:val="00131F90"/>
    <w:rsid w:val="00133B8E"/>
    <w:rsid w:val="0013526E"/>
    <w:rsid w:val="001378B4"/>
    <w:rsid w:val="00146152"/>
    <w:rsid w:val="001620C8"/>
    <w:rsid w:val="00171371"/>
    <w:rsid w:val="00175A24"/>
    <w:rsid w:val="0018126B"/>
    <w:rsid w:val="00187E58"/>
    <w:rsid w:val="001A297E"/>
    <w:rsid w:val="001A368E"/>
    <w:rsid w:val="001A7329"/>
    <w:rsid w:val="001A792F"/>
    <w:rsid w:val="001A7CB6"/>
    <w:rsid w:val="001B436D"/>
    <w:rsid w:val="001B4E28"/>
    <w:rsid w:val="001B671F"/>
    <w:rsid w:val="001B761E"/>
    <w:rsid w:val="001C1961"/>
    <w:rsid w:val="001C3525"/>
    <w:rsid w:val="001C3AFB"/>
    <w:rsid w:val="001C5734"/>
    <w:rsid w:val="001D1BD2"/>
    <w:rsid w:val="001D3C04"/>
    <w:rsid w:val="001E02BE"/>
    <w:rsid w:val="001E3B37"/>
    <w:rsid w:val="001E40C4"/>
    <w:rsid w:val="001F2594"/>
    <w:rsid w:val="001F48EA"/>
    <w:rsid w:val="001F5D0C"/>
    <w:rsid w:val="001F7823"/>
    <w:rsid w:val="00203C31"/>
    <w:rsid w:val="00204EE2"/>
    <w:rsid w:val="002055A6"/>
    <w:rsid w:val="00206460"/>
    <w:rsid w:val="002069B4"/>
    <w:rsid w:val="00212A31"/>
    <w:rsid w:val="0021309B"/>
    <w:rsid w:val="00215DFC"/>
    <w:rsid w:val="00217DA5"/>
    <w:rsid w:val="002212DF"/>
    <w:rsid w:val="00222CD4"/>
    <w:rsid w:val="00224E23"/>
    <w:rsid w:val="00225016"/>
    <w:rsid w:val="002264A6"/>
    <w:rsid w:val="00227BA7"/>
    <w:rsid w:val="0023011C"/>
    <w:rsid w:val="002375C1"/>
    <w:rsid w:val="00243D61"/>
    <w:rsid w:val="00243F58"/>
    <w:rsid w:val="00250202"/>
    <w:rsid w:val="00263398"/>
    <w:rsid w:val="00266F06"/>
    <w:rsid w:val="0027165F"/>
    <w:rsid w:val="002723BC"/>
    <w:rsid w:val="00273412"/>
    <w:rsid w:val="00275BCF"/>
    <w:rsid w:val="00291E36"/>
    <w:rsid w:val="00292257"/>
    <w:rsid w:val="002929CC"/>
    <w:rsid w:val="002A454D"/>
    <w:rsid w:val="002A54E0"/>
    <w:rsid w:val="002B1595"/>
    <w:rsid w:val="002B191D"/>
    <w:rsid w:val="002C17FE"/>
    <w:rsid w:val="002D0AF6"/>
    <w:rsid w:val="002D2671"/>
    <w:rsid w:val="002D5389"/>
    <w:rsid w:val="002F164D"/>
    <w:rsid w:val="002F3D8E"/>
    <w:rsid w:val="00304BEA"/>
    <w:rsid w:val="00305429"/>
    <w:rsid w:val="00306206"/>
    <w:rsid w:val="003076B4"/>
    <w:rsid w:val="00314EA1"/>
    <w:rsid w:val="00317658"/>
    <w:rsid w:val="00317D85"/>
    <w:rsid w:val="00327C56"/>
    <w:rsid w:val="0033117E"/>
    <w:rsid w:val="003315A1"/>
    <w:rsid w:val="00334C74"/>
    <w:rsid w:val="003373EC"/>
    <w:rsid w:val="00342FF4"/>
    <w:rsid w:val="00343A55"/>
    <w:rsid w:val="00346148"/>
    <w:rsid w:val="003639FD"/>
    <w:rsid w:val="003669EA"/>
    <w:rsid w:val="003706CC"/>
    <w:rsid w:val="00377710"/>
    <w:rsid w:val="00377CF5"/>
    <w:rsid w:val="003A2D8E"/>
    <w:rsid w:val="003A33B6"/>
    <w:rsid w:val="003A593F"/>
    <w:rsid w:val="003A7CE6"/>
    <w:rsid w:val="003B1689"/>
    <w:rsid w:val="003B38BF"/>
    <w:rsid w:val="003B627B"/>
    <w:rsid w:val="003C20E4"/>
    <w:rsid w:val="003D4722"/>
    <w:rsid w:val="003D6342"/>
    <w:rsid w:val="003E1B56"/>
    <w:rsid w:val="003E6F90"/>
    <w:rsid w:val="003F47C1"/>
    <w:rsid w:val="003F5D0F"/>
    <w:rsid w:val="004004BF"/>
    <w:rsid w:val="00402218"/>
    <w:rsid w:val="004064E7"/>
    <w:rsid w:val="00410C1F"/>
    <w:rsid w:val="00414101"/>
    <w:rsid w:val="004231C3"/>
    <w:rsid w:val="004234F0"/>
    <w:rsid w:val="0043337E"/>
    <w:rsid w:val="00433DDB"/>
    <w:rsid w:val="00437619"/>
    <w:rsid w:val="00447A29"/>
    <w:rsid w:val="0045256F"/>
    <w:rsid w:val="00452E3B"/>
    <w:rsid w:val="00460682"/>
    <w:rsid w:val="004614A1"/>
    <w:rsid w:val="00465A1E"/>
    <w:rsid w:val="00481E36"/>
    <w:rsid w:val="004944E5"/>
    <w:rsid w:val="004A11E1"/>
    <w:rsid w:val="004A2A63"/>
    <w:rsid w:val="004A3C28"/>
    <w:rsid w:val="004B210C"/>
    <w:rsid w:val="004C282A"/>
    <w:rsid w:val="004C5E1F"/>
    <w:rsid w:val="004C6135"/>
    <w:rsid w:val="004D405F"/>
    <w:rsid w:val="004D44AF"/>
    <w:rsid w:val="004E3794"/>
    <w:rsid w:val="004E4270"/>
    <w:rsid w:val="004E4F4A"/>
    <w:rsid w:val="004E4F4F"/>
    <w:rsid w:val="004E5E59"/>
    <w:rsid w:val="004E6789"/>
    <w:rsid w:val="004F1DE3"/>
    <w:rsid w:val="004F2018"/>
    <w:rsid w:val="004F61E3"/>
    <w:rsid w:val="00502E10"/>
    <w:rsid w:val="0051015C"/>
    <w:rsid w:val="00516CF1"/>
    <w:rsid w:val="00522869"/>
    <w:rsid w:val="00527BE2"/>
    <w:rsid w:val="00531AE9"/>
    <w:rsid w:val="005362E8"/>
    <w:rsid w:val="00550A66"/>
    <w:rsid w:val="0056483D"/>
    <w:rsid w:val="00567EC7"/>
    <w:rsid w:val="00570013"/>
    <w:rsid w:val="00575687"/>
    <w:rsid w:val="005801A2"/>
    <w:rsid w:val="005910A0"/>
    <w:rsid w:val="005952A5"/>
    <w:rsid w:val="005A33A1"/>
    <w:rsid w:val="005A4D5D"/>
    <w:rsid w:val="005B217D"/>
    <w:rsid w:val="005B52CC"/>
    <w:rsid w:val="005C03D9"/>
    <w:rsid w:val="005C385F"/>
    <w:rsid w:val="005C6EAD"/>
    <w:rsid w:val="005E1AC6"/>
    <w:rsid w:val="005F6F1B"/>
    <w:rsid w:val="00624B33"/>
    <w:rsid w:val="0063041A"/>
    <w:rsid w:val="00630AA2"/>
    <w:rsid w:val="00645FAA"/>
    <w:rsid w:val="00646707"/>
    <w:rsid w:val="00646FAD"/>
    <w:rsid w:val="00657F7E"/>
    <w:rsid w:val="00661AD4"/>
    <w:rsid w:val="00662E58"/>
    <w:rsid w:val="0066390D"/>
    <w:rsid w:val="00664DCF"/>
    <w:rsid w:val="006A771E"/>
    <w:rsid w:val="006B397E"/>
    <w:rsid w:val="006C2BF2"/>
    <w:rsid w:val="006C5D39"/>
    <w:rsid w:val="006D6D9B"/>
    <w:rsid w:val="006E2810"/>
    <w:rsid w:val="006E5417"/>
    <w:rsid w:val="006F1BDD"/>
    <w:rsid w:val="007023DE"/>
    <w:rsid w:val="00712F60"/>
    <w:rsid w:val="00720E3B"/>
    <w:rsid w:val="00731BB1"/>
    <w:rsid w:val="0074393F"/>
    <w:rsid w:val="00745F6B"/>
    <w:rsid w:val="0075585E"/>
    <w:rsid w:val="00760F01"/>
    <w:rsid w:val="0077008B"/>
    <w:rsid w:val="00770571"/>
    <w:rsid w:val="007725B5"/>
    <w:rsid w:val="007768FF"/>
    <w:rsid w:val="007824D3"/>
    <w:rsid w:val="00787B3E"/>
    <w:rsid w:val="007920A4"/>
    <w:rsid w:val="00796EE3"/>
    <w:rsid w:val="007A769D"/>
    <w:rsid w:val="007A7D29"/>
    <w:rsid w:val="007B257B"/>
    <w:rsid w:val="007B4AB8"/>
    <w:rsid w:val="007D02D9"/>
    <w:rsid w:val="007D1181"/>
    <w:rsid w:val="007E01A3"/>
    <w:rsid w:val="007F1F8B"/>
    <w:rsid w:val="007F5354"/>
    <w:rsid w:val="007F67A1"/>
    <w:rsid w:val="00801D4E"/>
    <w:rsid w:val="008050C0"/>
    <w:rsid w:val="008059C0"/>
    <w:rsid w:val="00807A7E"/>
    <w:rsid w:val="00811BE2"/>
    <w:rsid w:val="00811C05"/>
    <w:rsid w:val="008206C8"/>
    <w:rsid w:val="00822AF9"/>
    <w:rsid w:val="0084469C"/>
    <w:rsid w:val="00844F19"/>
    <w:rsid w:val="00863810"/>
    <w:rsid w:val="0086387C"/>
    <w:rsid w:val="0086649C"/>
    <w:rsid w:val="00874A6C"/>
    <w:rsid w:val="00876C65"/>
    <w:rsid w:val="008A23B9"/>
    <w:rsid w:val="008A4B4C"/>
    <w:rsid w:val="008B4EC0"/>
    <w:rsid w:val="008C239F"/>
    <w:rsid w:val="008D5F3B"/>
    <w:rsid w:val="008D7860"/>
    <w:rsid w:val="008E480C"/>
    <w:rsid w:val="009004E8"/>
    <w:rsid w:val="00907757"/>
    <w:rsid w:val="009104FF"/>
    <w:rsid w:val="009212B0"/>
    <w:rsid w:val="00921FA1"/>
    <w:rsid w:val="009234A5"/>
    <w:rsid w:val="009251A8"/>
    <w:rsid w:val="00933453"/>
    <w:rsid w:val="009336F7"/>
    <w:rsid w:val="0093403D"/>
    <w:rsid w:val="0093520F"/>
    <w:rsid w:val="0093636C"/>
    <w:rsid w:val="009374A7"/>
    <w:rsid w:val="00941B9C"/>
    <w:rsid w:val="00954266"/>
    <w:rsid w:val="00955F6D"/>
    <w:rsid w:val="009560F7"/>
    <w:rsid w:val="00963DE1"/>
    <w:rsid w:val="00964783"/>
    <w:rsid w:val="009758F8"/>
    <w:rsid w:val="00980DC7"/>
    <w:rsid w:val="00984BA4"/>
    <w:rsid w:val="0098551D"/>
    <w:rsid w:val="0099518F"/>
    <w:rsid w:val="0099769F"/>
    <w:rsid w:val="009A0824"/>
    <w:rsid w:val="009A523D"/>
    <w:rsid w:val="009A583A"/>
    <w:rsid w:val="009B02A1"/>
    <w:rsid w:val="009D12C6"/>
    <w:rsid w:val="009F4015"/>
    <w:rsid w:val="009F496B"/>
    <w:rsid w:val="00A01439"/>
    <w:rsid w:val="00A02E61"/>
    <w:rsid w:val="00A05CFF"/>
    <w:rsid w:val="00A10819"/>
    <w:rsid w:val="00A13048"/>
    <w:rsid w:val="00A20041"/>
    <w:rsid w:val="00A2379B"/>
    <w:rsid w:val="00A46843"/>
    <w:rsid w:val="00A526EC"/>
    <w:rsid w:val="00A56B97"/>
    <w:rsid w:val="00A6093D"/>
    <w:rsid w:val="00A61B0B"/>
    <w:rsid w:val="00A767DC"/>
    <w:rsid w:val="00A76A6D"/>
    <w:rsid w:val="00A83253"/>
    <w:rsid w:val="00A913D8"/>
    <w:rsid w:val="00A94B10"/>
    <w:rsid w:val="00AA00CC"/>
    <w:rsid w:val="00AA3B83"/>
    <w:rsid w:val="00AA6E84"/>
    <w:rsid w:val="00AB4F01"/>
    <w:rsid w:val="00AC7F33"/>
    <w:rsid w:val="00AD05A8"/>
    <w:rsid w:val="00AD6E45"/>
    <w:rsid w:val="00AE341B"/>
    <w:rsid w:val="00AE38A5"/>
    <w:rsid w:val="00AF5676"/>
    <w:rsid w:val="00B04227"/>
    <w:rsid w:val="00B04776"/>
    <w:rsid w:val="00B07CA7"/>
    <w:rsid w:val="00B1279A"/>
    <w:rsid w:val="00B4194A"/>
    <w:rsid w:val="00B5222E"/>
    <w:rsid w:val="00B53179"/>
    <w:rsid w:val="00B600CD"/>
    <w:rsid w:val="00B61C96"/>
    <w:rsid w:val="00B73A2A"/>
    <w:rsid w:val="00B94B06"/>
    <w:rsid w:val="00B94C28"/>
    <w:rsid w:val="00BB3B8A"/>
    <w:rsid w:val="00BB742C"/>
    <w:rsid w:val="00BC10BA"/>
    <w:rsid w:val="00BC4F6E"/>
    <w:rsid w:val="00BC5AFD"/>
    <w:rsid w:val="00BE5E1A"/>
    <w:rsid w:val="00BE795E"/>
    <w:rsid w:val="00BF0098"/>
    <w:rsid w:val="00BF5E54"/>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50DDF"/>
    <w:rsid w:val="00C606C9"/>
    <w:rsid w:val="00C67519"/>
    <w:rsid w:val="00C7060E"/>
    <w:rsid w:val="00C74B24"/>
    <w:rsid w:val="00C80288"/>
    <w:rsid w:val="00C84003"/>
    <w:rsid w:val="00C841B0"/>
    <w:rsid w:val="00C90650"/>
    <w:rsid w:val="00C91CFE"/>
    <w:rsid w:val="00C97D78"/>
    <w:rsid w:val="00CB4399"/>
    <w:rsid w:val="00CC0EBB"/>
    <w:rsid w:val="00CC2AAE"/>
    <w:rsid w:val="00CC57B2"/>
    <w:rsid w:val="00CC5A42"/>
    <w:rsid w:val="00CD0EAB"/>
    <w:rsid w:val="00CD57EE"/>
    <w:rsid w:val="00CE5E02"/>
    <w:rsid w:val="00CE79AC"/>
    <w:rsid w:val="00CF34DB"/>
    <w:rsid w:val="00CF558F"/>
    <w:rsid w:val="00D010C0"/>
    <w:rsid w:val="00D073E2"/>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1A7C"/>
    <w:rsid w:val="00DC5A8B"/>
    <w:rsid w:val="00DD02F4"/>
    <w:rsid w:val="00DD4A08"/>
    <w:rsid w:val="00DE6B43"/>
    <w:rsid w:val="00E0134F"/>
    <w:rsid w:val="00E04D65"/>
    <w:rsid w:val="00E102AC"/>
    <w:rsid w:val="00E11923"/>
    <w:rsid w:val="00E14D57"/>
    <w:rsid w:val="00E165EA"/>
    <w:rsid w:val="00E20D66"/>
    <w:rsid w:val="00E22DA6"/>
    <w:rsid w:val="00E262D4"/>
    <w:rsid w:val="00E36250"/>
    <w:rsid w:val="00E40154"/>
    <w:rsid w:val="00E47F81"/>
    <w:rsid w:val="00E54511"/>
    <w:rsid w:val="00E61DAC"/>
    <w:rsid w:val="00E70A47"/>
    <w:rsid w:val="00E72B80"/>
    <w:rsid w:val="00E73F92"/>
    <w:rsid w:val="00E75FE3"/>
    <w:rsid w:val="00E86C4C"/>
    <w:rsid w:val="00E87DBC"/>
    <w:rsid w:val="00E907A3"/>
    <w:rsid w:val="00E908EB"/>
    <w:rsid w:val="00EA54C5"/>
    <w:rsid w:val="00EA5AE0"/>
    <w:rsid w:val="00EB7AB1"/>
    <w:rsid w:val="00EC67E5"/>
    <w:rsid w:val="00EE427E"/>
    <w:rsid w:val="00EE5686"/>
    <w:rsid w:val="00EE7CD8"/>
    <w:rsid w:val="00EF48CC"/>
    <w:rsid w:val="00F00801"/>
    <w:rsid w:val="00F155B5"/>
    <w:rsid w:val="00F37031"/>
    <w:rsid w:val="00F63F27"/>
    <w:rsid w:val="00F72F84"/>
    <w:rsid w:val="00F73032"/>
    <w:rsid w:val="00F83C65"/>
    <w:rsid w:val="00F848FC"/>
    <w:rsid w:val="00F85597"/>
    <w:rsid w:val="00F9282A"/>
    <w:rsid w:val="00F96BAD"/>
    <w:rsid w:val="00FA139D"/>
    <w:rsid w:val="00FA1AA8"/>
    <w:rsid w:val="00FA5828"/>
    <w:rsid w:val="00FB0E84"/>
    <w:rsid w:val="00FB255D"/>
    <w:rsid w:val="00FB523F"/>
    <w:rsid w:val="00FC1861"/>
    <w:rsid w:val="00FD01C2"/>
    <w:rsid w:val="00FE595C"/>
    <w:rsid w:val="00FE6358"/>
    <w:rsid w:val="00FF0CE3"/>
    <w:rsid w:val="00FF4F7E"/>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docId w15:val="{B51C7AC1-AA8C-4963-A502-582F7B95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rsid w:val="00964783"/>
    <w:rPr>
      <w:sz w:val="16"/>
      <w:szCs w:val="16"/>
    </w:rPr>
  </w:style>
  <w:style w:type="paragraph" w:styleId="CommentText">
    <w:name w:val="annotation text"/>
    <w:basedOn w:val="Normal"/>
    <w:link w:val="CommentTextChar"/>
    <w:rsid w:val="00964783"/>
    <w:rPr>
      <w:sz w:val="20"/>
    </w:rPr>
  </w:style>
  <w:style w:type="character" w:customStyle="1" w:styleId="CommentTextChar">
    <w:name w:val="Comment Text Char"/>
    <w:link w:val="CommentText"/>
    <w:rsid w:val="00964783"/>
    <w:rPr>
      <w:lang w:eastAsia="en-US"/>
    </w:rPr>
  </w:style>
  <w:style w:type="paragraph" w:styleId="CommentSubject">
    <w:name w:val="annotation subject"/>
    <w:basedOn w:val="CommentText"/>
    <w:next w:val="CommentText"/>
    <w:link w:val="CommentSubjectChar"/>
    <w:rsid w:val="00964783"/>
    <w:rPr>
      <w:b/>
      <w:bCs/>
    </w:rPr>
  </w:style>
  <w:style w:type="character" w:customStyle="1" w:styleId="CommentSubjectChar">
    <w:name w:val="Comment Subject Char"/>
    <w:link w:val="CommentSubject"/>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14118954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ebe.de.haan@philip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eon.van.de.kerkhof@philips.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5D657-FB85-4EBC-BA20-FCB432F3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961</Words>
  <Characters>5483</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Francois Edouard</cp:lastModifiedBy>
  <cp:revision>6</cp:revision>
  <cp:lastPrinted>2016-01-09T02:04:00Z</cp:lastPrinted>
  <dcterms:created xsi:type="dcterms:W3CDTF">2016-02-07T23:28:00Z</dcterms:created>
  <dcterms:modified xsi:type="dcterms:W3CDTF">2016-02-09T20:50:00Z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