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722FC2"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3"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AAB089"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lang w:eastAsia="zh-CN"/>
              </w:rPr>
              <w:drawing>
                <wp:anchor distT="0" distB="0" distL="114300" distR="114300" simplePos="0" relativeHeight="5" behindDoc="0" locked="0" layoutInCell="1" allowOverlap="1" wp14:anchorId="1DC2306B" wp14:editId="3DC836D6">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44EC91E6" wp14:editId="42A5FC72">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F507AD" w:rsidP="00C87BCD">
            <w:pPr>
              <w:tabs>
                <w:tab w:val="left" w:pos="7200"/>
              </w:tabs>
              <w:spacing w:before="0"/>
              <w:rPr>
                <w:b/>
                <w:szCs w:val="22"/>
                <w:lang w:val="en-CA"/>
              </w:rPr>
            </w:pPr>
            <w:r>
              <w:t>23rd</w:t>
            </w:r>
            <w:r w:rsidRPr="00B648F1">
              <w:t xml:space="preserve"> Meeting: </w:t>
            </w:r>
            <w:r w:rsidRPr="00657F7E">
              <w:rPr>
                <w:lang w:val="en-CA"/>
              </w:rPr>
              <w:t>San Diego, USA, 19–26 February 2016</w:t>
            </w:r>
          </w:p>
        </w:tc>
        <w:tc>
          <w:tcPr>
            <w:tcW w:w="3168" w:type="dxa"/>
          </w:tcPr>
          <w:p w:rsidR="008A4B4C" w:rsidRPr="00367021" w:rsidRDefault="00E61DAC" w:rsidP="00DA75CB">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F507AD">
              <w:rPr>
                <w:lang w:val="en-CA"/>
              </w:rPr>
              <w:t>W</w:t>
            </w:r>
            <w:r w:rsidR="00DA75CB">
              <w:rPr>
                <w:lang w:val="en-CA"/>
              </w:rPr>
              <w:t>0032</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367021" w:rsidRDefault="00F507AD" w:rsidP="00F507AD">
            <w:pPr>
              <w:spacing w:before="60" w:after="60"/>
              <w:rPr>
                <w:b/>
                <w:szCs w:val="22"/>
              </w:rPr>
            </w:pPr>
            <w:r w:rsidRPr="00F507AD">
              <w:rPr>
                <w:b/>
                <w:szCs w:val="22"/>
              </w:rPr>
              <w:t>Encoder optimization for HDR/WCG coding</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E61DAC" w:rsidP="00775C51">
            <w:pPr>
              <w:spacing w:before="60" w:after="60"/>
              <w:rPr>
                <w:szCs w:val="22"/>
                <w:lang w:val="en-CA"/>
              </w:rPr>
            </w:pPr>
            <w:r w:rsidRPr="00367021">
              <w:rPr>
                <w:szCs w:val="22"/>
                <w:lang w:val="en-CA"/>
              </w:rPr>
              <w:t>Proposal</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75C51" w:rsidP="00C10490">
            <w:pPr>
              <w:spacing w:before="60" w:after="60"/>
              <w:rPr>
                <w:szCs w:val="22"/>
                <w:lang w:val="en-CA"/>
              </w:rPr>
            </w:pPr>
            <w:r w:rsidRPr="00367021">
              <w:rPr>
                <w:szCs w:val="22"/>
              </w:rPr>
              <w:t>Yuwen He, Yan Ye</w:t>
            </w:r>
            <w:r w:rsidR="00836C99">
              <w:rPr>
                <w:szCs w:val="22"/>
              </w:rPr>
              <w:t xml:space="preserve">, </w:t>
            </w:r>
            <w:r w:rsidR="00F507AD">
              <w:rPr>
                <w:szCs w:val="22"/>
              </w:rPr>
              <w:t>Louis Kerofsky</w:t>
            </w:r>
            <w:r w:rsidR="00185BEF" w:rsidRPr="00367021">
              <w:rPr>
                <w:szCs w:val="22"/>
                <w:lang w:val="en-CA"/>
              </w:rPr>
              <w:t xml:space="preserve"> </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rsidR="005210B2" w:rsidRDefault="005210B2" w:rsidP="00C10490">
            <w:pPr>
              <w:spacing w:before="60" w:after="60"/>
              <w:rPr>
                <w:szCs w:val="22"/>
                <w:lang w:val="en-CA"/>
              </w:rPr>
            </w:pPr>
          </w:p>
          <w:p w:rsidR="00A13BE6" w:rsidRPr="00367021" w:rsidRDefault="00A13BE6"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t>Tel:</w:t>
            </w:r>
            <w:r w:rsidRPr="00367021">
              <w:rPr>
                <w:szCs w:val="22"/>
                <w:lang w:val="en-CA"/>
              </w:rPr>
              <w:br/>
              <w:t>Email:</w:t>
            </w:r>
          </w:p>
        </w:tc>
        <w:tc>
          <w:tcPr>
            <w:tcW w:w="3168" w:type="dxa"/>
          </w:tcPr>
          <w:p w:rsidR="00B66FC9" w:rsidRDefault="00B66FC9" w:rsidP="00BA297C">
            <w:pPr>
              <w:spacing w:before="60" w:after="60"/>
              <w:rPr>
                <w:rStyle w:val="Hyperlink"/>
                <w:szCs w:val="22"/>
                <w:lang w:val="en-CA"/>
              </w:rPr>
            </w:pPr>
            <w:r w:rsidRPr="00367021">
              <w:rPr>
                <w:szCs w:val="22"/>
              </w:rPr>
              <w:t>+1-858-210-4819</w:t>
            </w:r>
            <w:r w:rsidRPr="00367021">
              <w:rPr>
                <w:szCs w:val="22"/>
                <w:lang w:val="en-CA"/>
              </w:rPr>
              <w:br/>
            </w:r>
            <w:hyperlink r:id="rId10" w:history="1">
              <w:r w:rsidR="00F27B57" w:rsidRPr="00367021">
                <w:rPr>
                  <w:rStyle w:val="Hyperlink"/>
                  <w:szCs w:val="22"/>
                  <w:lang w:val="en-CA"/>
                </w:rPr>
                <w:t>yuwen.he@interdigital.com</w:t>
              </w:r>
            </w:hyperlink>
            <w:r w:rsidR="00F27B57" w:rsidRPr="00367021">
              <w:rPr>
                <w:szCs w:val="22"/>
                <w:lang w:val="en-CA"/>
              </w:rPr>
              <w:t xml:space="preserve"> </w:t>
            </w:r>
            <w:hyperlink r:id="rId11" w:history="1">
              <w:r w:rsidR="00F27B57" w:rsidRPr="00367021">
                <w:rPr>
                  <w:rStyle w:val="Hyperlink"/>
                  <w:szCs w:val="22"/>
                  <w:lang w:val="en-CA"/>
                </w:rPr>
                <w:t>yan.ye@interdigital.com</w:t>
              </w:r>
            </w:hyperlink>
            <w:r w:rsidR="00836C99">
              <w:t xml:space="preserve"> </w:t>
            </w:r>
            <w:hyperlink r:id="rId12" w:history="1">
              <w:r w:rsidR="00F507AD" w:rsidRPr="00BA7752">
                <w:rPr>
                  <w:rStyle w:val="Hyperlink"/>
                  <w:szCs w:val="22"/>
                  <w:lang w:val="en-CA"/>
                </w:rPr>
                <w:t>louis.kerofsky@interdigital.com</w:t>
              </w:r>
            </w:hyperlink>
          </w:p>
          <w:p w:rsidR="00A43A36" w:rsidRPr="009B2C58" w:rsidRDefault="00A43A36" w:rsidP="00E33222">
            <w:pPr>
              <w:spacing w:before="60" w:after="60"/>
              <w:rPr>
                <w:b/>
                <w:color w:val="0000FF"/>
                <w:szCs w:val="22"/>
                <w:u w:val="single"/>
                <w:lang w:val="en-CA"/>
              </w:rPr>
            </w:pP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r w:rsidRPr="00367021">
              <w:rPr>
                <w:szCs w:val="22"/>
              </w:rPr>
              <w:t xml:space="preserve">InterDigital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B314A" w:rsidRDefault="00F507AD" w:rsidP="00ED2F61">
      <w:pPr>
        <w:tabs>
          <w:tab w:val="left" w:pos="6480"/>
        </w:tabs>
        <w:jc w:val="both"/>
        <w:rPr>
          <w:rFonts w:eastAsia="Malgun Gothic"/>
          <w:kern w:val="2"/>
        </w:rPr>
      </w:pPr>
      <w:r w:rsidRPr="00291F54">
        <w:rPr>
          <w:lang w:val="en-GB"/>
        </w:rPr>
        <w:t xml:space="preserve">This </w:t>
      </w:r>
      <w:r>
        <w:rPr>
          <w:lang w:val="en-GB"/>
        </w:rPr>
        <w:t>proposal</w:t>
      </w:r>
      <w:r w:rsidRPr="00291F54">
        <w:rPr>
          <w:lang w:val="en-GB"/>
        </w:rPr>
        <w:t xml:space="preserve"> </w:t>
      </w:r>
      <w:r>
        <w:rPr>
          <w:lang w:val="en-GB"/>
        </w:rPr>
        <w:t>reports the testing results for two encoder optimization methods for HDR/WCG coding: deblocking filter parameter selection, and chroma quantization parameter offset adjustment based on CE1 anchor version 3.0.</w:t>
      </w:r>
      <w:r w:rsidRPr="00291F54">
        <w:rPr>
          <w:lang w:val="en-GB"/>
        </w:rPr>
        <w:t xml:space="preserve"> </w:t>
      </w:r>
      <w:r>
        <w:rPr>
          <w:lang w:val="en-GB"/>
        </w:rPr>
        <w:t>These two encoder optimization methods were proposed in last meeting. Viewing results on SIM2 show that, compared to CE1 anchors, quality improvements can be observed: more details and less blocky artifacts, and the quality improvements are more visible at low bitrate.</w:t>
      </w:r>
    </w:p>
    <w:p w:rsidR="00F35982" w:rsidRPr="005B217D" w:rsidRDefault="00F35982" w:rsidP="00DB314A">
      <w:pPr>
        <w:pStyle w:val="Heading1"/>
        <w:rPr>
          <w:lang w:val="en-CA"/>
        </w:rPr>
      </w:pPr>
      <w:r w:rsidRPr="005B217D">
        <w:rPr>
          <w:lang w:val="en-CA"/>
        </w:rPr>
        <w:t xml:space="preserve">Introduction </w:t>
      </w:r>
    </w:p>
    <w:p w:rsidR="006718BC" w:rsidRDefault="006718BC" w:rsidP="006718BC">
      <w:pPr>
        <w:jc w:val="both"/>
        <w:rPr>
          <w:lang w:val="en-GB"/>
        </w:rPr>
      </w:pPr>
      <w:r>
        <w:rPr>
          <w:lang w:val="en-GB"/>
        </w:rPr>
        <w:t xml:space="preserve">Three encoder optimization methods were proposed in m37223 </w:t>
      </w:r>
      <w:r>
        <w:rPr>
          <w:lang w:val="en-GB"/>
        </w:rPr>
        <w:fldChar w:fldCharType="begin"/>
      </w:r>
      <w:r>
        <w:rPr>
          <w:lang w:val="en-GB"/>
        </w:rPr>
        <w:instrText xml:space="preserve"> REF _Ref439775732 \r \h </w:instrText>
      </w:r>
      <w:r>
        <w:rPr>
          <w:lang w:val="en-GB"/>
        </w:rPr>
      </w:r>
      <w:r>
        <w:rPr>
          <w:lang w:val="en-GB"/>
        </w:rPr>
        <w:fldChar w:fldCharType="separate"/>
      </w:r>
      <w:r>
        <w:rPr>
          <w:lang w:val="en-GB"/>
        </w:rPr>
        <w:t>[1]</w:t>
      </w:r>
      <w:r>
        <w:rPr>
          <w:lang w:val="en-GB"/>
        </w:rPr>
        <w:fldChar w:fldCharType="end"/>
      </w:r>
      <w:r>
        <w:rPr>
          <w:lang w:val="en-GB"/>
        </w:rPr>
        <w:t xml:space="preserve">. They were requested to be tested based on the new CE1 anchor </w:t>
      </w:r>
      <w:r>
        <w:rPr>
          <w:lang w:val="en-GB"/>
        </w:rPr>
        <w:fldChar w:fldCharType="begin"/>
      </w:r>
      <w:r>
        <w:rPr>
          <w:lang w:val="en-GB"/>
        </w:rPr>
        <w:instrText xml:space="preserve"> REF _Ref439775907 \r \h </w:instrText>
      </w:r>
      <w:r>
        <w:rPr>
          <w:lang w:val="en-GB"/>
        </w:rPr>
      </w:r>
      <w:r>
        <w:rPr>
          <w:lang w:val="en-GB"/>
        </w:rPr>
        <w:fldChar w:fldCharType="separate"/>
      </w:r>
      <w:r>
        <w:rPr>
          <w:lang w:val="en-GB"/>
        </w:rPr>
        <w:t>[2]</w:t>
      </w:r>
      <w:r>
        <w:rPr>
          <w:lang w:val="en-GB"/>
        </w:rPr>
        <w:fldChar w:fldCharType="end"/>
      </w:r>
      <w:r>
        <w:rPr>
          <w:lang w:val="en-GB"/>
        </w:rPr>
        <w:t>. We integrated the two methods: deblocking filter parameter selection and chroma quantization parameter</w:t>
      </w:r>
      <w:r w:rsidR="008942D8">
        <w:rPr>
          <w:lang w:val="en-GB"/>
        </w:rPr>
        <w:t xml:space="preserve"> (QP)</w:t>
      </w:r>
      <w:r>
        <w:rPr>
          <w:lang w:val="en-GB"/>
        </w:rPr>
        <w:t xml:space="preserve"> offset adjustment based on CE1 anchor V3.0 released on Nov. 21, 2015. </w:t>
      </w:r>
    </w:p>
    <w:p w:rsidR="006718BC" w:rsidRDefault="006718BC" w:rsidP="006718BC">
      <w:pPr>
        <w:jc w:val="both"/>
        <w:rPr>
          <w:lang w:val="en-GB"/>
        </w:rPr>
      </w:pPr>
      <w:r>
        <w:rPr>
          <w:lang w:val="en-GB"/>
        </w:rPr>
        <w:t xml:space="preserve">The deblocking filter parameter selection is to select the optimal deblocking parameters </w:t>
      </w:r>
      <w:r w:rsidRPr="004847FF">
        <w:t>to minimize the distortion between deblocked picture and original picture.</w:t>
      </w:r>
      <w:r>
        <w:rPr>
          <w:lang w:val="en-GB"/>
        </w:rPr>
        <w:t xml:space="preserve"> </w:t>
      </w:r>
    </w:p>
    <w:p w:rsidR="006718BC" w:rsidRDefault="006718BC" w:rsidP="006718BC">
      <w:pPr>
        <w:jc w:val="both"/>
        <w:rPr>
          <w:lang w:val="en-GB"/>
        </w:rPr>
      </w:pPr>
      <w:r>
        <w:rPr>
          <w:lang w:val="en-GB"/>
        </w:rPr>
        <w:t xml:space="preserve">The chroma QP offset adjustment is to adjust the chroma QP offset calculated with sequence level luma QP by considering the temporal level: </w:t>
      </w:r>
      <w:r>
        <w:t>allocating more bits to pictures at lower temporal level than to those at higher temporal level.</w:t>
      </w:r>
      <w:r>
        <w:rPr>
          <w:lang w:val="en-GB"/>
        </w:rPr>
        <w:t xml:space="preserve"> The chroma QP adjustment in anchor V3.0 is computed as follows: </w:t>
      </w:r>
    </w:p>
    <w:p w:rsidR="006718BC" w:rsidRDefault="006718BC" w:rsidP="006718BC">
      <w:pPr>
        <w:ind w:left="720"/>
        <w:jc w:val="both"/>
        <w:rPr>
          <w:lang w:val="en-GB"/>
        </w:rPr>
      </w:pPr>
      <w:r>
        <w:rPr>
          <w:lang w:val="en-GB"/>
        </w:rPr>
        <w:t xml:space="preserve">QPc_offset = S2*(S1*QP + O) </w:t>
      </w:r>
    </w:p>
    <w:p w:rsidR="006718BC" w:rsidRDefault="006718BC" w:rsidP="006718BC">
      <w:pPr>
        <w:jc w:val="both"/>
        <w:rPr>
          <w:lang w:val="en-GB"/>
        </w:rPr>
      </w:pPr>
      <w:r>
        <w:rPr>
          <w:lang w:val="en-GB"/>
        </w:rPr>
        <w:t>where QP is sequence level luma QP, and QPc_offset is chroma QP offset. S2/S1 and O are the scaling factor and offset applied in CE1 anchor.</w:t>
      </w:r>
    </w:p>
    <w:p w:rsidR="006718BC" w:rsidRDefault="006718BC" w:rsidP="006718BC">
      <w:pPr>
        <w:jc w:val="both"/>
        <w:rPr>
          <w:lang w:val="en-GB"/>
        </w:rPr>
      </w:pPr>
      <w:r>
        <w:rPr>
          <w:lang w:val="en-GB"/>
        </w:rPr>
        <w:t xml:space="preserve">We add an additional QPc_adj to </w:t>
      </w:r>
      <w:r w:rsidR="008942D8">
        <w:rPr>
          <w:lang w:val="en-GB"/>
        </w:rPr>
        <w:t xml:space="preserve">CE1 </w:t>
      </w:r>
      <w:r>
        <w:rPr>
          <w:lang w:val="en-GB"/>
        </w:rPr>
        <w:t xml:space="preserve">anchor V3.0 based on TL_Idx, the temporal level index: </w:t>
      </w:r>
    </w:p>
    <w:p w:rsidR="006718BC" w:rsidRDefault="006718BC" w:rsidP="006718BC">
      <w:pPr>
        <w:ind w:left="720"/>
        <w:jc w:val="both"/>
        <w:rPr>
          <w:lang w:val="en-GB"/>
        </w:rPr>
      </w:pPr>
      <w:r>
        <w:rPr>
          <w:lang w:val="en-GB"/>
        </w:rPr>
        <w:t>QPc_offset = S2*(S1*QP + O) + QPc_adj(TL_Idx)</w:t>
      </w:r>
    </w:p>
    <w:p w:rsidR="006718BC" w:rsidRDefault="006718BC" w:rsidP="006718BC">
      <w:pPr>
        <w:jc w:val="both"/>
        <w:rPr>
          <w:lang w:val="en-GB"/>
        </w:rPr>
      </w:pPr>
      <w:r>
        <w:rPr>
          <w:lang w:val="en-GB"/>
        </w:rPr>
        <w:t>The chroma QP QPc is calculated as:</w:t>
      </w:r>
    </w:p>
    <w:p w:rsidR="006718BC" w:rsidRDefault="006718BC" w:rsidP="006718BC">
      <w:pPr>
        <w:ind w:left="720"/>
        <w:jc w:val="both"/>
        <w:rPr>
          <w:lang w:val="en-GB"/>
        </w:rPr>
      </w:pPr>
      <w:r>
        <w:rPr>
          <w:lang w:val="en-GB"/>
        </w:rPr>
        <w:t xml:space="preserve">QPc = QP + Clip(-12, </w:t>
      </w:r>
      <w:r w:rsidR="00C1425D">
        <w:rPr>
          <w:lang w:val="en-GB"/>
        </w:rPr>
        <w:t>0</w:t>
      </w:r>
      <w:r>
        <w:rPr>
          <w:lang w:val="en-GB"/>
        </w:rPr>
        <w:t xml:space="preserve">, QPc_offset) </w:t>
      </w:r>
    </w:p>
    <w:p w:rsidR="006718BC" w:rsidRDefault="006718BC" w:rsidP="006718BC">
      <w:pPr>
        <w:jc w:val="both"/>
        <w:rPr>
          <w:lang w:val="en-GB"/>
        </w:rPr>
      </w:pPr>
      <w:r>
        <w:rPr>
          <w:lang w:val="en-GB"/>
        </w:rPr>
        <w:t xml:space="preserve">The chroma QP offset adjustment </w:t>
      </w:r>
      <w:r w:rsidR="008942D8">
        <w:rPr>
          <w:lang w:val="en-GB"/>
        </w:rPr>
        <w:t xml:space="preserve">QPc_adj(TL_Idx) </w:t>
      </w:r>
      <w:r>
        <w:rPr>
          <w:lang w:val="en-GB"/>
        </w:rPr>
        <w:t xml:space="preserve">for Cb and Cr components used in the simulation is shown in </w:t>
      </w:r>
      <w:r>
        <w:rPr>
          <w:lang w:val="en-GB"/>
        </w:rPr>
        <w:fldChar w:fldCharType="begin"/>
      </w:r>
      <w:r>
        <w:rPr>
          <w:lang w:val="en-GB"/>
        </w:rPr>
        <w:instrText xml:space="preserve"> REF _Ref439779879 \h </w:instrText>
      </w:r>
      <w:r>
        <w:rPr>
          <w:lang w:val="en-GB"/>
        </w:rPr>
      </w:r>
      <w:r>
        <w:rPr>
          <w:lang w:val="en-GB"/>
        </w:rPr>
        <w:fldChar w:fldCharType="separate"/>
      </w:r>
      <w:r w:rsidRPr="006F0A9A">
        <w:t xml:space="preserve">Figure </w:t>
      </w:r>
      <w:r w:rsidRPr="006F0A9A">
        <w:rPr>
          <w:noProof/>
        </w:rPr>
        <w:t>1</w:t>
      </w:r>
      <w:r>
        <w:rPr>
          <w:lang w:val="en-GB"/>
        </w:rPr>
        <w:fldChar w:fldCharType="end"/>
      </w:r>
      <w:r>
        <w:rPr>
          <w:lang w:val="en-GB"/>
        </w:rPr>
        <w:t xml:space="preserve">. </w:t>
      </w:r>
    </w:p>
    <w:p w:rsidR="006718BC" w:rsidRDefault="006718BC" w:rsidP="006718BC">
      <w:pPr>
        <w:jc w:val="center"/>
      </w:pPr>
      <w:r>
        <w:object w:dxaOrig="14761" w:dyaOrig="6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152.25pt" o:ole="">
            <v:imagedata r:id="rId13" o:title=""/>
          </v:shape>
          <o:OLEObject Type="Embed" ProgID="Visio.Drawing.15" ShapeID="_x0000_i1025" DrawAspect="Content" ObjectID="_1513966429" r:id="rId14"/>
        </w:object>
      </w:r>
    </w:p>
    <w:p w:rsidR="006718BC" w:rsidRPr="006F0A9A" w:rsidRDefault="006718BC" w:rsidP="006718BC">
      <w:pPr>
        <w:pStyle w:val="Caption"/>
        <w:jc w:val="center"/>
        <w:rPr>
          <w:rFonts w:asciiTheme="minorHAnsi" w:hAnsiTheme="minorHAnsi"/>
          <w:sz w:val="22"/>
        </w:rPr>
      </w:pPr>
      <w:bookmarkStart w:id="1" w:name="_Ref439779879"/>
      <w:r w:rsidRPr="006F0A9A">
        <w:t xml:space="preserve">Figure </w:t>
      </w:r>
      <w:r w:rsidR="008C7D11">
        <w:fldChar w:fldCharType="begin"/>
      </w:r>
      <w:r w:rsidR="008C7D11">
        <w:instrText xml:space="preserve"> SEQ Figure \* ARABIC </w:instrText>
      </w:r>
      <w:r w:rsidR="008C7D11">
        <w:fldChar w:fldCharType="separate"/>
      </w:r>
      <w:r w:rsidRPr="006F0A9A">
        <w:rPr>
          <w:noProof/>
        </w:rPr>
        <w:t>1</w:t>
      </w:r>
      <w:r w:rsidR="008C7D11">
        <w:rPr>
          <w:noProof/>
        </w:rPr>
        <w:fldChar w:fldCharType="end"/>
      </w:r>
      <w:bookmarkEnd w:id="1"/>
      <w:r>
        <w:t>. The chroma QP offset adjustment</w:t>
      </w:r>
      <w:r w:rsidR="008942D8">
        <w:t xml:space="preserve"> used in the simulation</w:t>
      </w:r>
    </w:p>
    <w:p w:rsidR="009D0FFD" w:rsidRPr="00F507AD" w:rsidRDefault="009D0FFD" w:rsidP="008D40F6">
      <w:pPr>
        <w:jc w:val="both"/>
        <w:rPr>
          <w:kern w:val="2"/>
          <w:lang w:eastAsia="zh-CN"/>
        </w:rPr>
      </w:pPr>
    </w:p>
    <w:p w:rsidR="00F35982" w:rsidRPr="006D1415" w:rsidRDefault="00A832F5" w:rsidP="00F35982">
      <w:pPr>
        <w:pStyle w:val="Heading1"/>
        <w:tabs>
          <w:tab w:val="clear" w:pos="360"/>
          <w:tab w:val="clear" w:pos="720"/>
          <w:tab w:val="clear" w:pos="1080"/>
          <w:tab w:val="clear" w:pos="1440"/>
        </w:tabs>
        <w:ind w:left="432" w:hanging="432"/>
      </w:pPr>
      <w:bookmarkStart w:id="2" w:name="_Toc341951811"/>
      <w:r>
        <w:t>Simulation results</w:t>
      </w:r>
      <w:r w:rsidR="00F35982" w:rsidRPr="006D1415">
        <w:t xml:space="preserve"> </w:t>
      </w:r>
      <w:bookmarkEnd w:id="2"/>
    </w:p>
    <w:p w:rsidR="006718BC" w:rsidRDefault="006718BC" w:rsidP="006718BC">
      <w:pPr>
        <w:jc w:val="both"/>
        <w:rPr>
          <w:lang w:val="en-GB"/>
        </w:rPr>
      </w:pPr>
      <w:r>
        <w:rPr>
          <w:lang w:val="en-GB"/>
        </w:rPr>
        <w:t>Two tests were performed:</w:t>
      </w:r>
    </w:p>
    <w:p w:rsidR="006718BC" w:rsidRDefault="006718BC" w:rsidP="006718BC">
      <w:pPr>
        <w:jc w:val="both"/>
      </w:pPr>
      <w:r>
        <w:rPr>
          <w:lang w:val="en-GB"/>
        </w:rPr>
        <w:t>Test1: deblocking filter parameter selection</w:t>
      </w:r>
      <w:r>
        <w:t xml:space="preserve"> + chroma QP offset adjustment</w:t>
      </w:r>
      <w:r w:rsidR="008942D8">
        <w:t>;</w:t>
      </w:r>
    </w:p>
    <w:p w:rsidR="006718BC" w:rsidRDefault="006718BC" w:rsidP="006718BC">
      <w:pPr>
        <w:jc w:val="both"/>
      </w:pPr>
      <w:r>
        <w:rPr>
          <w:lang w:val="en-GB"/>
        </w:rPr>
        <w:t>Test2: deblocking filter parameter selection</w:t>
      </w:r>
      <w:r>
        <w:t xml:space="preserve"> only</w:t>
      </w:r>
      <w:r w:rsidR="008942D8">
        <w:t>.</w:t>
      </w:r>
    </w:p>
    <w:p w:rsidR="006718BC" w:rsidRDefault="006718BC" w:rsidP="006718BC">
      <w:pPr>
        <w:jc w:val="both"/>
        <w:rPr>
          <w:lang w:val="en-GB"/>
        </w:rPr>
      </w:pPr>
      <w:r>
        <w:rPr>
          <w:lang w:val="en-GB"/>
        </w:rPr>
        <w:fldChar w:fldCharType="begin"/>
      </w:r>
      <w:r>
        <w:rPr>
          <w:lang w:val="en-GB"/>
        </w:rPr>
        <w:instrText xml:space="preserve"> REF _Ref432023623 \h  \* MERGEFORMAT </w:instrText>
      </w:r>
      <w:r>
        <w:rPr>
          <w:lang w:val="en-GB"/>
        </w:rPr>
      </w:r>
      <w:r>
        <w:rPr>
          <w:lang w:val="en-GB"/>
        </w:rPr>
        <w:fldChar w:fldCharType="separate"/>
      </w:r>
      <w:r w:rsidRPr="00C93E48">
        <w:t xml:space="preserve">Table </w:t>
      </w:r>
      <w:r>
        <w:rPr>
          <w:noProof/>
        </w:rPr>
        <w:t>1</w:t>
      </w:r>
      <w:r>
        <w:rPr>
          <w:lang w:val="en-GB"/>
        </w:rPr>
        <w:fldChar w:fldCharType="end"/>
      </w:r>
      <w:r>
        <w:rPr>
          <w:lang w:val="en-GB"/>
        </w:rPr>
        <w:t xml:space="preserve"> and </w:t>
      </w:r>
      <w:r>
        <w:rPr>
          <w:lang w:val="en-GB"/>
        </w:rPr>
        <w:fldChar w:fldCharType="begin"/>
      </w:r>
      <w:r>
        <w:rPr>
          <w:lang w:val="en-GB"/>
        </w:rPr>
        <w:instrText xml:space="preserve"> REF _Ref439780209 \h </w:instrText>
      </w:r>
      <w:r>
        <w:rPr>
          <w:lang w:val="en-GB"/>
        </w:rPr>
      </w:r>
      <w:r>
        <w:rPr>
          <w:lang w:val="en-GB"/>
        </w:rPr>
        <w:fldChar w:fldCharType="separate"/>
      </w:r>
      <w:r w:rsidRPr="00C93E48">
        <w:t xml:space="preserve">Table </w:t>
      </w:r>
      <w:r>
        <w:rPr>
          <w:noProof/>
        </w:rPr>
        <w:t>2</w:t>
      </w:r>
      <w:r>
        <w:rPr>
          <w:lang w:val="en-GB"/>
        </w:rPr>
        <w:fldChar w:fldCharType="end"/>
      </w:r>
      <w:r>
        <w:rPr>
          <w:lang w:val="en-GB"/>
        </w:rPr>
        <w:t xml:space="preserve"> list the results of Test1 and Test2 compared to CE1 anchor V3.0, respectively. Subjective viewing was conducted by the proponents on SIM2 display. Compared to the CE1 anchor V3.0, quality improvement in terms of more details and less blocky artifacts was observed especially for the following sequences for Test1: SunRise, WarmNight, BalloonFestival, BikeSparklers, ShowGirl in continuous playback, and</w:t>
      </w:r>
      <w:r w:rsidR="008942D8">
        <w:rPr>
          <w:lang w:val="en-GB"/>
        </w:rPr>
        <w:t xml:space="preserve"> </w:t>
      </w:r>
      <w:r>
        <w:rPr>
          <w:lang w:val="en-GB"/>
        </w:rPr>
        <w:t xml:space="preserve">Market in toggle mode. The improvement </w:t>
      </w:r>
      <w:r w:rsidR="008942D8">
        <w:rPr>
          <w:lang w:val="en-GB"/>
        </w:rPr>
        <w:t xml:space="preserve">is </w:t>
      </w:r>
      <w:r>
        <w:rPr>
          <w:lang w:val="en-GB"/>
        </w:rPr>
        <w:t xml:space="preserve">more visible at lowest bitrate. </w:t>
      </w:r>
    </w:p>
    <w:p w:rsidR="006718BC" w:rsidRDefault="006718BC" w:rsidP="006718BC">
      <w:pPr>
        <w:jc w:val="both"/>
        <w:rPr>
          <w:lang w:val="en-GB"/>
        </w:rPr>
      </w:pPr>
      <w:r>
        <w:rPr>
          <w:lang w:val="en-GB"/>
        </w:rPr>
        <w:t>The quality improvement was observed especially for the following sequences for Test2 at lowest bitrate: WarmNight, BikeSparklers, ShowGirl.</w:t>
      </w:r>
    </w:p>
    <w:p w:rsidR="006718BC" w:rsidRDefault="006718BC" w:rsidP="006718BC">
      <w:pPr>
        <w:contextualSpacing/>
        <w:jc w:val="both"/>
        <w:rPr>
          <w:rFonts w:eastAsia="Calibri"/>
          <w:lang w:val="en-GB"/>
        </w:rPr>
      </w:pPr>
    </w:p>
    <w:p w:rsidR="006718BC" w:rsidRPr="00C93E48" w:rsidRDefault="006718BC" w:rsidP="006718BC">
      <w:pPr>
        <w:pStyle w:val="Caption"/>
        <w:jc w:val="center"/>
        <w:rPr>
          <w:rFonts w:eastAsia="Calibri"/>
          <w:lang w:val="en-GB"/>
        </w:rPr>
      </w:pPr>
      <w:bookmarkStart w:id="3" w:name="_Ref432023623"/>
      <w:r w:rsidRPr="00C93E48">
        <w:t xml:space="preserve">Table </w:t>
      </w:r>
      <w:r w:rsidR="008C7D11">
        <w:fldChar w:fldCharType="begin"/>
      </w:r>
      <w:r w:rsidR="008C7D11">
        <w:instrText xml:space="preserve"> SEQ Table \* ARABIC </w:instrText>
      </w:r>
      <w:r w:rsidR="008C7D11">
        <w:fldChar w:fldCharType="separate"/>
      </w:r>
      <w:r>
        <w:rPr>
          <w:noProof/>
        </w:rPr>
        <w:t>1</w:t>
      </w:r>
      <w:r w:rsidR="008C7D11">
        <w:rPr>
          <w:noProof/>
        </w:rPr>
        <w:fldChar w:fldCharType="end"/>
      </w:r>
      <w:bookmarkEnd w:id="3"/>
      <w:r>
        <w:t>. Test1 compared to CE1 anchor V3.0</w:t>
      </w:r>
    </w:p>
    <w:tbl>
      <w:tblPr>
        <w:tblW w:w="8279" w:type="dxa"/>
        <w:jc w:val="center"/>
        <w:tblLook w:val="04A0" w:firstRow="1" w:lastRow="0" w:firstColumn="1" w:lastColumn="0" w:noHBand="0" w:noVBand="1"/>
      </w:tblPr>
      <w:tblGrid>
        <w:gridCol w:w="839"/>
        <w:gridCol w:w="1977"/>
        <w:gridCol w:w="723"/>
        <w:gridCol w:w="723"/>
        <w:gridCol w:w="670"/>
        <w:gridCol w:w="670"/>
        <w:gridCol w:w="776"/>
        <w:gridCol w:w="795"/>
        <w:gridCol w:w="1106"/>
      </w:tblGrid>
      <w:tr w:rsidR="006718BC" w:rsidRPr="00A01D18" w:rsidTr="00B9572B">
        <w:trPr>
          <w:trHeight w:val="330"/>
          <w:jc w:val="center"/>
        </w:trPr>
        <w:tc>
          <w:tcPr>
            <w:tcW w:w="839" w:type="dxa"/>
            <w:tcBorders>
              <w:top w:val="nil"/>
              <w:left w:val="nil"/>
              <w:bottom w:val="nil"/>
              <w:right w:val="nil"/>
            </w:tcBorders>
            <w:shd w:val="clear" w:color="auto" w:fill="auto"/>
            <w:noWrap/>
            <w:vAlign w:val="bottom"/>
            <w:hideMark/>
          </w:tcPr>
          <w:p w:rsidR="006718BC" w:rsidRPr="00A01D18" w:rsidRDefault="006718BC" w:rsidP="00B9572B">
            <w:pPr>
              <w:spacing w:before="0"/>
              <w:rPr>
                <w:rFonts w:eastAsia="Times New Roman"/>
                <w:sz w:val="16"/>
                <w:szCs w:val="16"/>
                <w:lang w:eastAsia="zh-CN"/>
              </w:rPr>
            </w:pPr>
          </w:p>
        </w:tc>
        <w:tc>
          <w:tcPr>
            <w:tcW w:w="1977" w:type="dxa"/>
            <w:tcBorders>
              <w:top w:val="nil"/>
              <w:left w:val="nil"/>
              <w:bottom w:val="nil"/>
              <w:right w:val="nil"/>
            </w:tcBorders>
            <w:shd w:val="clear" w:color="auto" w:fill="auto"/>
            <w:noWrap/>
            <w:vAlign w:val="bottom"/>
            <w:hideMark/>
          </w:tcPr>
          <w:p w:rsidR="006718BC" w:rsidRPr="00A01D18" w:rsidRDefault="006718BC" w:rsidP="00B9572B">
            <w:pPr>
              <w:spacing w:before="0"/>
              <w:rPr>
                <w:rFonts w:eastAsia="Times New Roman"/>
                <w:sz w:val="16"/>
                <w:szCs w:val="16"/>
                <w:lang w:eastAsia="zh-CN"/>
              </w:rPr>
            </w:pPr>
          </w:p>
        </w:tc>
        <w:tc>
          <w:tcPr>
            <w:tcW w:w="723" w:type="dxa"/>
            <w:tcBorders>
              <w:top w:val="single" w:sz="8" w:space="0" w:color="auto"/>
              <w:left w:val="single" w:sz="8" w:space="0" w:color="auto"/>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w:t>
            </w:r>
          </w:p>
        </w:tc>
        <w:tc>
          <w:tcPr>
            <w:tcW w:w="723" w:type="dxa"/>
            <w:tcBorders>
              <w:top w:val="single" w:sz="8" w:space="0" w:color="auto"/>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Y</w:t>
            </w:r>
          </w:p>
        </w:tc>
        <w:tc>
          <w:tcPr>
            <w:tcW w:w="670" w:type="dxa"/>
            <w:tcBorders>
              <w:top w:val="single" w:sz="8" w:space="0" w:color="auto"/>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Z</w:t>
            </w:r>
          </w:p>
        </w:tc>
        <w:tc>
          <w:tcPr>
            <w:tcW w:w="6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XYZ</w:t>
            </w:r>
          </w:p>
        </w:tc>
        <w:tc>
          <w:tcPr>
            <w:tcW w:w="776" w:type="dxa"/>
            <w:tcBorders>
              <w:top w:val="single" w:sz="8" w:space="0" w:color="auto"/>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tOSNR-XYZ</w:t>
            </w:r>
          </w:p>
        </w:tc>
        <w:tc>
          <w:tcPr>
            <w:tcW w:w="795" w:type="dxa"/>
            <w:tcBorders>
              <w:top w:val="single" w:sz="8" w:space="0" w:color="auto"/>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DE100</w:t>
            </w:r>
          </w:p>
        </w:tc>
        <w:tc>
          <w:tcPr>
            <w:tcW w:w="1106" w:type="dxa"/>
            <w:tcBorders>
              <w:top w:val="single" w:sz="8" w:space="0" w:color="auto"/>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PSNRL100</w:t>
            </w:r>
          </w:p>
        </w:tc>
      </w:tr>
      <w:tr w:rsidR="006718BC" w:rsidRPr="00A01D18" w:rsidTr="00B9572B">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A</w:t>
            </w:r>
          </w:p>
        </w:tc>
        <w:tc>
          <w:tcPr>
            <w:tcW w:w="1977" w:type="dxa"/>
            <w:tcBorders>
              <w:top w:val="single" w:sz="8" w:space="0" w:color="auto"/>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FireEaterClip4000r1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670"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9.3%</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2.6%</w:t>
            </w:r>
          </w:p>
        </w:tc>
        <w:tc>
          <w:tcPr>
            <w:tcW w:w="776"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5.3%</w:t>
            </w:r>
          </w:p>
        </w:tc>
        <w:tc>
          <w:tcPr>
            <w:tcW w:w="795"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6.0%</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Market3Clip4000r2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-1.0%</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670"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2.7%</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76"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95"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11.6%</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-1.5%</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SunRise</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670"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2.5%</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76"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795"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7.4%</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r>
      <w:tr w:rsidR="006718BC" w:rsidRPr="00A01D18" w:rsidTr="00B9572B">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B</w:t>
            </w:r>
          </w:p>
        </w:tc>
        <w:tc>
          <w:tcPr>
            <w:tcW w:w="1977" w:type="dxa"/>
            <w:tcBorders>
              <w:top w:val="single" w:sz="8" w:space="0" w:color="auto"/>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1</w:t>
            </w:r>
          </w:p>
        </w:tc>
        <w:tc>
          <w:tcPr>
            <w:tcW w:w="723" w:type="dxa"/>
            <w:tcBorders>
              <w:top w:val="single" w:sz="8" w:space="0" w:color="auto"/>
              <w:left w:val="single" w:sz="8" w:space="0" w:color="auto"/>
              <w:bottom w:val="nil"/>
              <w:right w:val="nil"/>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-3.0%</w:t>
            </w:r>
          </w:p>
        </w:tc>
        <w:tc>
          <w:tcPr>
            <w:tcW w:w="723" w:type="dxa"/>
            <w:tcBorders>
              <w:top w:val="single" w:sz="8" w:space="0" w:color="auto"/>
              <w:left w:val="nil"/>
              <w:bottom w:val="nil"/>
              <w:right w:val="nil"/>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-3.5%</w:t>
            </w:r>
          </w:p>
        </w:tc>
        <w:tc>
          <w:tcPr>
            <w:tcW w:w="670"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6.6%</w:t>
            </w:r>
          </w:p>
        </w:tc>
        <w:tc>
          <w:tcPr>
            <w:tcW w:w="670"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76"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8.4%</w:t>
            </w:r>
          </w:p>
        </w:tc>
        <w:tc>
          <w:tcPr>
            <w:tcW w:w="1106" w:type="dxa"/>
            <w:tcBorders>
              <w:top w:val="single" w:sz="8" w:space="0" w:color="auto"/>
              <w:left w:val="nil"/>
              <w:bottom w:val="nil"/>
              <w:right w:val="single" w:sz="8" w:space="0" w:color="auto"/>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-3.3%</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-2.7%</w:t>
            </w:r>
          </w:p>
        </w:tc>
        <w:tc>
          <w:tcPr>
            <w:tcW w:w="723" w:type="dxa"/>
            <w:tcBorders>
              <w:top w:val="nil"/>
              <w:left w:val="nil"/>
              <w:bottom w:val="nil"/>
              <w:right w:val="nil"/>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-3.6%</w:t>
            </w:r>
          </w:p>
        </w:tc>
        <w:tc>
          <w:tcPr>
            <w:tcW w:w="670"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8.3%</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76"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95"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11.0%</w:t>
            </w:r>
          </w:p>
        </w:tc>
        <w:tc>
          <w:tcPr>
            <w:tcW w:w="1106" w:type="dxa"/>
            <w:tcBorders>
              <w:top w:val="nil"/>
              <w:left w:val="nil"/>
              <w:bottom w:val="nil"/>
              <w:right w:val="single" w:sz="8" w:space="0" w:color="auto"/>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-3.3%</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GarageExit</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-2.5%</w:t>
            </w:r>
          </w:p>
        </w:tc>
        <w:tc>
          <w:tcPr>
            <w:tcW w:w="670" w:type="dxa"/>
            <w:tcBorders>
              <w:top w:val="nil"/>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7.0%</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776"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2.3%</w:t>
            </w:r>
          </w:p>
        </w:tc>
        <w:tc>
          <w:tcPr>
            <w:tcW w:w="795" w:type="dxa"/>
            <w:tcBorders>
              <w:top w:val="nil"/>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12.8%</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-2.3%</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C</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ShowGirl2Teaser</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-1.3%</w:t>
            </w:r>
          </w:p>
        </w:tc>
        <w:tc>
          <w:tcPr>
            <w:tcW w:w="670" w:type="dxa"/>
            <w:tcBorders>
              <w:top w:val="single" w:sz="8" w:space="0" w:color="auto"/>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4.7%</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776"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3.1%</w:t>
            </w:r>
          </w:p>
        </w:tc>
        <w:tc>
          <w:tcPr>
            <w:tcW w:w="795" w:type="dxa"/>
            <w:tcBorders>
              <w:top w:val="single" w:sz="8" w:space="0" w:color="auto"/>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9.3%</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D</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670"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4.9%</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c>
          <w:tcPr>
            <w:tcW w:w="776" w:type="dxa"/>
            <w:tcBorders>
              <w:top w:val="single" w:sz="8" w:space="0" w:color="auto"/>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795"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5.1%</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-1.3%</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670"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5.4%</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776"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2.4%</w:t>
            </w:r>
          </w:p>
        </w:tc>
        <w:tc>
          <w:tcPr>
            <w:tcW w:w="795"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10.0%</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3</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c>
          <w:tcPr>
            <w:tcW w:w="670"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6.2%</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2.4%</w:t>
            </w:r>
          </w:p>
        </w:tc>
        <w:tc>
          <w:tcPr>
            <w:tcW w:w="776"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3.0%</w:t>
            </w:r>
          </w:p>
        </w:tc>
        <w:tc>
          <w:tcPr>
            <w:tcW w:w="795"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9.5%</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670"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4.1%</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776"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95" w:type="dxa"/>
            <w:tcBorders>
              <w:top w:val="nil"/>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6.1%</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-1.0%</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2</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670" w:type="dxa"/>
            <w:tcBorders>
              <w:top w:val="nil"/>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5.0%</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76"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795" w:type="dxa"/>
            <w:tcBorders>
              <w:top w:val="nil"/>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3.7%</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G</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BalloonFestival</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-1.0%</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670"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6.0%</w:t>
            </w:r>
          </w:p>
        </w:tc>
        <w:tc>
          <w:tcPr>
            <w:tcW w:w="670"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776"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3.2%</w:t>
            </w:r>
          </w:p>
        </w:tc>
        <w:tc>
          <w:tcPr>
            <w:tcW w:w="795"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11.7%</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r>
      <w:tr w:rsidR="006718BC" w:rsidRPr="00A01D18" w:rsidTr="00B9572B">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H</w:t>
            </w:r>
          </w:p>
        </w:tc>
        <w:tc>
          <w:tcPr>
            <w:tcW w:w="1977" w:type="dxa"/>
            <w:tcBorders>
              <w:top w:val="single" w:sz="8" w:space="0" w:color="auto"/>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EBU_04_Start</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-2.5%</w:t>
            </w:r>
          </w:p>
        </w:tc>
        <w:tc>
          <w:tcPr>
            <w:tcW w:w="670"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4.3%</w:t>
            </w:r>
          </w:p>
        </w:tc>
        <w:tc>
          <w:tcPr>
            <w:tcW w:w="670"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76" w:type="dxa"/>
            <w:tcBorders>
              <w:top w:val="single" w:sz="8" w:space="0" w:color="auto"/>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95" w:type="dxa"/>
            <w:tcBorders>
              <w:top w:val="single" w:sz="8" w:space="0" w:color="auto"/>
              <w:left w:val="nil"/>
              <w:bottom w:val="nil"/>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17.5%</w:t>
            </w:r>
          </w:p>
        </w:tc>
        <w:tc>
          <w:tcPr>
            <w:tcW w:w="1106" w:type="dxa"/>
            <w:tcBorders>
              <w:top w:val="single" w:sz="8" w:space="0" w:color="auto"/>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-2.3%</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EBU_06_Hurdles</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-2.4%</w:t>
            </w:r>
          </w:p>
        </w:tc>
        <w:tc>
          <w:tcPr>
            <w:tcW w:w="723" w:type="dxa"/>
            <w:tcBorders>
              <w:top w:val="nil"/>
              <w:left w:val="nil"/>
              <w:bottom w:val="single" w:sz="8" w:space="0" w:color="auto"/>
              <w:right w:val="nil"/>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-3.2%</w:t>
            </w:r>
          </w:p>
        </w:tc>
        <w:tc>
          <w:tcPr>
            <w:tcW w:w="670" w:type="dxa"/>
            <w:tcBorders>
              <w:top w:val="nil"/>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4.4%</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76"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11.7%</w:t>
            </w:r>
          </w:p>
        </w:tc>
        <w:tc>
          <w:tcPr>
            <w:tcW w:w="1106" w:type="dxa"/>
            <w:tcBorders>
              <w:top w:val="nil"/>
              <w:left w:val="nil"/>
              <w:bottom w:val="single" w:sz="8" w:space="0" w:color="auto"/>
              <w:right w:val="single" w:sz="8" w:space="0" w:color="auto"/>
            </w:tcBorders>
            <w:shd w:val="clear" w:color="000000" w:fill="CCFFCC"/>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-3.1%</w:t>
            </w:r>
          </w:p>
        </w:tc>
      </w:tr>
      <w:tr w:rsidR="006718BC" w:rsidRPr="00A01D18" w:rsidTr="00B9572B">
        <w:trPr>
          <w:trHeight w:val="330"/>
          <w:jc w:val="center"/>
        </w:trPr>
        <w:tc>
          <w:tcPr>
            <w:tcW w:w="839" w:type="dxa"/>
            <w:tcBorders>
              <w:top w:val="nil"/>
              <w:left w:val="single" w:sz="8" w:space="0" w:color="auto"/>
              <w:bottom w:val="single" w:sz="8" w:space="0" w:color="auto"/>
              <w:right w:val="nil"/>
            </w:tcBorders>
            <w:shd w:val="clear" w:color="auto" w:fill="auto"/>
            <w:noWrap/>
            <w:vAlign w:val="bottom"/>
            <w:hideMark/>
          </w:tcPr>
          <w:p w:rsidR="006718BC" w:rsidRPr="00A01D18" w:rsidRDefault="006718BC" w:rsidP="00B9572B">
            <w:pPr>
              <w:spacing w:before="0"/>
              <w:rPr>
                <w:rFonts w:ascii="Calibri" w:eastAsia="Times New Roman" w:hAnsi="Calibri"/>
                <w:color w:val="000000"/>
                <w:sz w:val="16"/>
                <w:szCs w:val="16"/>
                <w:lang w:eastAsia="zh-CN"/>
              </w:rPr>
            </w:pPr>
            <w:r w:rsidRPr="00A01D18">
              <w:rPr>
                <w:rFonts w:ascii="Calibri" w:eastAsia="Times New Roman" w:hAnsi="Calibri"/>
                <w:color w:val="000000"/>
                <w:sz w:val="16"/>
                <w:szCs w:val="16"/>
                <w:lang w:eastAsia="zh-CN"/>
              </w:rPr>
              <w:t> </w:t>
            </w:r>
          </w:p>
        </w:tc>
        <w:tc>
          <w:tcPr>
            <w:tcW w:w="1977"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b/>
                <w:bCs/>
                <w:color w:val="000000"/>
                <w:sz w:val="16"/>
                <w:szCs w:val="16"/>
                <w:lang w:eastAsia="zh-CN"/>
              </w:rPr>
            </w:pPr>
            <w:r w:rsidRPr="00A01D18">
              <w:rPr>
                <w:rFonts w:ascii="Arial" w:eastAsia="Times New Roman" w:hAnsi="Arial" w:cs="Arial"/>
                <w:b/>
                <w:bCs/>
                <w:color w:val="000000"/>
                <w:sz w:val="16"/>
                <w:szCs w:val="16"/>
                <w:lang w:eastAsia="zh-CN"/>
              </w:rPr>
              <w:t>Overall</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-1.9%</w:t>
            </w:r>
          </w:p>
        </w:tc>
        <w:tc>
          <w:tcPr>
            <w:tcW w:w="670" w:type="dxa"/>
            <w:tcBorders>
              <w:top w:val="single" w:sz="8" w:space="0" w:color="auto"/>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5.4%</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76"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795" w:type="dxa"/>
            <w:tcBorders>
              <w:top w:val="single" w:sz="8" w:space="0" w:color="auto"/>
              <w:left w:val="nil"/>
              <w:bottom w:val="single" w:sz="8" w:space="0" w:color="auto"/>
              <w:right w:val="nil"/>
            </w:tcBorders>
            <w:shd w:val="clear" w:color="000000" w:fill="FFC7CE"/>
            <w:noWrap/>
            <w:vAlign w:val="bottom"/>
            <w:hideMark/>
          </w:tcPr>
          <w:p w:rsidR="006718BC" w:rsidRPr="00A01D18" w:rsidRDefault="006718BC" w:rsidP="00B9572B">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9.5%</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r>
    </w:tbl>
    <w:p w:rsidR="006718BC" w:rsidRDefault="006718BC" w:rsidP="006718BC">
      <w:pPr>
        <w:contextualSpacing/>
        <w:jc w:val="both"/>
        <w:rPr>
          <w:rFonts w:eastAsia="Calibri"/>
          <w:lang w:val="en-GB"/>
        </w:rPr>
      </w:pPr>
    </w:p>
    <w:p w:rsidR="006718BC" w:rsidRDefault="006718BC" w:rsidP="006718BC">
      <w:pPr>
        <w:contextualSpacing/>
        <w:jc w:val="both"/>
        <w:rPr>
          <w:rFonts w:eastAsia="Calibri"/>
          <w:lang w:val="en-GB"/>
        </w:rPr>
      </w:pPr>
    </w:p>
    <w:p w:rsidR="006718BC" w:rsidRDefault="006718BC" w:rsidP="006718BC">
      <w:pPr>
        <w:pStyle w:val="Caption"/>
        <w:jc w:val="center"/>
        <w:rPr>
          <w:rFonts w:eastAsia="Calibri"/>
          <w:lang w:val="en-GB"/>
        </w:rPr>
      </w:pPr>
      <w:bookmarkStart w:id="4" w:name="_Ref439780209"/>
      <w:r w:rsidRPr="00C93E48">
        <w:t xml:space="preserve">Table </w:t>
      </w:r>
      <w:r w:rsidR="008C7D11">
        <w:fldChar w:fldCharType="begin"/>
      </w:r>
      <w:r w:rsidR="008C7D11">
        <w:instrText xml:space="preserve"> SEQ Table \* ARABIC </w:instrText>
      </w:r>
      <w:r w:rsidR="008C7D11">
        <w:fldChar w:fldCharType="separate"/>
      </w:r>
      <w:r>
        <w:rPr>
          <w:noProof/>
        </w:rPr>
        <w:t>2</w:t>
      </w:r>
      <w:r w:rsidR="008C7D11">
        <w:rPr>
          <w:noProof/>
        </w:rPr>
        <w:fldChar w:fldCharType="end"/>
      </w:r>
      <w:bookmarkEnd w:id="4"/>
      <w:r>
        <w:t>. Test2 compared to CE1 anchor V3.0</w:t>
      </w:r>
    </w:p>
    <w:tbl>
      <w:tblPr>
        <w:tblW w:w="8471" w:type="dxa"/>
        <w:jc w:val="center"/>
        <w:tblLook w:val="04A0" w:firstRow="1" w:lastRow="0" w:firstColumn="1" w:lastColumn="0" w:noHBand="0" w:noVBand="1"/>
      </w:tblPr>
      <w:tblGrid>
        <w:gridCol w:w="839"/>
        <w:gridCol w:w="1977"/>
        <w:gridCol w:w="723"/>
        <w:gridCol w:w="723"/>
        <w:gridCol w:w="723"/>
        <w:gridCol w:w="723"/>
        <w:gridCol w:w="862"/>
        <w:gridCol w:w="795"/>
        <w:gridCol w:w="1106"/>
      </w:tblGrid>
      <w:tr w:rsidR="006718BC" w:rsidRPr="00A01D18" w:rsidTr="00B9572B">
        <w:trPr>
          <w:trHeight w:val="330"/>
          <w:jc w:val="center"/>
        </w:trPr>
        <w:tc>
          <w:tcPr>
            <w:tcW w:w="839" w:type="dxa"/>
            <w:tcBorders>
              <w:top w:val="nil"/>
              <w:left w:val="nil"/>
              <w:bottom w:val="nil"/>
              <w:right w:val="nil"/>
            </w:tcBorders>
            <w:shd w:val="clear" w:color="auto" w:fill="auto"/>
            <w:noWrap/>
            <w:vAlign w:val="bottom"/>
            <w:hideMark/>
          </w:tcPr>
          <w:p w:rsidR="006718BC" w:rsidRPr="00A01D18" w:rsidRDefault="006718BC" w:rsidP="00B9572B">
            <w:pPr>
              <w:spacing w:before="0"/>
              <w:rPr>
                <w:rFonts w:eastAsia="Times New Roman"/>
                <w:sz w:val="16"/>
                <w:szCs w:val="16"/>
                <w:lang w:eastAsia="zh-CN"/>
              </w:rPr>
            </w:pPr>
          </w:p>
        </w:tc>
        <w:tc>
          <w:tcPr>
            <w:tcW w:w="1977" w:type="dxa"/>
            <w:tcBorders>
              <w:top w:val="nil"/>
              <w:left w:val="nil"/>
              <w:bottom w:val="nil"/>
              <w:right w:val="nil"/>
            </w:tcBorders>
            <w:shd w:val="clear" w:color="auto" w:fill="auto"/>
            <w:noWrap/>
            <w:vAlign w:val="bottom"/>
            <w:hideMark/>
          </w:tcPr>
          <w:p w:rsidR="006718BC" w:rsidRPr="00A01D18" w:rsidRDefault="006718BC" w:rsidP="00B9572B">
            <w:pPr>
              <w:spacing w:before="0"/>
              <w:rPr>
                <w:rFonts w:eastAsia="Times New Roman"/>
                <w:sz w:val="16"/>
                <w:szCs w:val="16"/>
                <w:lang w:eastAsia="zh-CN"/>
              </w:rPr>
            </w:pPr>
          </w:p>
        </w:tc>
        <w:tc>
          <w:tcPr>
            <w:tcW w:w="723" w:type="dxa"/>
            <w:tcBorders>
              <w:top w:val="single" w:sz="8" w:space="0" w:color="auto"/>
              <w:left w:val="single" w:sz="8" w:space="0" w:color="auto"/>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w:t>
            </w:r>
          </w:p>
        </w:tc>
        <w:tc>
          <w:tcPr>
            <w:tcW w:w="723" w:type="dxa"/>
            <w:tcBorders>
              <w:top w:val="single" w:sz="8" w:space="0" w:color="auto"/>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Y</w:t>
            </w:r>
          </w:p>
        </w:tc>
        <w:tc>
          <w:tcPr>
            <w:tcW w:w="723" w:type="dxa"/>
            <w:tcBorders>
              <w:top w:val="single" w:sz="8" w:space="0" w:color="auto"/>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Z</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XYZ</w:t>
            </w:r>
          </w:p>
        </w:tc>
        <w:tc>
          <w:tcPr>
            <w:tcW w:w="862" w:type="dxa"/>
            <w:tcBorders>
              <w:top w:val="single" w:sz="8" w:space="0" w:color="auto"/>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tOSNR-XYZ</w:t>
            </w:r>
          </w:p>
        </w:tc>
        <w:tc>
          <w:tcPr>
            <w:tcW w:w="795" w:type="dxa"/>
            <w:tcBorders>
              <w:top w:val="single" w:sz="8" w:space="0" w:color="auto"/>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DE100</w:t>
            </w:r>
          </w:p>
        </w:tc>
        <w:tc>
          <w:tcPr>
            <w:tcW w:w="1106" w:type="dxa"/>
            <w:tcBorders>
              <w:top w:val="single" w:sz="8" w:space="0" w:color="auto"/>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PSNRL100</w:t>
            </w:r>
          </w:p>
        </w:tc>
      </w:tr>
      <w:tr w:rsidR="006718BC" w:rsidRPr="00A01D18" w:rsidTr="00B9572B">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A</w:t>
            </w:r>
          </w:p>
        </w:tc>
        <w:tc>
          <w:tcPr>
            <w:tcW w:w="1977" w:type="dxa"/>
            <w:tcBorders>
              <w:top w:val="single" w:sz="8" w:space="0" w:color="auto"/>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FireEaterClip4000r1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Market3Clip4000r2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SunRise</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862"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r>
      <w:tr w:rsidR="006718BC" w:rsidRPr="00A01D18" w:rsidTr="00B9572B">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B</w:t>
            </w:r>
          </w:p>
        </w:tc>
        <w:tc>
          <w:tcPr>
            <w:tcW w:w="1977" w:type="dxa"/>
            <w:tcBorders>
              <w:top w:val="single" w:sz="8" w:space="0" w:color="auto"/>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1</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95" w:type="dxa"/>
            <w:tcBorders>
              <w:top w:val="single" w:sz="8" w:space="0" w:color="auto"/>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1106" w:type="dxa"/>
            <w:tcBorders>
              <w:top w:val="single" w:sz="8" w:space="0" w:color="auto"/>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GarageExit</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862"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95"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C</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ShowGirl2Teaser</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95"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D</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862" w:type="dxa"/>
            <w:tcBorders>
              <w:top w:val="single" w:sz="8" w:space="0" w:color="auto"/>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2</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3</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1</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2</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862"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95"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r>
      <w:tr w:rsidR="006718BC" w:rsidRPr="00A01D18" w:rsidTr="00B9572B">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G</w:t>
            </w:r>
          </w:p>
        </w:tc>
        <w:tc>
          <w:tcPr>
            <w:tcW w:w="1977" w:type="dxa"/>
            <w:tcBorders>
              <w:top w:val="nil"/>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BalloonFestival</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862"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nil"/>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1106" w:type="dxa"/>
            <w:tcBorders>
              <w:top w:val="nil"/>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rsidTr="00B9572B">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H</w:t>
            </w:r>
          </w:p>
        </w:tc>
        <w:tc>
          <w:tcPr>
            <w:tcW w:w="1977" w:type="dxa"/>
            <w:tcBorders>
              <w:top w:val="single" w:sz="8" w:space="0" w:color="auto"/>
              <w:left w:val="nil"/>
              <w:bottom w:val="nil"/>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EBU_04_Start</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single" w:sz="8" w:space="0" w:color="auto"/>
              <w:left w:val="nil"/>
              <w:bottom w:val="nil"/>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single" w:sz="8" w:space="0" w:color="auto"/>
              <w:left w:val="single" w:sz="8" w:space="0" w:color="auto"/>
              <w:bottom w:val="nil"/>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862" w:type="dxa"/>
            <w:tcBorders>
              <w:top w:val="single" w:sz="8" w:space="0" w:color="auto"/>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single" w:sz="8" w:space="0" w:color="auto"/>
              <w:left w:val="nil"/>
              <w:bottom w:val="nil"/>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1106" w:type="dxa"/>
            <w:tcBorders>
              <w:top w:val="single" w:sz="8" w:space="0" w:color="auto"/>
              <w:left w:val="nil"/>
              <w:bottom w:val="nil"/>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rsidTr="00B9572B">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EBU_06_Hurdles</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862"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95"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r>
      <w:tr w:rsidR="006718BC" w:rsidRPr="00A01D18" w:rsidTr="00B9572B">
        <w:trPr>
          <w:trHeight w:val="330"/>
          <w:jc w:val="center"/>
        </w:trPr>
        <w:tc>
          <w:tcPr>
            <w:tcW w:w="839" w:type="dxa"/>
            <w:tcBorders>
              <w:top w:val="nil"/>
              <w:left w:val="single" w:sz="8" w:space="0" w:color="auto"/>
              <w:bottom w:val="single" w:sz="8" w:space="0" w:color="auto"/>
              <w:right w:val="nil"/>
            </w:tcBorders>
            <w:shd w:val="clear" w:color="auto" w:fill="auto"/>
            <w:noWrap/>
            <w:vAlign w:val="bottom"/>
            <w:hideMark/>
          </w:tcPr>
          <w:p w:rsidR="006718BC" w:rsidRPr="00A01D18" w:rsidRDefault="006718BC" w:rsidP="00B9572B">
            <w:pPr>
              <w:spacing w:before="0"/>
              <w:rPr>
                <w:rFonts w:ascii="Calibri" w:eastAsia="Times New Roman" w:hAnsi="Calibri"/>
                <w:color w:val="000000"/>
                <w:sz w:val="16"/>
                <w:szCs w:val="16"/>
                <w:lang w:eastAsia="zh-CN"/>
              </w:rPr>
            </w:pPr>
            <w:r w:rsidRPr="00A01D18">
              <w:rPr>
                <w:rFonts w:ascii="Calibri" w:eastAsia="Times New Roman" w:hAnsi="Calibri"/>
                <w:color w:val="000000"/>
                <w:sz w:val="16"/>
                <w:szCs w:val="16"/>
                <w:lang w:eastAsia="zh-CN"/>
              </w:rPr>
              <w:t> </w:t>
            </w:r>
          </w:p>
        </w:tc>
        <w:tc>
          <w:tcPr>
            <w:tcW w:w="1977"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rPr>
                <w:rFonts w:ascii="Arial" w:eastAsia="Times New Roman" w:hAnsi="Arial" w:cs="Arial"/>
                <w:b/>
                <w:bCs/>
                <w:color w:val="000000"/>
                <w:sz w:val="16"/>
                <w:szCs w:val="16"/>
                <w:lang w:eastAsia="zh-CN"/>
              </w:rPr>
            </w:pPr>
            <w:r w:rsidRPr="00A01D18">
              <w:rPr>
                <w:rFonts w:ascii="Arial" w:eastAsia="Times New Roman" w:hAnsi="Arial" w:cs="Arial"/>
                <w:b/>
                <w:bCs/>
                <w:color w:val="000000"/>
                <w:sz w:val="16"/>
                <w:szCs w:val="16"/>
                <w:lang w:eastAsia="zh-CN"/>
              </w:rPr>
              <w:t>Overall</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single" w:sz="8" w:space="0" w:color="auto"/>
              <w:right w:val="nil"/>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862"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nil"/>
              <w:left w:val="nil"/>
              <w:bottom w:val="single" w:sz="8" w:space="0" w:color="auto"/>
              <w:right w:val="nil"/>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single" w:sz="8" w:space="0" w:color="auto"/>
              <w:right w:val="single" w:sz="8" w:space="0" w:color="auto"/>
            </w:tcBorders>
            <w:shd w:val="clear" w:color="000000" w:fill="D9D9D9"/>
            <w:noWrap/>
            <w:vAlign w:val="bottom"/>
            <w:hideMark/>
          </w:tcPr>
          <w:p w:rsidR="006718BC" w:rsidRPr="00A01D18" w:rsidRDefault="006718BC" w:rsidP="00B9572B">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r>
    </w:tbl>
    <w:p w:rsidR="006718BC" w:rsidRDefault="006718BC" w:rsidP="006718BC">
      <w:pPr>
        <w:contextualSpacing/>
        <w:jc w:val="both"/>
        <w:rPr>
          <w:rFonts w:eastAsia="Calibri"/>
          <w:lang w:val="en-GB"/>
        </w:rPr>
      </w:pPr>
    </w:p>
    <w:p w:rsidR="006718BC" w:rsidRDefault="006718BC" w:rsidP="006718BC">
      <w:pPr>
        <w:contextualSpacing/>
        <w:jc w:val="both"/>
        <w:rPr>
          <w:rFonts w:eastAsia="Calibri"/>
          <w:lang w:val="en-GB"/>
        </w:rPr>
      </w:pPr>
      <w:r>
        <w:rPr>
          <w:lang w:val="en-GB"/>
        </w:rPr>
        <w:t>All results will be prepared for viewing during the interim meeting.</w:t>
      </w:r>
    </w:p>
    <w:p w:rsidR="00C5133F" w:rsidRPr="006612EF" w:rsidRDefault="00C5133F" w:rsidP="00C5133F">
      <w:pPr>
        <w:rPr>
          <w:lang w:val="en-GB"/>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35982" w:rsidRDefault="00F35982" w:rsidP="00712F60">
      <w:pPr>
        <w:jc w:val="both"/>
        <w:rPr>
          <w:szCs w:val="22"/>
          <w:lang w:val="en-CA"/>
        </w:rPr>
      </w:pPr>
    </w:p>
    <w:p w:rsidR="00F35982" w:rsidRPr="00855F5E" w:rsidRDefault="00F35982" w:rsidP="00F35982">
      <w:pPr>
        <w:pStyle w:val="Heading1"/>
        <w:numPr>
          <w:ilvl w:val="0"/>
          <w:numId w:val="0"/>
        </w:numPr>
        <w:jc w:val="both"/>
      </w:pPr>
      <w:bookmarkStart w:id="5" w:name="_Toc258950902"/>
      <w:bookmarkStart w:id="6" w:name="_Toc341951835"/>
      <w:r w:rsidRPr="00855F5E">
        <w:rPr>
          <w:rFonts w:hint="eastAsia"/>
        </w:rPr>
        <w:t>References</w:t>
      </w:r>
      <w:bookmarkEnd w:id="5"/>
      <w:bookmarkEnd w:id="6"/>
    </w:p>
    <w:p w:rsidR="006718BC" w:rsidRDefault="006718BC" w:rsidP="006718BC">
      <w:pPr>
        <w:pStyle w:val="SPIEreferencelisting"/>
        <w:rPr>
          <w:lang w:val="en-GB"/>
        </w:rPr>
      </w:pPr>
      <w:bookmarkStart w:id="7" w:name="_Ref439775732"/>
      <w:bookmarkStart w:id="8" w:name="_Ref398029621"/>
      <w:bookmarkStart w:id="9" w:name="_Ref390434232"/>
      <w:bookmarkStart w:id="10" w:name="_Ref400108692"/>
      <w:bookmarkStart w:id="11" w:name="_Ref432024549"/>
      <w:bookmarkStart w:id="12" w:name="_Ref416183146"/>
      <w:r>
        <w:rPr>
          <w:lang w:val="en-GB"/>
        </w:rPr>
        <w:t>Y. He, Y. Ye, L. Kerofsky, A. Vosoughi, “Encoder optimization for HDR/WCG coding”, m37223, Geneva, CH, Oct. 2015</w:t>
      </w:r>
      <w:bookmarkEnd w:id="7"/>
    </w:p>
    <w:p w:rsidR="00E53506" w:rsidRPr="006718BC" w:rsidRDefault="006718BC" w:rsidP="00021E65">
      <w:pPr>
        <w:pStyle w:val="SPIEreferencelisting"/>
        <w:rPr>
          <w:sz w:val="22"/>
          <w:szCs w:val="22"/>
        </w:rPr>
      </w:pPr>
      <w:bookmarkStart w:id="13" w:name="_Ref439775907"/>
      <w:r w:rsidRPr="006718BC">
        <w:rPr>
          <w:lang w:val="en-GB"/>
        </w:rPr>
        <w:t xml:space="preserve">J. Strom, J. Sole, Y. </w:t>
      </w:r>
      <w:r w:rsidRPr="008942D8">
        <w:rPr>
          <w:lang w:val="en-GB"/>
        </w:rPr>
        <w:t>He</w:t>
      </w:r>
      <w:r w:rsidRPr="006718BC">
        <w:rPr>
          <w:lang w:val="en-GB"/>
        </w:rPr>
        <w:t>, “HDR CE1: Optimization without HEVC Specification Change”, m37501, Geneva, CH, Oct. 2015.</w:t>
      </w:r>
      <w:bookmarkEnd w:id="8"/>
      <w:bookmarkEnd w:id="9"/>
      <w:bookmarkEnd w:id="10"/>
      <w:bookmarkEnd w:id="11"/>
      <w:bookmarkEnd w:id="12"/>
      <w:bookmarkEnd w:id="13"/>
    </w:p>
    <w:sectPr w:rsidR="00E53506" w:rsidRPr="006718BC"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D11" w:rsidRDefault="008C7D11">
      <w:r>
        <w:separator/>
      </w:r>
    </w:p>
  </w:endnote>
  <w:endnote w:type="continuationSeparator" w:id="0">
    <w:p w:rsidR="008C7D11" w:rsidRDefault="008C7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B7" w:rsidRDefault="00E143B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A75CB">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A75CB">
      <w:rPr>
        <w:rStyle w:val="PageNumber"/>
        <w:noProof/>
      </w:rPr>
      <w:t>2016-01-08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D11" w:rsidRDefault="008C7D11">
      <w:r>
        <w:separator/>
      </w:r>
    </w:p>
  </w:footnote>
  <w:footnote w:type="continuationSeparator" w:id="0">
    <w:p w:rsidR="008C7D11" w:rsidRDefault="008C7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15:restartNumberingAfterBreak="0">
    <w:nsid w:val="1F901EBD"/>
    <w:multiLevelType w:val="hybridMultilevel"/>
    <w:tmpl w:val="88187FBA"/>
    <w:lvl w:ilvl="0" w:tplc="3C948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81908ED"/>
    <w:multiLevelType w:val="hybridMultilevel"/>
    <w:tmpl w:val="DF066604"/>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09791B"/>
    <w:multiLevelType w:val="hybridMultilevel"/>
    <w:tmpl w:val="F9421766"/>
    <w:lvl w:ilvl="0" w:tplc="7084D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80D6E"/>
    <w:multiLevelType w:val="hybridMultilevel"/>
    <w:tmpl w:val="220EF9CA"/>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61423A"/>
    <w:multiLevelType w:val="hybridMultilevel"/>
    <w:tmpl w:val="1EF63A32"/>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15:restartNumberingAfterBreak="0">
    <w:nsid w:val="704132C8"/>
    <w:multiLevelType w:val="hybridMultilevel"/>
    <w:tmpl w:val="A91E9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924F8A"/>
    <w:multiLevelType w:val="hybridMultilevel"/>
    <w:tmpl w:val="7236008E"/>
    <w:lvl w:ilvl="0" w:tplc="33E666F4">
      <w:start w:val="1"/>
      <w:numFmt w:val="decimal"/>
      <w:lvlText w:val="[%1]"/>
      <w:lvlJc w:val="left"/>
      <w:pPr>
        <w:ind w:left="2016" w:hanging="360"/>
      </w:pPr>
      <w:rPr>
        <w:rFonts w:hint="eastAsia"/>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7"/>
  </w:num>
  <w:num w:numId="4">
    <w:abstractNumId w:val="15"/>
  </w:num>
  <w:num w:numId="5">
    <w:abstractNumId w:val="16"/>
  </w:num>
  <w:num w:numId="6">
    <w:abstractNumId w:val="8"/>
  </w:num>
  <w:num w:numId="7">
    <w:abstractNumId w:val="12"/>
  </w:num>
  <w:num w:numId="8">
    <w:abstractNumId w:val="8"/>
  </w:num>
  <w:num w:numId="9">
    <w:abstractNumId w:val="1"/>
  </w:num>
  <w:num w:numId="10">
    <w:abstractNumId w:val="7"/>
  </w:num>
  <w:num w:numId="11">
    <w:abstractNumId w:val="3"/>
  </w:num>
  <w:num w:numId="12">
    <w:abstractNumId w:val="4"/>
  </w:num>
  <w:num w:numId="13">
    <w:abstractNumId w:val="19"/>
  </w:num>
  <w:num w:numId="14">
    <w:abstractNumId w:val="11"/>
  </w:num>
  <w:num w:numId="15">
    <w:abstractNumId w:val="22"/>
  </w:num>
  <w:num w:numId="16">
    <w:abstractNumId w:val="4"/>
  </w:num>
  <w:num w:numId="17">
    <w:abstractNumId w:val="2"/>
  </w:num>
  <w:num w:numId="18">
    <w:abstractNumId w:val="5"/>
  </w:num>
  <w:num w:numId="19">
    <w:abstractNumId w:val="10"/>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8"/>
  </w:num>
  <w:num w:numId="24">
    <w:abstractNumId w:val="9"/>
  </w:num>
  <w:num w:numId="25">
    <w:abstractNumId w:val="6"/>
  </w:num>
  <w:num w:numId="26">
    <w:abstractNumId w:val="13"/>
  </w:num>
  <w:num w:numId="27">
    <w:abstractNumId w:val="14"/>
  </w:num>
  <w:num w:numId="28">
    <w:abstractNumId w:val="21"/>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25E"/>
    <w:rsid w:val="00000874"/>
    <w:rsid w:val="0000337D"/>
    <w:rsid w:val="000034D7"/>
    <w:rsid w:val="000055D1"/>
    <w:rsid w:val="00011A3E"/>
    <w:rsid w:val="00016727"/>
    <w:rsid w:val="000247E3"/>
    <w:rsid w:val="00026B97"/>
    <w:rsid w:val="00026E1D"/>
    <w:rsid w:val="00032A2C"/>
    <w:rsid w:val="000335BA"/>
    <w:rsid w:val="000353FD"/>
    <w:rsid w:val="00036045"/>
    <w:rsid w:val="00037792"/>
    <w:rsid w:val="000444DF"/>
    <w:rsid w:val="000458BC"/>
    <w:rsid w:val="00045C41"/>
    <w:rsid w:val="00046C03"/>
    <w:rsid w:val="000519EF"/>
    <w:rsid w:val="00053807"/>
    <w:rsid w:val="00064DDF"/>
    <w:rsid w:val="00064F00"/>
    <w:rsid w:val="0007053F"/>
    <w:rsid w:val="00071CF6"/>
    <w:rsid w:val="00072994"/>
    <w:rsid w:val="0007614F"/>
    <w:rsid w:val="00080FC0"/>
    <w:rsid w:val="000912FC"/>
    <w:rsid w:val="000A25E1"/>
    <w:rsid w:val="000A5317"/>
    <w:rsid w:val="000A7A44"/>
    <w:rsid w:val="000B1C6B"/>
    <w:rsid w:val="000B4FF9"/>
    <w:rsid w:val="000B761B"/>
    <w:rsid w:val="000C09AC"/>
    <w:rsid w:val="000C32FF"/>
    <w:rsid w:val="000C3E7B"/>
    <w:rsid w:val="000D2FEC"/>
    <w:rsid w:val="000D371B"/>
    <w:rsid w:val="000D6439"/>
    <w:rsid w:val="000E00F3"/>
    <w:rsid w:val="000E17EF"/>
    <w:rsid w:val="000E2454"/>
    <w:rsid w:val="000F158C"/>
    <w:rsid w:val="000F5834"/>
    <w:rsid w:val="00100CFA"/>
    <w:rsid w:val="00102F3D"/>
    <w:rsid w:val="00112578"/>
    <w:rsid w:val="00115A72"/>
    <w:rsid w:val="001179FF"/>
    <w:rsid w:val="001217A8"/>
    <w:rsid w:val="00123186"/>
    <w:rsid w:val="00123623"/>
    <w:rsid w:val="00124DDB"/>
    <w:rsid w:val="00124E38"/>
    <w:rsid w:val="0012580B"/>
    <w:rsid w:val="00131B15"/>
    <w:rsid w:val="00131F90"/>
    <w:rsid w:val="0013526E"/>
    <w:rsid w:val="00135AE3"/>
    <w:rsid w:val="00142491"/>
    <w:rsid w:val="00143949"/>
    <w:rsid w:val="00150DB3"/>
    <w:rsid w:val="0016463F"/>
    <w:rsid w:val="00170446"/>
    <w:rsid w:val="00171371"/>
    <w:rsid w:val="001716E7"/>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3525"/>
    <w:rsid w:val="001C4604"/>
    <w:rsid w:val="001C4B1B"/>
    <w:rsid w:val="001C5396"/>
    <w:rsid w:val="001D1BD2"/>
    <w:rsid w:val="001D2615"/>
    <w:rsid w:val="001D4A7D"/>
    <w:rsid w:val="001D72F6"/>
    <w:rsid w:val="001D7D1E"/>
    <w:rsid w:val="001E02BE"/>
    <w:rsid w:val="001E2B98"/>
    <w:rsid w:val="001E3B37"/>
    <w:rsid w:val="001E45EE"/>
    <w:rsid w:val="001E7D4D"/>
    <w:rsid w:val="001E7F2E"/>
    <w:rsid w:val="001F1354"/>
    <w:rsid w:val="001F23F8"/>
    <w:rsid w:val="001F2539"/>
    <w:rsid w:val="001F2594"/>
    <w:rsid w:val="001F4185"/>
    <w:rsid w:val="001F465B"/>
    <w:rsid w:val="001F75C6"/>
    <w:rsid w:val="00200E85"/>
    <w:rsid w:val="00201BFF"/>
    <w:rsid w:val="0020546F"/>
    <w:rsid w:val="002055A6"/>
    <w:rsid w:val="00205A35"/>
    <w:rsid w:val="00206460"/>
    <w:rsid w:val="002069B4"/>
    <w:rsid w:val="00212AE3"/>
    <w:rsid w:val="00214596"/>
    <w:rsid w:val="00215DFC"/>
    <w:rsid w:val="00217A31"/>
    <w:rsid w:val="002212DF"/>
    <w:rsid w:val="002227D7"/>
    <w:rsid w:val="00222CD4"/>
    <w:rsid w:val="00223F94"/>
    <w:rsid w:val="002264A6"/>
    <w:rsid w:val="00227BA7"/>
    <w:rsid w:val="0023134A"/>
    <w:rsid w:val="00233C1D"/>
    <w:rsid w:val="00236453"/>
    <w:rsid w:val="002506D3"/>
    <w:rsid w:val="002509E8"/>
    <w:rsid w:val="00250D93"/>
    <w:rsid w:val="00252848"/>
    <w:rsid w:val="00253D8C"/>
    <w:rsid w:val="00263398"/>
    <w:rsid w:val="00266F2F"/>
    <w:rsid w:val="0027361E"/>
    <w:rsid w:val="002746A8"/>
    <w:rsid w:val="00275BCF"/>
    <w:rsid w:val="00281C66"/>
    <w:rsid w:val="00292257"/>
    <w:rsid w:val="0029231F"/>
    <w:rsid w:val="0029612F"/>
    <w:rsid w:val="002A1FE8"/>
    <w:rsid w:val="002A54E0"/>
    <w:rsid w:val="002A630C"/>
    <w:rsid w:val="002A7294"/>
    <w:rsid w:val="002B1595"/>
    <w:rsid w:val="002B191D"/>
    <w:rsid w:val="002B1D1D"/>
    <w:rsid w:val="002B4FAB"/>
    <w:rsid w:val="002C1763"/>
    <w:rsid w:val="002C3A5F"/>
    <w:rsid w:val="002C567E"/>
    <w:rsid w:val="002D0AF6"/>
    <w:rsid w:val="002D1D7D"/>
    <w:rsid w:val="002D205A"/>
    <w:rsid w:val="002D4BC8"/>
    <w:rsid w:val="002D56BA"/>
    <w:rsid w:val="002D730C"/>
    <w:rsid w:val="002E0CE6"/>
    <w:rsid w:val="002E5147"/>
    <w:rsid w:val="002E5D24"/>
    <w:rsid w:val="002E78E3"/>
    <w:rsid w:val="002F164D"/>
    <w:rsid w:val="002F2D31"/>
    <w:rsid w:val="002F3315"/>
    <w:rsid w:val="002F52D3"/>
    <w:rsid w:val="002F7341"/>
    <w:rsid w:val="00300227"/>
    <w:rsid w:val="00301839"/>
    <w:rsid w:val="00305881"/>
    <w:rsid w:val="00306206"/>
    <w:rsid w:val="00306AF9"/>
    <w:rsid w:val="00307E45"/>
    <w:rsid w:val="00312DB4"/>
    <w:rsid w:val="00315B62"/>
    <w:rsid w:val="00317D85"/>
    <w:rsid w:val="00322929"/>
    <w:rsid w:val="003230E3"/>
    <w:rsid w:val="00324F5B"/>
    <w:rsid w:val="00327ADE"/>
    <w:rsid w:val="00327C56"/>
    <w:rsid w:val="003315A1"/>
    <w:rsid w:val="0033200E"/>
    <w:rsid w:val="00332711"/>
    <w:rsid w:val="00336AC9"/>
    <w:rsid w:val="003373EC"/>
    <w:rsid w:val="00340965"/>
    <w:rsid w:val="00342772"/>
    <w:rsid w:val="00342BF4"/>
    <w:rsid w:val="00342FF4"/>
    <w:rsid w:val="00346B4C"/>
    <w:rsid w:val="00350E58"/>
    <w:rsid w:val="003517A6"/>
    <w:rsid w:val="00361FB2"/>
    <w:rsid w:val="003669DC"/>
    <w:rsid w:val="00367021"/>
    <w:rsid w:val="003670C0"/>
    <w:rsid w:val="003706CC"/>
    <w:rsid w:val="00377710"/>
    <w:rsid w:val="003868CC"/>
    <w:rsid w:val="00387363"/>
    <w:rsid w:val="0039386A"/>
    <w:rsid w:val="003A2D8E"/>
    <w:rsid w:val="003A3AB8"/>
    <w:rsid w:val="003A44E0"/>
    <w:rsid w:val="003A653F"/>
    <w:rsid w:val="003C20E4"/>
    <w:rsid w:val="003D0C9D"/>
    <w:rsid w:val="003D0D8B"/>
    <w:rsid w:val="003D1DCB"/>
    <w:rsid w:val="003D3F43"/>
    <w:rsid w:val="003E25A0"/>
    <w:rsid w:val="003E51A9"/>
    <w:rsid w:val="003E6F90"/>
    <w:rsid w:val="003F1093"/>
    <w:rsid w:val="003F26F4"/>
    <w:rsid w:val="003F5608"/>
    <w:rsid w:val="003F5D0F"/>
    <w:rsid w:val="004002F4"/>
    <w:rsid w:val="0040272C"/>
    <w:rsid w:val="00411633"/>
    <w:rsid w:val="00414101"/>
    <w:rsid w:val="0041600C"/>
    <w:rsid w:val="00423952"/>
    <w:rsid w:val="0042509A"/>
    <w:rsid w:val="0043000C"/>
    <w:rsid w:val="00430818"/>
    <w:rsid w:val="00433DDB"/>
    <w:rsid w:val="00437298"/>
    <w:rsid w:val="004372B8"/>
    <w:rsid w:val="00437619"/>
    <w:rsid w:val="00441E94"/>
    <w:rsid w:val="0044414B"/>
    <w:rsid w:val="00444756"/>
    <w:rsid w:val="00445F94"/>
    <w:rsid w:val="0045032A"/>
    <w:rsid w:val="00450648"/>
    <w:rsid w:val="00452338"/>
    <w:rsid w:val="004525FB"/>
    <w:rsid w:val="00462D12"/>
    <w:rsid w:val="004646DD"/>
    <w:rsid w:val="0046481A"/>
    <w:rsid w:val="00470ACD"/>
    <w:rsid w:val="004715D0"/>
    <w:rsid w:val="00472C31"/>
    <w:rsid w:val="00476D2B"/>
    <w:rsid w:val="00477F54"/>
    <w:rsid w:val="0048059A"/>
    <w:rsid w:val="004823FD"/>
    <w:rsid w:val="004857F0"/>
    <w:rsid w:val="00490060"/>
    <w:rsid w:val="004935C2"/>
    <w:rsid w:val="004961A0"/>
    <w:rsid w:val="00497F78"/>
    <w:rsid w:val="004A2A63"/>
    <w:rsid w:val="004B210C"/>
    <w:rsid w:val="004B6443"/>
    <w:rsid w:val="004C6686"/>
    <w:rsid w:val="004D08E4"/>
    <w:rsid w:val="004D405F"/>
    <w:rsid w:val="004D5147"/>
    <w:rsid w:val="004E0C98"/>
    <w:rsid w:val="004E0DF4"/>
    <w:rsid w:val="004E4F4F"/>
    <w:rsid w:val="004E6789"/>
    <w:rsid w:val="004F124F"/>
    <w:rsid w:val="004F3778"/>
    <w:rsid w:val="004F3A6D"/>
    <w:rsid w:val="004F46C8"/>
    <w:rsid w:val="004F6111"/>
    <w:rsid w:val="004F61E3"/>
    <w:rsid w:val="004F72E7"/>
    <w:rsid w:val="00502E10"/>
    <w:rsid w:val="00503FBE"/>
    <w:rsid w:val="00507139"/>
    <w:rsid w:val="0051015C"/>
    <w:rsid w:val="00511028"/>
    <w:rsid w:val="00513744"/>
    <w:rsid w:val="005167B8"/>
    <w:rsid w:val="00516CF1"/>
    <w:rsid w:val="00520EB4"/>
    <w:rsid w:val="005210B2"/>
    <w:rsid w:val="00522FB8"/>
    <w:rsid w:val="00527374"/>
    <w:rsid w:val="00531AE9"/>
    <w:rsid w:val="005400C9"/>
    <w:rsid w:val="005401D7"/>
    <w:rsid w:val="005434D6"/>
    <w:rsid w:val="00546273"/>
    <w:rsid w:val="00547BE9"/>
    <w:rsid w:val="00550A66"/>
    <w:rsid w:val="00550C35"/>
    <w:rsid w:val="00552EC8"/>
    <w:rsid w:val="0055488A"/>
    <w:rsid w:val="00560DCB"/>
    <w:rsid w:val="00565058"/>
    <w:rsid w:val="005663B5"/>
    <w:rsid w:val="00567471"/>
    <w:rsid w:val="00567EC7"/>
    <w:rsid w:val="00570013"/>
    <w:rsid w:val="00574DC3"/>
    <w:rsid w:val="005801A2"/>
    <w:rsid w:val="0058767B"/>
    <w:rsid w:val="005905E7"/>
    <w:rsid w:val="005939B5"/>
    <w:rsid w:val="00594EC4"/>
    <w:rsid w:val="005952A5"/>
    <w:rsid w:val="005A0863"/>
    <w:rsid w:val="005A1AFE"/>
    <w:rsid w:val="005A33A1"/>
    <w:rsid w:val="005A6194"/>
    <w:rsid w:val="005B0B7B"/>
    <w:rsid w:val="005B1050"/>
    <w:rsid w:val="005B217D"/>
    <w:rsid w:val="005B3502"/>
    <w:rsid w:val="005B4192"/>
    <w:rsid w:val="005B42D1"/>
    <w:rsid w:val="005B6351"/>
    <w:rsid w:val="005B769E"/>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772A"/>
    <w:rsid w:val="006079E0"/>
    <w:rsid w:val="00607BD9"/>
    <w:rsid w:val="006129BE"/>
    <w:rsid w:val="00616F7A"/>
    <w:rsid w:val="006205C0"/>
    <w:rsid w:val="006206A7"/>
    <w:rsid w:val="00624028"/>
    <w:rsid w:val="006246B2"/>
    <w:rsid w:val="00624B33"/>
    <w:rsid w:val="00630AA2"/>
    <w:rsid w:val="00630E93"/>
    <w:rsid w:val="00633AC8"/>
    <w:rsid w:val="00641F3A"/>
    <w:rsid w:val="00646707"/>
    <w:rsid w:val="006604B5"/>
    <w:rsid w:val="006612EF"/>
    <w:rsid w:val="00661FD4"/>
    <w:rsid w:val="006622D2"/>
    <w:rsid w:val="00662E58"/>
    <w:rsid w:val="00664DCF"/>
    <w:rsid w:val="00667582"/>
    <w:rsid w:val="006718BC"/>
    <w:rsid w:val="00677CF9"/>
    <w:rsid w:val="00684FC3"/>
    <w:rsid w:val="00685961"/>
    <w:rsid w:val="00694EE0"/>
    <w:rsid w:val="006A2344"/>
    <w:rsid w:val="006A3360"/>
    <w:rsid w:val="006A35B2"/>
    <w:rsid w:val="006A6122"/>
    <w:rsid w:val="006A6571"/>
    <w:rsid w:val="006B405B"/>
    <w:rsid w:val="006B45E6"/>
    <w:rsid w:val="006C17EA"/>
    <w:rsid w:val="006C409D"/>
    <w:rsid w:val="006C4EF8"/>
    <w:rsid w:val="006C5D39"/>
    <w:rsid w:val="006D1415"/>
    <w:rsid w:val="006D221D"/>
    <w:rsid w:val="006D69C1"/>
    <w:rsid w:val="006D7333"/>
    <w:rsid w:val="006E2810"/>
    <w:rsid w:val="006E5417"/>
    <w:rsid w:val="006E5F90"/>
    <w:rsid w:val="006E6ABA"/>
    <w:rsid w:val="00702E3E"/>
    <w:rsid w:val="0070459C"/>
    <w:rsid w:val="00710981"/>
    <w:rsid w:val="00711345"/>
    <w:rsid w:val="00712146"/>
    <w:rsid w:val="00712F60"/>
    <w:rsid w:val="00714FD8"/>
    <w:rsid w:val="00720E3B"/>
    <w:rsid w:val="00722FC2"/>
    <w:rsid w:val="00726498"/>
    <w:rsid w:val="00726C8E"/>
    <w:rsid w:val="00731E3A"/>
    <w:rsid w:val="00732350"/>
    <w:rsid w:val="00737E2A"/>
    <w:rsid w:val="007419D6"/>
    <w:rsid w:val="00745F6B"/>
    <w:rsid w:val="007506E6"/>
    <w:rsid w:val="00751D68"/>
    <w:rsid w:val="0075585E"/>
    <w:rsid w:val="0076149F"/>
    <w:rsid w:val="0076326F"/>
    <w:rsid w:val="00770571"/>
    <w:rsid w:val="00775C51"/>
    <w:rsid w:val="007768FF"/>
    <w:rsid w:val="007769A6"/>
    <w:rsid w:val="007820B3"/>
    <w:rsid w:val="007824D3"/>
    <w:rsid w:val="00783B19"/>
    <w:rsid w:val="00785FEE"/>
    <w:rsid w:val="0078622F"/>
    <w:rsid w:val="0079274A"/>
    <w:rsid w:val="00796EE3"/>
    <w:rsid w:val="007A03C5"/>
    <w:rsid w:val="007A5050"/>
    <w:rsid w:val="007A5AD9"/>
    <w:rsid w:val="007A5E7D"/>
    <w:rsid w:val="007A63E0"/>
    <w:rsid w:val="007A7D29"/>
    <w:rsid w:val="007B4AB8"/>
    <w:rsid w:val="007C3E57"/>
    <w:rsid w:val="007C6AE8"/>
    <w:rsid w:val="007D1914"/>
    <w:rsid w:val="007D1DD6"/>
    <w:rsid w:val="007D1F49"/>
    <w:rsid w:val="007D24EA"/>
    <w:rsid w:val="007D2DDA"/>
    <w:rsid w:val="007D3277"/>
    <w:rsid w:val="007D6B91"/>
    <w:rsid w:val="007E179D"/>
    <w:rsid w:val="007E208D"/>
    <w:rsid w:val="007E2215"/>
    <w:rsid w:val="007E3E9D"/>
    <w:rsid w:val="007E4134"/>
    <w:rsid w:val="007E737B"/>
    <w:rsid w:val="007F1AB4"/>
    <w:rsid w:val="007F1F8B"/>
    <w:rsid w:val="007F2CC9"/>
    <w:rsid w:val="007F67A1"/>
    <w:rsid w:val="007F787F"/>
    <w:rsid w:val="00801FDB"/>
    <w:rsid w:val="00807E29"/>
    <w:rsid w:val="00807F96"/>
    <w:rsid w:val="00811C05"/>
    <w:rsid w:val="0081424C"/>
    <w:rsid w:val="008206C8"/>
    <w:rsid w:val="00821B53"/>
    <w:rsid w:val="00822B94"/>
    <w:rsid w:val="0082421D"/>
    <w:rsid w:val="0083497D"/>
    <w:rsid w:val="00836C99"/>
    <w:rsid w:val="00842038"/>
    <w:rsid w:val="00844A9E"/>
    <w:rsid w:val="00846A78"/>
    <w:rsid w:val="008532F2"/>
    <w:rsid w:val="0085652C"/>
    <w:rsid w:val="00856959"/>
    <w:rsid w:val="008607D5"/>
    <w:rsid w:val="008615BE"/>
    <w:rsid w:val="0086486C"/>
    <w:rsid w:val="00870875"/>
    <w:rsid w:val="00870E0A"/>
    <w:rsid w:val="00873BB5"/>
    <w:rsid w:val="00874A6C"/>
    <w:rsid w:val="00875AE7"/>
    <w:rsid w:val="00876717"/>
    <w:rsid w:val="00876C65"/>
    <w:rsid w:val="00880E21"/>
    <w:rsid w:val="00881582"/>
    <w:rsid w:val="008827E7"/>
    <w:rsid w:val="00883AD5"/>
    <w:rsid w:val="0088426D"/>
    <w:rsid w:val="008842FE"/>
    <w:rsid w:val="008843FE"/>
    <w:rsid w:val="00884DEF"/>
    <w:rsid w:val="0089006E"/>
    <w:rsid w:val="008942D8"/>
    <w:rsid w:val="008956C6"/>
    <w:rsid w:val="00896CDD"/>
    <w:rsid w:val="00897AE0"/>
    <w:rsid w:val="008A4B4C"/>
    <w:rsid w:val="008A63B6"/>
    <w:rsid w:val="008B009C"/>
    <w:rsid w:val="008B128C"/>
    <w:rsid w:val="008B4891"/>
    <w:rsid w:val="008B6462"/>
    <w:rsid w:val="008B6792"/>
    <w:rsid w:val="008B6939"/>
    <w:rsid w:val="008C239F"/>
    <w:rsid w:val="008C23AA"/>
    <w:rsid w:val="008C6C68"/>
    <w:rsid w:val="008C7D11"/>
    <w:rsid w:val="008D0FF1"/>
    <w:rsid w:val="008D40F6"/>
    <w:rsid w:val="008E480C"/>
    <w:rsid w:val="008E65DC"/>
    <w:rsid w:val="008F309D"/>
    <w:rsid w:val="008F3B87"/>
    <w:rsid w:val="008F75BE"/>
    <w:rsid w:val="008F7796"/>
    <w:rsid w:val="00900089"/>
    <w:rsid w:val="00902C51"/>
    <w:rsid w:val="009056B5"/>
    <w:rsid w:val="00907757"/>
    <w:rsid w:val="00910BEA"/>
    <w:rsid w:val="0091223E"/>
    <w:rsid w:val="00912754"/>
    <w:rsid w:val="00916892"/>
    <w:rsid w:val="009212B0"/>
    <w:rsid w:val="00921534"/>
    <w:rsid w:val="00921BD0"/>
    <w:rsid w:val="009234A5"/>
    <w:rsid w:val="009253BA"/>
    <w:rsid w:val="00930CB3"/>
    <w:rsid w:val="009322E5"/>
    <w:rsid w:val="009331FE"/>
    <w:rsid w:val="009336F7"/>
    <w:rsid w:val="009374A7"/>
    <w:rsid w:val="00940DAE"/>
    <w:rsid w:val="00942ACD"/>
    <w:rsid w:val="009431B8"/>
    <w:rsid w:val="009460EA"/>
    <w:rsid w:val="009465CE"/>
    <w:rsid w:val="00946A46"/>
    <w:rsid w:val="0095627D"/>
    <w:rsid w:val="00961945"/>
    <w:rsid w:val="009621C8"/>
    <w:rsid w:val="00967C7A"/>
    <w:rsid w:val="009700A6"/>
    <w:rsid w:val="00970EBF"/>
    <w:rsid w:val="009718A6"/>
    <w:rsid w:val="0097269A"/>
    <w:rsid w:val="0097480D"/>
    <w:rsid w:val="009759F2"/>
    <w:rsid w:val="0098551D"/>
    <w:rsid w:val="00987C4D"/>
    <w:rsid w:val="009921FC"/>
    <w:rsid w:val="00994B75"/>
    <w:rsid w:val="0099518F"/>
    <w:rsid w:val="009955C5"/>
    <w:rsid w:val="009979F2"/>
    <w:rsid w:val="009A4B59"/>
    <w:rsid w:val="009A523D"/>
    <w:rsid w:val="009B1466"/>
    <w:rsid w:val="009B2C58"/>
    <w:rsid w:val="009C24B5"/>
    <w:rsid w:val="009C27A0"/>
    <w:rsid w:val="009D0FFD"/>
    <w:rsid w:val="009D131F"/>
    <w:rsid w:val="009E1448"/>
    <w:rsid w:val="009F0748"/>
    <w:rsid w:val="009F496B"/>
    <w:rsid w:val="00A01439"/>
    <w:rsid w:val="00A020D8"/>
    <w:rsid w:val="00A02E61"/>
    <w:rsid w:val="00A03C31"/>
    <w:rsid w:val="00A05CFF"/>
    <w:rsid w:val="00A110E7"/>
    <w:rsid w:val="00A1286E"/>
    <w:rsid w:val="00A13BE6"/>
    <w:rsid w:val="00A15E85"/>
    <w:rsid w:val="00A17EE7"/>
    <w:rsid w:val="00A208B0"/>
    <w:rsid w:val="00A2602A"/>
    <w:rsid w:val="00A419EE"/>
    <w:rsid w:val="00A43A36"/>
    <w:rsid w:val="00A46C77"/>
    <w:rsid w:val="00A500CF"/>
    <w:rsid w:val="00A50AEE"/>
    <w:rsid w:val="00A53BAD"/>
    <w:rsid w:val="00A53FEE"/>
    <w:rsid w:val="00A557CE"/>
    <w:rsid w:val="00A56B97"/>
    <w:rsid w:val="00A56CA4"/>
    <w:rsid w:val="00A6093D"/>
    <w:rsid w:val="00A63FFB"/>
    <w:rsid w:val="00A67F42"/>
    <w:rsid w:val="00A72B09"/>
    <w:rsid w:val="00A73E90"/>
    <w:rsid w:val="00A76A6D"/>
    <w:rsid w:val="00A76E96"/>
    <w:rsid w:val="00A83253"/>
    <w:rsid w:val="00A832F5"/>
    <w:rsid w:val="00A92C8D"/>
    <w:rsid w:val="00A978A9"/>
    <w:rsid w:val="00AA6E84"/>
    <w:rsid w:val="00AC09A4"/>
    <w:rsid w:val="00AC4A60"/>
    <w:rsid w:val="00AC774F"/>
    <w:rsid w:val="00AD08D4"/>
    <w:rsid w:val="00AE341B"/>
    <w:rsid w:val="00AE3B38"/>
    <w:rsid w:val="00AF1B7A"/>
    <w:rsid w:val="00AF22F6"/>
    <w:rsid w:val="00AF2592"/>
    <w:rsid w:val="00AF31F3"/>
    <w:rsid w:val="00AF3C98"/>
    <w:rsid w:val="00AF3F93"/>
    <w:rsid w:val="00B005D6"/>
    <w:rsid w:val="00B020B7"/>
    <w:rsid w:val="00B038B6"/>
    <w:rsid w:val="00B046FF"/>
    <w:rsid w:val="00B07CA7"/>
    <w:rsid w:val="00B1279A"/>
    <w:rsid w:val="00B12B25"/>
    <w:rsid w:val="00B12C12"/>
    <w:rsid w:val="00B13C52"/>
    <w:rsid w:val="00B14379"/>
    <w:rsid w:val="00B2267C"/>
    <w:rsid w:val="00B27EA2"/>
    <w:rsid w:val="00B3042F"/>
    <w:rsid w:val="00B44D52"/>
    <w:rsid w:val="00B5222E"/>
    <w:rsid w:val="00B61C96"/>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B06"/>
    <w:rsid w:val="00B94C28"/>
    <w:rsid w:val="00B965BB"/>
    <w:rsid w:val="00BA0EAD"/>
    <w:rsid w:val="00BA297C"/>
    <w:rsid w:val="00BA75C8"/>
    <w:rsid w:val="00BA7CB1"/>
    <w:rsid w:val="00BB225E"/>
    <w:rsid w:val="00BB38CF"/>
    <w:rsid w:val="00BB3FAB"/>
    <w:rsid w:val="00BB54C3"/>
    <w:rsid w:val="00BC10BA"/>
    <w:rsid w:val="00BC276B"/>
    <w:rsid w:val="00BC4B20"/>
    <w:rsid w:val="00BC5AFD"/>
    <w:rsid w:val="00BD6051"/>
    <w:rsid w:val="00BE6479"/>
    <w:rsid w:val="00BF1D70"/>
    <w:rsid w:val="00BF42C4"/>
    <w:rsid w:val="00BF5002"/>
    <w:rsid w:val="00BF5B1F"/>
    <w:rsid w:val="00C02C2D"/>
    <w:rsid w:val="00C04F43"/>
    <w:rsid w:val="00C0609D"/>
    <w:rsid w:val="00C1033E"/>
    <w:rsid w:val="00C10490"/>
    <w:rsid w:val="00C113CF"/>
    <w:rsid w:val="00C115AB"/>
    <w:rsid w:val="00C1202B"/>
    <w:rsid w:val="00C1425D"/>
    <w:rsid w:val="00C152F6"/>
    <w:rsid w:val="00C30249"/>
    <w:rsid w:val="00C308B2"/>
    <w:rsid w:val="00C33FBF"/>
    <w:rsid w:val="00C344FD"/>
    <w:rsid w:val="00C3723B"/>
    <w:rsid w:val="00C40449"/>
    <w:rsid w:val="00C5133F"/>
    <w:rsid w:val="00C5614C"/>
    <w:rsid w:val="00C567F9"/>
    <w:rsid w:val="00C606C9"/>
    <w:rsid w:val="00C738B9"/>
    <w:rsid w:val="00C74194"/>
    <w:rsid w:val="00C80288"/>
    <w:rsid w:val="00C806B8"/>
    <w:rsid w:val="00C80F7F"/>
    <w:rsid w:val="00C84003"/>
    <w:rsid w:val="00C87ADE"/>
    <w:rsid w:val="00C87BCD"/>
    <w:rsid w:val="00C90650"/>
    <w:rsid w:val="00C91E1C"/>
    <w:rsid w:val="00C95B36"/>
    <w:rsid w:val="00C97D78"/>
    <w:rsid w:val="00CA3890"/>
    <w:rsid w:val="00CA6541"/>
    <w:rsid w:val="00CA799C"/>
    <w:rsid w:val="00CB08E7"/>
    <w:rsid w:val="00CB2B22"/>
    <w:rsid w:val="00CB32A4"/>
    <w:rsid w:val="00CB5345"/>
    <w:rsid w:val="00CB73B0"/>
    <w:rsid w:val="00CC2AAE"/>
    <w:rsid w:val="00CC5A42"/>
    <w:rsid w:val="00CD0EAB"/>
    <w:rsid w:val="00CD54F9"/>
    <w:rsid w:val="00CD623F"/>
    <w:rsid w:val="00CE2CD1"/>
    <w:rsid w:val="00CE2FBB"/>
    <w:rsid w:val="00CE3314"/>
    <w:rsid w:val="00CE3CCC"/>
    <w:rsid w:val="00CF193D"/>
    <w:rsid w:val="00CF34DB"/>
    <w:rsid w:val="00CF3B00"/>
    <w:rsid w:val="00CF4012"/>
    <w:rsid w:val="00CF558F"/>
    <w:rsid w:val="00CF6CC8"/>
    <w:rsid w:val="00D073E2"/>
    <w:rsid w:val="00D115B0"/>
    <w:rsid w:val="00D1561B"/>
    <w:rsid w:val="00D175BD"/>
    <w:rsid w:val="00D17D3E"/>
    <w:rsid w:val="00D21A01"/>
    <w:rsid w:val="00D26415"/>
    <w:rsid w:val="00D32002"/>
    <w:rsid w:val="00D35FBE"/>
    <w:rsid w:val="00D36324"/>
    <w:rsid w:val="00D42906"/>
    <w:rsid w:val="00D42D00"/>
    <w:rsid w:val="00D441CA"/>
    <w:rsid w:val="00D446EC"/>
    <w:rsid w:val="00D44EBD"/>
    <w:rsid w:val="00D4554F"/>
    <w:rsid w:val="00D47B23"/>
    <w:rsid w:val="00D51BF0"/>
    <w:rsid w:val="00D55942"/>
    <w:rsid w:val="00D56A44"/>
    <w:rsid w:val="00D56C30"/>
    <w:rsid w:val="00D60DAF"/>
    <w:rsid w:val="00D63162"/>
    <w:rsid w:val="00D64AEA"/>
    <w:rsid w:val="00D70E26"/>
    <w:rsid w:val="00D713B6"/>
    <w:rsid w:val="00D71DD8"/>
    <w:rsid w:val="00D75A72"/>
    <w:rsid w:val="00D80576"/>
    <w:rsid w:val="00D807BF"/>
    <w:rsid w:val="00D80B2D"/>
    <w:rsid w:val="00D82FCC"/>
    <w:rsid w:val="00D8333E"/>
    <w:rsid w:val="00D87811"/>
    <w:rsid w:val="00D91F23"/>
    <w:rsid w:val="00D93FF7"/>
    <w:rsid w:val="00D95EE7"/>
    <w:rsid w:val="00D97CF8"/>
    <w:rsid w:val="00DA17FC"/>
    <w:rsid w:val="00DA5B68"/>
    <w:rsid w:val="00DA6AF7"/>
    <w:rsid w:val="00DA75CB"/>
    <w:rsid w:val="00DA7887"/>
    <w:rsid w:val="00DB1FFE"/>
    <w:rsid w:val="00DB2C26"/>
    <w:rsid w:val="00DB314A"/>
    <w:rsid w:val="00DB3B9B"/>
    <w:rsid w:val="00DB673C"/>
    <w:rsid w:val="00DB7901"/>
    <w:rsid w:val="00DC72C7"/>
    <w:rsid w:val="00DD1A81"/>
    <w:rsid w:val="00DD2BA8"/>
    <w:rsid w:val="00DD559D"/>
    <w:rsid w:val="00DD5C59"/>
    <w:rsid w:val="00DE22FA"/>
    <w:rsid w:val="00DE6556"/>
    <w:rsid w:val="00DE6B43"/>
    <w:rsid w:val="00DF179F"/>
    <w:rsid w:val="00DF1ED3"/>
    <w:rsid w:val="00DF5478"/>
    <w:rsid w:val="00DF67C6"/>
    <w:rsid w:val="00E0547B"/>
    <w:rsid w:val="00E102F0"/>
    <w:rsid w:val="00E11893"/>
    <w:rsid w:val="00E11923"/>
    <w:rsid w:val="00E143B7"/>
    <w:rsid w:val="00E23768"/>
    <w:rsid w:val="00E262D4"/>
    <w:rsid w:val="00E33222"/>
    <w:rsid w:val="00E34D4E"/>
    <w:rsid w:val="00E36250"/>
    <w:rsid w:val="00E41828"/>
    <w:rsid w:val="00E459D3"/>
    <w:rsid w:val="00E47763"/>
    <w:rsid w:val="00E504B8"/>
    <w:rsid w:val="00E53506"/>
    <w:rsid w:val="00E53C79"/>
    <w:rsid w:val="00E54511"/>
    <w:rsid w:val="00E5721A"/>
    <w:rsid w:val="00E61DAC"/>
    <w:rsid w:val="00E632B7"/>
    <w:rsid w:val="00E6504B"/>
    <w:rsid w:val="00E66A90"/>
    <w:rsid w:val="00E72B80"/>
    <w:rsid w:val="00E75FE3"/>
    <w:rsid w:val="00E77B83"/>
    <w:rsid w:val="00E84A34"/>
    <w:rsid w:val="00E8651F"/>
    <w:rsid w:val="00E86C4C"/>
    <w:rsid w:val="00E905A1"/>
    <w:rsid w:val="00E9127E"/>
    <w:rsid w:val="00E918C0"/>
    <w:rsid w:val="00E918D5"/>
    <w:rsid w:val="00E94A57"/>
    <w:rsid w:val="00E94B78"/>
    <w:rsid w:val="00E96D3D"/>
    <w:rsid w:val="00EA2D55"/>
    <w:rsid w:val="00EA3836"/>
    <w:rsid w:val="00EB10C6"/>
    <w:rsid w:val="00EB1BA1"/>
    <w:rsid w:val="00EB6114"/>
    <w:rsid w:val="00EB7AB1"/>
    <w:rsid w:val="00EC15D4"/>
    <w:rsid w:val="00EC18AA"/>
    <w:rsid w:val="00ED2F61"/>
    <w:rsid w:val="00ED3E12"/>
    <w:rsid w:val="00EE4BCD"/>
    <w:rsid w:val="00EF17B2"/>
    <w:rsid w:val="00EF48CC"/>
    <w:rsid w:val="00EF5F69"/>
    <w:rsid w:val="00F00E58"/>
    <w:rsid w:val="00F13E3C"/>
    <w:rsid w:val="00F16A67"/>
    <w:rsid w:val="00F16C37"/>
    <w:rsid w:val="00F23C22"/>
    <w:rsid w:val="00F24A05"/>
    <w:rsid w:val="00F25BB9"/>
    <w:rsid w:val="00F27B57"/>
    <w:rsid w:val="00F31969"/>
    <w:rsid w:val="00F35982"/>
    <w:rsid w:val="00F37F6B"/>
    <w:rsid w:val="00F412B6"/>
    <w:rsid w:val="00F42702"/>
    <w:rsid w:val="00F507AD"/>
    <w:rsid w:val="00F51EE7"/>
    <w:rsid w:val="00F56426"/>
    <w:rsid w:val="00F56547"/>
    <w:rsid w:val="00F570FA"/>
    <w:rsid w:val="00F60A7B"/>
    <w:rsid w:val="00F643B4"/>
    <w:rsid w:val="00F669A6"/>
    <w:rsid w:val="00F66BE2"/>
    <w:rsid w:val="00F73032"/>
    <w:rsid w:val="00F738EB"/>
    <w:rsid w:val="00F74E6D"/>
    <w:rsid w:val="00F83C5C"/>
    <w:rsid w:val="00F848FC"/>
    <w:rsid w:val="00F85082"/>
    <w:rsid w:val="00F907EB"/>
    <w:rsid w:val="00F91B77"/>
    <w:rsid w:val="00F9282A"/>
    <w:rsid w:val="00F943D8"/>
    <w:rsid w:val="00F95B23"/>
    <w:rsid w:val="00F96BAD"/>
    <w:rsid w:val="00FA1324"/>
    <w:rsid w:val="00FA3690"/>
    <w:rsid w:val="00FB0742"/>
    <w:rsid w:val="00FB0E84"/>
    <w:rsid w:val="00FC7B65"/>
    <w:rsid w:val="00FD01C2"/>
    <w:rsid w:val="00FD428E"/>
    <w:rsid w:val="00FD7A7F"/>
    <w:rsid w:val="00FE0742"/>
    <w:rsid w:val="00FE187E"/>
    <w:rsid w:val="00FE2F16"/>
    <w:rsid w:val="00FE303F"/>
    <w:rsid w:val="00FE77F1"/>
    <w:rsid w:val="00FF0CE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B75B06-5D90-4C45-A699-1095EBC7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93552390">
      <w:bodyDiv w:val="1"/>
      <w:marLeft w:val="0"/>
      <w:marRight w:val="0"/>
      <w:marTop w:val="0"/>
      <w:marBottom w:val="0"/>
      <w:divBdr>
        <w:top w:val="none" w:sz="0" w:space="0" w:color="auto"/>
        <w:left w:val="none" w:sz="0" w:space="0" w:color="auto"/>
        <w:bottom w:val="none" w:sz="0" w:space="0" w:color="auto"/>
        <w:right w:val="none" w:sz="0" w:space="0" w:color="auto"/>
      </w:divBdr>
    </w:div>
    <w:div w:id="118451017">
      <w:bodyDiv w:val="1"/>
      <w:marLeft w:val="0"/>
      <w:marRight w:val="0"/>
      <w:marTop w:val="0"/>
      <w:marBottom w:val="0"/>
      <w:divBdr>
        <w:top w:val="none" w:sz="0" w:space="0" w:color="auto"/>
        <w:left w:val="none" w:sz="0" w:space="0" w:color="auto"/>
        <w:bottom w:val="none" w:sz="0" w:space="0" w:color="auto"/>
        <w:right w:val="none" w:sz="0" w:space="0" w:color="auto"/>
      </w:divBdr>
    </w:div>
    <w:div w:id="148794776">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0397693">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106574">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594290726">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23074327">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668338293">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75821527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58855430">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28476641">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37632">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88897715">
      <w:bodyDiv w:val="1"/>
      <w:marLeft w:val="0"/>
      <w:marRight w:val="0"/>
      <w:marTop w:val="0"/>
      <w:marBottom w:val="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411085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20547">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654991100">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09545539">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26112701">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56611635">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ouis.kerofsky@interdigita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uwen.he@interdigita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E1FDB-F4A3-4236-AC3F-6A8ADBB3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3</Pages>
  <Words>975</Words>
  <Characters>5561</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6523</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12</cp:revision>
  <cp:lastPrinted>2013-04-08T19:19:00Z</cp:lastPrinted>
  <dcterms:created xsi:type="dcterms:W3CDTF">2015-01-29T01:26:00Z</dcterms:created>
  <dcterms:modified xsi:type="dcterms:W3CDTF">2016-01-11T05:25:00Z</dcterms:modified>
</cp:coreProperties>
</file>