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024FE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0A1B54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6257F">
              <w:t xml:space="preserve">21st Meeting: </w:t>
            </w:r>
            <w:r w:rsidRPr="0076257F">
              <w:rPr>
                <w:lang w:val="en-CA"/>
              </w:rPr>
              <w:t>Warsaw, PL, 19–26 June 2015</w:t>
            </w:r>
          </w:p>
        </w:tc>
        <w:tc>
          <w:tcPr>
            <w:tcW w:w="3168" w:type="dxa"/>
          </w:tcPr>
          <w:p w:rsidR="008A4B4C" w:rsidRPr="00367021" w:rsidRDefault="00E61DAC" w:rsidP="004F065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0A1B54">
              <w:rPr>
                <w:lang w:val="en-CA"/>
              </w:rPr>
              <w:t>U</w:t>
            </w:r>
            <w:r w:rsidR="0055488A" w:rsidRPr="00CC0818">
              <w:rPr>
                <w:lang w:val="en-CA"/>
              </w:rPr>
              <w:t>0</w:t>
            </w:r>
            <w:r w:rsidR="004F0653">
              <w:rPr>
                <w:lang w:val="en-CA"/>
              </w:rPr>
              <w:t>136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4F0653" w:rsidP="004F0653">
            <w:pPr>
              <w:spacing w:before="60" w:after="60"/>
              <w:rPr>
                <w:b/>
                <w:szCs w:val="22"/>
              </w:rPr>
            </w:pPr>
            <w:r w:rsidRPr="004F0653">
              <w:rPr>
                <w:b/>
                <w:szCs w:val="22"/>
              </w:rPr>
              <w:t xml:space="preserve">Cross-checking of JCTVC-U0109: Non-CE1: Simplification for parsing the index of the most significant bit in the </w:t>
            </w:r>
            <w:proofErr w:type="spellStart"/>
            <w:r w:rsidRPr="004F0653">
              <w:rPr>
                <w:b/>
                <w:szCs w:val="22"/>
              </w:rPr>
              <w:t>paletteRun</w:t>
            </w:r>
            <w:proofErr w:type="spellEnd"/>
            <w:r w:rsidRPr="004F0653">
              <w:rPr>
                <w:b/>
                <w:szCs w:val="22"/>
              </w:rPr>
              <w:t xml:space="preserve"> </w:t>
            </w:r>
            <w:proofErr w:type="spellStart"/>
            <w:r w:rsidRPr="004F0653">
              <w:rPr>
                <w:b/>
                <w:szCs w:val="22"/>
              </w:rPr>
              <w:t>binarization</w:t>
            </w:r>
            <w:proofErr w:type="spellEnd"/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5D276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0A1B54">
              <w:rPr>
                <w:szCs w:val="22"/>
              </w:rPr>
              <w:t xml:space="preserve">Xiaoyu Xiu,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0A1B54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1" w:history="1">
              <w:r w:rsidR="000A1B54" w:rsidRPr="00E46FB2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0A1B54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 report</w:t>
      </w:r>
      <w:r w:rsidR="005D2769">
        <w:rPr>
          <w:lang w:val="en-CA"/>
        </w:rPr>
        <w:t>s</w:t>
      </w:r>
      <w:r>
        <w:rPr>
          <w:lang w:val="en-CA"/>
        </w:rPr>
        <w:t xml:space="preserve"> the crosscheck results for </w:t>
      </w:r>
      <w:r w:rsidR="005D2769">
        <w:rPr>
          <w:lang w:val="en-CA"/>
        </w:rPr>
        <w:t>non-</w:t>
      </w:r>
      <w:r>
        <w:rPr>
          <w:lang w:val="en-CA"/>
        </w:rPr>
        <w:t>CE</w:t>
      </w:r>
      <w:r w:rsidR="00780221">
        <w:rPr>
          <w:lang w:val="en-CA"/>
        </w:rPr>
        <w:t>1</w:t>
      </w:r>
      <w:r>
        <w:rPr>
          <w:lang w:val="en-CA"/>
        </w:rPr>
        <w:t xml:space="preserve"> </w:t>
      </w:r>
      <w:r w:rsidR="005D2769">
        <w:rPr>
          <w:lang w:val="en-CA"/>
        </w:rPr>
        <w:t>proposal JCTVC-</w:t>
      </w:r>
      <w:r w:rsidR="00780221">
        <w:rPr>
          <w:lang w:val="en-CA"/>
        </w:rPr>
        <w:t>U</w:t>
      </w:r>
      <w:r w:rsidR="005D2769">
        <w:rPr>
          <w:lang w:val="en-CA"/>
        </w:rPr>
        <w:t>0</w:t>
      </w:r>
      <w:r w:rsidR="00780221">
        <w:rPr>
          <w:lang w:val="en-CA"/>
        </w:rPr>
        <w:t>10</w:t>
      </w:r>
      <w:r w:rsidR="005D2769">
        <w:rPr>
          <w:lang w:val="en-CA"/>
        </w:rPr>
        <w:t>9</w:t>
      </w:r>
      <w:r>
        <w:rPr>
          <w:lang w:val="en-CA"/>
        </w:rPr>
        <w:t xml:space="preserve">. </w:t>
      </w:r>
      <w:r w:rsidR="005D2769">
        <w:rPr>
          <w:lang w:val="en-CA"/>
        </w:rPr>
        <w:t>JCTVC-</w:t>
      </w:r>
      <w:r w:rsidR="00780221">
        <w:rPr>
          <w:lang w:val="en-CA"/>
        </w:rPr>
        <w:t>U</w:t>
      </w:r>
      <w:r w:rsidR="005D2769">
        <w:rPr>
          <w:lang w:val="en-CA"/>
        </w:rPr>
        <w:t>0</w:t>
      </w:r>
      <w:r w:rsidR="00780221">
        <w:rPr>
          <w:lang w:val="en-CA"/>
        </w:rPr>
        <w:t>10</w:t>
      </w:r>
      <w:r w:rsidR="005D2769">
        <w:rPr>
          <w:lang w:val="en-CA"/>
        </w:rPr>
        <w:t xml:space="preserve">9 </w:t>
      </w:r>
      <w:r w:rsidR="00780221">
        <w:rPr>
          <w:lang w:val="en-CA"/>
        </w:rPr>
        <w:t>simplified the coding of palette run value by reducing the number of context coded bins</w:t>
      </w:r>
      <w:r w:rsidR="005D2769">
        <w:rPr>
          <w:lang w:val="en-CA"/>
        </w:rPr>
        <w:t xml:space="preserve">. </w:t>
      </w:r>
      <w:r>
        <w:rPr>
          <w:lang w:val="en-CA"/>
        </w:rPr>
        <w:t>The source code provided by the proponents was verified to be consistent with the description in JCTVC-</w:t>
      </w:r>
      <w:r w:rsidR="00780221">
        <w:rPr>
          <w:lang w:val="en-CA"/>
        </w:rPr>
        <w:t>U</w:t>
      </w:r>
      <w:r w:rsidR="005D2769">
        <w:rPr>
          <w:lang w:val="en-CA"/>
        </w:rPr>
        <w:t>0</w:t>
      </w:r>
      <w:r w:rsidR="00780221">
        <w:rPr>
          <w:lang w:val="en-CA"/>
        </w:rPr>
        <w:t>109</w:t>
      </w:r>
      <w:r>
        <w:rPr>
          <w:lang w:val="en-CA"/>
        </w:rPr>
        <w:t>. The rate-distortion performance was evaluated for CE</w:t>
      </w:r>
      <w:r w:rsidR="00780221">
        <w:rPr>
          <w:lang w:val="en-CA"/>
        </w:rPr>
        <w:t>1</w:t>
      </w:r>
      <w:r>
        <w:rPr>
          <w:lang w:val="en-CA"/>
        </w:rPr>
        <w:t xml:space="preserve"> test conditions JCTVC-</w:t>
      </w:r>
      <w:r w:rsidR="00780221">
        <w:rPr>
          <w:lang w:val="en-CA"/>
        </w:rPr>
        <w:t>T</w:t>
      </w:r>
      <w:r>
        <w:rPr>
          <w:lang w:val="en-CA"/>
        </w:rPr>
        <w:t>11</w:t>
      </w:r>
      <w:r w:rsidR="00780221">
        <w:rPr>
          <w:lang w:val="en-CA"/>
        </w:rPr>
        <w:t>01</w:t>
      </w:r>
      <w:r>
        <w:rPr>
          <w:lang w:val="en-CA"/>
        </w:rPr>
        <w:t xml:space="preserve"> and matches </w:t>
      </w:r>
      <w:r w:rsidR="005D2769">
        <w:rPr>
          <w:lang w:val="en-CA"/>
        </w:rPr>
        <w:t xml:space="preserve">those </w:t>
      </w:r>
      <w:r>
        <w:rPr>
          <w:lang w:val="en-CA"/>
        </w:rPr>
        <w:t>provided in JCTVC-</w:t>
      </w:r>
      <w:r w:rsidR="00780221">
        <w:rPr>
          <w:lang w:val="en-CA"/>
        </w:rPr>
        <w:t>U</w:t>
      </w:r>
      <w:r>
        <w:rPr>
          <w:lang w:val="en-CA"/>
        </w:rPr>
        <w:t>0</w:t>
      </w:r>
      <w:r w:rsidR="00780221">
        <w:rPr>
          <w:lang w:val="en-CA"/>
        </w:rPr>
        <w:t>10</w:t>
      </w:r>
      <w:r w:rsidR="005D2769">
        <w:rPr>
          <w:lang w:val="en-CA"/>
        </w:rPr>
        <w:t>9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85183" w:rsidRDefault="0011057F" w:rsidP="00725E4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</w:t>
      </w:r>
      <w:r w:rsidR="00780221">
        <w:rPr>
          <w:szCs w:val="22"/>
          <w:lang w:val="en-CA"/>
        </w:rPr>
        <w:t>U</w:t>
      </w:r>
      <w:r>
        <w:rPr>
          <w:szCs w:val="22"/>
          <w:lang w:val="en-CA"/>
        </w:rPr>
        <w:t>0</w:t>
      </w:r>
      <w:r w:rsidR="00780221">
        <w:rPr>
          <w:szCs w:val="22"/>
          <w:lang w:val="en-CA"/>
        </w:rPr>
        <w:t>10</w:t>
      </w:r>
      <w:r w:rsidR="005D2769">
        <w:rPr>
          <w:szCs w:val="22"/>
          <w:lang w:val="en-CA"/>
        </w:rPr>
        <w:t>9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885183">
        <w:rPr>
          <w:lang w:val="en-CA"/>
        </w:rPr>
        <w:t xml:space="preserve">proposed a </w:t>
      </w:r>
      <w:r w:rsidR="00780221">
        <w:rPr>
          <w:lang w:val="en-CA"/>
        </w:rPr>
        <w:t xml:space="preserve">simplification </w:t>
      </w:r>
      <w:r w:rsidR="00885183">
        <w:rPr>
          <w:lang w:val="en-CA"/>
        </w:rPr>
        <w:t xml:space="preserve">method </w:t>
      </w:r>
      <w:r w:rsidR="00780221">
        <w:rPr>
          <w:szCs w:val="22"/>
          <w:lang w:val="en-CA"/>
        </w:rPr>
        <w:t>for palette run coding to reduce the number of context coded bins</w:t>
      </w:r>
      <w:r w:rsidR="00885183">
        <w:rPr>
          <w:szCs w:val="22"/>
          <w:lang w:val="en-CA"/>
        </w:rPr>
        <w:t>. Th</w:t>
      </w:r>
      <w:r w:rsidR="00780221">
        <w:rPr>
          <w:szCs w:val="22"/>
          <w:lang w:val="en-CA"/>
        </w:rPr>
        <w:t xml:space="preserve">e table 9-50 in the draft specification </w:t>
      </w:r>
      <w:r w:rsidR="00780221">
        <w:rPr>
          <w:szCs w:val="22"/>
          <w:lang w:val="en-CA"/>
        </w:rPr>
        <w:fldChar w:fldCharType="begin"/>
      </w:r>
      <w:r w:rsidR="00780221">
        <w:rPr>
          <w:szCs w:val="22"/>
          <w:lang w:val="en-CA"/>
        </w:rPr>
        <w:instrText xml:space="preserve"> REF _Ref422135498 \n \h </w:instrText>
      </w:r>
      <w:r w:rsidR="00780221">
        <w:rPr>
          <w:szCs w:val="22"/>
          <w:lang w:val="en-CA"/>
        </w:rPr>
      </w:r>
      <w:r w:rsidR="00780221">
        <w:rPr>
          <w:szCs w:val="22"/>
          <w:lang w:val="en-CA"/>
        </w:rPr>
        <w:fldChar w:fldCharType="separate"/>
      </w:r>
      <w:r w:rsidR="00780221">
        <w:rPr>
          <w:szCs w:val="22"/>
          <w:lang w:val="en-CA"/>
        </w:rPr>
        <w:t>[3]</w:t>
      </w:r>
      <w:r w:rsidR="00780221">
        <w:rPr>
          <w:szCs w:val="22"/>
          <w:lang w:val="en-CA"/>
        </w:rPr>
        <w:fldChar w:fldCharType="end"/>
      </w:r>
      <w:r w:rsidR="00780221">
        <w:rPr>
          <w:szCs w:val="22"/>
          <w:lang w:val="en-CA"/>
        </w:rPr>
        <w:t xml:space="preserve"> is changed</w:t>
      </w:r>
      <w:r w:rsidR="008C6032">
        <w:rPr>
          <w:szCs w:val="22"/>
          <w:lang w:val="en-CA"/>
        </w:rPr>
        <w:t xml:space="preserve"> by the table </w:t>
      </w:r>
      <w:r w:rsidR="008C6032" w:rsidRPr="008C6032">
        <w:rPr>
          <w:szCs w:val="22"/>
          <w:highlight w:val="yellow"/>
          <w:lang w:val="en-CA"/>
        </w:rPr>
        <w:t>highlighted</w:t>
      </w:r>
      <w:r w:rsidR="00885183">
        <w:rPr>
          <w:szCs w:val="22"/>
          <w:lang w:val="en-CA"/>
        </w:rPr>
        <w:t xml:space="preserve">. </w:t>
      </w:r>
      <w:r w:rsidR="008C6032">
        <w:rPr>
          <w:szCs w:val="22"/>
          <w:lang w:val="en-CA"/>
        </w:rPr>
        <w:t>There are two context coded bins are changed to bypass coded bins: bin3 and bin4.</w:t>
      </w:r>
    </w:p>
    <w:p w:rsidR="00780221" w:rsidRDefault="00780221" w:rsidP="00780221">
      <w:pPr>
        <w:pStyle w:val="Caption"/>
        <w:ind w:left="720"/>
        <w:rPr>
          <w:noProof/>
          <w:lang w:val="en-CA"/>
        </w:rPr>
      </w:pPr>
      <w:bookmarkStart w:id="0" w:name="_Ref404419273"/>
      <w:bookmarkStart w:id="1" w:name="_Ref404419261"/>
      <w:bookmarkStart w:id="2" w:name="_Toc415955995"/>
    </w:p>
    <w:p w:rsidR="00780221" w:rsidRPr="00F4349E" w:rsidRDefault="00780221" w:rsidP="00780221">
      <w:pPr>
        <w:pStyle w:val="Caption"/>
        <w:ind w:left="720"/>
        <w:rPr>
          <w:noProof/>
          <w:lang w:val="en-CA"/>
        </w:rPr>
      </w:pPr>
      <w:r w:rsidRPr="00F4349E">
        <w:rPr>
          <w:noProof/>
          <w:lang w:val="en-CA"/>
        </w:rPr>
        <w:t>Table </w:t>
      </w:r>
      <w:r w:rsidRPr="00F4349E">
        <w:rPr>
          <w:noProof/>
          <w:lang w:val="en-CA"/>
        </w:rPr>
        <w:fldChar w:fldCharType="begin"/>
      </w:r>
      <w:r w:rsidRPr="00F4349E">
        <w:rPr>
          <w:noProof/>
          <w:lang w:val="en-CA"/>
        </w:rPr>
        <w:instrText xml:space="preserve"> STYLEREF 1 \s </w:instrText>
      </w:r>
      <w:r w:rsidRPr="00F4349E">
        <w:rPr>
          <w:noProof/>
          <w:lang w:val="en-CA"/>
        </w:rPr>
        <w:fldChar w:fldCharType="separate"/>
      </w:r>
      <w:r>
        <w:rPr>
          <w:noProof/>
          <w:lang w:val="en-CA"/>
        </w:rPr>
        <w:t>9</w:t>
      </w:r>
      <w:r w:rsidRPr="00F4349E">
        <w:rPr>
          <w:noProof/>
          <w:lang w:val="en-CA"/>
        </w:rPr>
        <w:fldChar w:fldCharType="end"/>
      </w:r>
      <w:r w:rsidRPr="00F4349E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>
        <w:rPr>
          <w:noProof/>
          <w:lang w:val="en-CA"/>
        </w:rPr>
        <w:t>50</w:t>
      </w:r>
      <w:r w:rsidRPr="001C01CF">
        <w:rPr>
          <w:noProof/>
          <w:lang w:val="en-CA"/>
        </w:rPr>
        <w:fldChar w:fldCharType="end"/>
      </w:r>
      <w:bookmarkEnd w:id="0"/>
      <w:r w:rsidRPr="00F4349E">
        <w:rPr>
          <w:noProof/>
          <w:lang w:val="en-CA"/>
        </w:rPr>
        <w:t xml:space="preserve"> – Specification of ctxIdxMap</w:t>
      </w:r>
      <w:proofErr w:type="gramStart"/>
      <w:r w:rsidRPr="00F4349E">
        <w:rPr>
          <w:rFonts w:eastAsia="PMingLiU" w:hint="eastAsia"/>
          <w:noProof/>
          <w:lang w:val="en-CA" w:eastAsia="zh-TW"/>
        </w:rPr>
        <w:t>[</w:t>
      </w:r>
      <w:r w:rsidRPr="00F4349E">
        <w:rPr>
          <w:rFonts w:eastAsia="PMingLiU"/>
          <w:noProof/>
          <w:lang w:val="en-CA" w:eastAsia="zh-TW"/>
        </w:rPr>
        <w:t xml:space="preserve"> </w:t>
      </w:r>
      <w:proofErr w:type="spellStart"/>
      <w:r w:rsidRPr="00F4349E">
        <w:t>palette</w:t>
      </w:r>
      <w:proofErr w:type="gramEnd"/>
      <w:r w:rsidRPr="00F4349E">
        <w:t>_run_type_flag</w:t>
      </w:r>
      <w:proofErr w:type="spellEnd"/>
      <w:r w:rsidRPr="00F4349E">
        <w:t xml:space="preserve"> </w:t>
      </w:r>
      <w:r w:rsidRPr="00F4349E">
        <w:rPr>
          <w:rFonts w:eastAsia="PMingLiU" w:hint="eastAsia"/>
          <w:noProof/>
          <w:lang w:val="en-CA" w:eastAsia="zh-TW"/>
        </w:rPr>
        <w:t>]</w:t>
      </w:r>
      <w:r w:rsidRPr="00F4349E">
        <w:rPr>
          <w:noProof/>
          <w:lang w:val="en-CA"/>
        </w:rPr>
        <w:t>[ </w:t>
      </w:r>
      <w:r w:rsidRPr="00F4349E">
        <w:rPr>
          <w:rFonts w:eastAsia="PMingLiU" w:hint="eastAsia"/>
          <w:noProof/>
          <w:lang w:val="en-CA" w:eastAsia="zh-TW"/>
        </w:rPr>
        <w:t>binIdx</w:t>
      </w:r>
      <w:r w:rsidRPr="00F4349E">
        <w:rPr>
          <w:noProof/>
          <w:lang w:val="en-CA"/>
        </w:rPr>
        <w:t> ]</w:t>
      </w:r>
      <w:bookmarkEnd w:id="1"/>
      <w:bookmarkEnd w:id="2"/>
      <w:r w:rsidR="00B3780D">
        <w:rPr>
          <w:noProof/>
          <w:lang w:val="en-CA"/>
        </w:rPr>
        <w:t xml:space="preserve"> in the spec. </w:t>
      </w:r>
      <w:r w:rsidR="00B3780D">
        <w:rPr>
          <w:szCs w:val="22"/>
          <w:lang w:val="en-CA"/>
        </w:rPr>
        <w:fldChar w:fldCharType="begin"/>
      </w:r>
      <w:r w:rsidR="00B3780D">
        <w:rPr>
          <w:szCs w:val="22"/>
          <w:lang w:val="en-CA"/>
        </w:rPr>
        <w:instrText xml:space="preserve"> REF _Ref422135498 \n \h </w:instrText>
      </w:r>
      <w:r w:rsidR="00B3780D">
        <w:rPr>
          <w:szCs w:val="22"/>
          <w:lang w:val="en-CA"/>
        </w:rPr>
      </w:r>
      <w:r w:rsidR="00B3780D">
        <w:rPr>
          <w:szCs w:val="22"/>
          <w:lang w:val="en-CA"/>
        </w:rPr>
        <w:fldChar w:fldCharType="separate"/>
      </w:r>
      <w:r w:rsidR="00B3780D">
        <w:rPr>
          <w:szCs w:val="22"/>
          <w:lang w:val="en-CA"/>
        </w:rPr>
        <w:t>[3]</w:t>
      </w:r>
      <w:r w:rsidR="00B3780D">
        <w:rPr>
          <w:szCs w:val="22"/>
          <w:lang w:val="en-CA"/>
        </w:rPr>
        <w:fldChar w:fldCharType="end"/>
      </w:r>
    </w:p>
    <w:tbl>
      <w:tblPr>
        <w:tblW w:w="3482" w:type="pct"/>
        <w:jc w:val="center"/>
        <w:tblLook w:val="0000" w:firstRow="0" w:lastRow="0" w:firstColumn="0" w:lastColumn="0" w:noHBand="0" w:noVBand="0"/>
      </w:tblPr>
      <w:tblGrid>
        <w:gridCol w:w="3636"/>
        <w:gridCol w:w="536"/>
        <w:gridCol w:w="456"/>
        <w:gridCol w:w="456"/>
        <w:gridCol w:w="457"/>
        <w:gridCol w:w="476"/>
        <w:gridCol w:w="652"/>
      </w:tblGrid>
      <w:tr w:rsidR="00780221" w:rsidRPr="00F4349E" w:rsidTr="00C62E35">
        <w:trPr>
          <w:cantSplit/>
          <w:jc w:val="center"/>
        </w:trPr>
        <w:tc>
          <w:tcPr>
            <w:tcW w:w="2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proofErr w:type="spellStart"/>
            <w:r w:rsidRPr="00F4349E">
              <w:rPr>
                <w:rFonts w:hint="eastAsia"/>
                <w:b/>
                <w:sz w:val="16"/>
                <w:szCs w:val="16"/>
              </w:rPr>
              <w:t>binIdx</w:t>
            </w:r>
            <w:proofErr w:type="spellEnd"/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&gt; 4</w:t>
            </w:r>
          </w:p>
        </w:tc>
      </w:tr>
      <w:tr w:rsidR="00780221" w:rsidRPr="00F4349E" w:rsidTr="00C62E35">
        <w:trPr>
          <w:cantSplit/>
          <w:jc w:val="center"/>
        </w:trPr>
        <w:tc>
          <w:tcPr>
            <w:tcW w:w="2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rPr>
                <w:b/>
                <w:bCs/>
                <w:noProof/>
                <w:sz w:val="16"/>
                <w:szCs w:val="16"/>
                <w:lang w:val="en-CA" w:eastAsia="ar-SA"/>
              </w:rPr>
            </w:pPr>
            <w:proofErr w:type="spellStart"/>
            <w:r w:rsidRPr="00F4349E">
              <w:rPr>
                <w:sz w:val="16"/>
                <w:szCs w:val="16"/>
              </w:rPr>
              <w:t>palette_run_type_flag</w:t>
            </w:r>
            <w:proofErr w:type="spellEnd"/>
            <w:r w:rsidRPr="00F4349E">
              <w:rPr>
                <w:rFonts w:eastAsia="PMingLiU" w:hint="eastAsia"/>
                <w:sz w:val="16"/>
                <w:szCs w:val="16"/>
                <w:lang w:eastAsia="zh-TW"/>
              </w:rPr>
              <w:t xml:space="preserve"> =</w:t>
            </w:r>
            <w:r w:rsidRPr="00F4349E">
              <w:rPr>
                <w:sz w:val="16"/>
                <w:szCs w:val="16"/>
              </w:rPr>
              <w:t xml:space="preserve"> COPY_ABOVE_MODE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bypass</w:t>
            </w:r>
          </w:p>
        </w:tc>
      </w:tr>
      <w:tr w:rsidR="00780221" w:rsidRPr="00F4349E" w:rsidTr="00C62E35">
        <w:trPr>
          <w:cantSplit/>
          <w:jc w:val="center"/>
        </w:trPr>
        <w:tc>
          <w:tcPr>
            <w:tcW w:w="2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rPr>
                <w:sz w:val="16"/>
                <w:szCs w:val="16"/>
              </w:rPr>
            </w:pPr>
            <w:proofErr w:type="spellStart"/>
            <w:r w:rsidRPr="00F4349E">
              <w:rPr>
                <w:sz w:val="16"/>
                <w:szCs w:val="16"/>
              </w:rPr>
              <w:t>palette_run_type_flag</w:t>
            </w:r>
            <w:proofErr w:type="spellEnd"/>
            <w:r w:rsidRPr="00F4349E">
              <w:rPr>
                <w:rFonts w:eastAsia="PMingLiU" w:hint="eastAsia"/>
                <w:sz w:val="16"/>
                <w:szCs w:val="16"/>
                <w:lang w:eastAsia="zh-TW"/>
              </w:rPr>
              <w:t xml:space="preserve"> =</w:t>
            </w:r>
            <w:r w:rsidRPr="00F434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COPY_</w:t>
            </w:r>
            <w:r w:rsidRPr="00F4349E">
              <w:rPr>
                <w:sz w:val="16"/>
                <w:szCs w:val="16"/>
              </w:rPr>
              <w:t>INDEX_MODE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0,1,2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221" w:rsidRPr="00F4349E" w:rsidRDefault="00780221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bypass</w:t>
            </w:r>
          </w:p>
        </w:tc>
      </w:tr>
    </w:tbl>
    <w:p w:rsidR="00436218" w:rsidRDefault="00436218" w:rsidP="00DB314A">
      <w:pPr>
        <w:jc w:val="both"/>
        <w:rPr>
          <w:kern w:val="2"/>
          <w:lang w:eastAsia="zh-CN"/>
        </w:rPr>
      </w:pPr>
    </w:p>
    <w:p w:rsidR="008C6032" w:rsidRPr="00F4349E" w:rsidRDefault="008C6032" w:rsidP="008C6032">
      <w:pPr>
        <w:pStyle w:val="Caption"/>
        <w:ind w:left="720"/>
        <w:rPr>
          <w:noProof/>
          <w:lang w:val="en-CA"/>
        </w:rPr>
      </w:pPr>
      <w:r w:rsidRPr="00F4349E">
        <w:rPr>
          <w:noProof/>
          <w:lang w:val="en-CA"/>
        </w:rPr>
        <w:t>Table </w:t>
      </w:r>
      <w:r w:rsidRPr="00F4349E">
        <w:rPr>
          <w:noProof/>
          <w:lang w:val="en-CA"/>
        </w:rPr>
        <w:fldChar w:fldCharType="begin"/>
      </w:r>
      <w:r w:rsidRPr="00F4349E">
        <w:rPr>
          <w:noProof/>
          <w:lang w:val="en-CA"/>
        </w:rPr>
        <w:instrText xml:space="preserve"> STYLEREF 1 \s </w:instrText>
      </w:r>
      <w:r w:rsidRPr="00F4349E">
        <w:rPr>
          <w:noProof/>
          <w:lang w:val="en-CA"/>
        </w:rPr>
        <w:fldChar w:fldCharType="separate"/>
      </w:r>
      <w:r>
        <w:rPr>
          <w:noProof/>
          <w:lang w:val="en-CA"/>
        </w:rPr>
        <w:t>9</w:t>
      </w:r>
      <w:r w:rsidRPr="00F4349E">
        <w:rPr>
          <w:noProof/>
          <w:lang w:val="en-CA"/>
        </w:rPr>
        <w:fldChar w:fldCharType="end"/>
      </w:r>
      <w:r w:rsidRPr="00F4349E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>
        <w:rPr>
          <w:noProof/>
          <w:lang w:val="en-CA"/>
        </w:rPr>
        <w:t>50</w:t>
      </w:r>
      <w:r w:rsidRPr="001C01CF">
        <w:rPr>
          <w:noProof/>
          <w:lang w:val="en-CA"/>
        </w:rPr>
        <w:fldChar w:fldCharType="end"/>
      </w:r>
      <w:r w:rsidRPr="00F4349E">
        <w:rPr>
          <w:noProof/>
          <w:lang w:val="en-CA"/>
        </w:rPr>
        <w:t xml:space="preserve"> – Specification of ctxIdxMap</w:t>
      </w:r>
      <w:proofErr w:type="gramStart"/>
      <w:r w:rsidRPr="00F4349E">
        <w:rPr>
          <w:rFonts w:eastAsia="PMingLiU" w:hint="eastAsia"/>
          <w:noProof/>
          <w:lang w:val="en-CA" w:eastAsia="zh-TW"/>
        </w:rPr>
        <w:t>[</w:t>
      </w:r>
      <w:r w:rsidRPr="00F4349E">
        <w:rPr>
          <w:rFonts w:eastAsia="PMingLiU"/>
          <w:noProof/>
          <w:lang w:val="en-CA" w:eastAsia="zh-TW"/>
        </w:rPr>
        <w:t xml:space="preserve"> </w:t>
      </w:r>
      <w:proofErr w:type="spellStart"/>
      <w:r w:rsidRPr="00F4349E">
        <w:t>palette</w:t>
      </w:r>
      <w:proofErr w:type="gramEnd"/>
      <w:r w:rsidRPr="00F4349E">
        <w:t>_run_type_flag</w:t>
      </w:r>
      <w:proofErr w:type="spellEnd"/>
      <w:r w:rsidRPr="00F4349E">
        <w:t xml:space="preserve"> </w:t>
      </w:r>
      <w:r w:rsidRPr="00F4349E">
        <w:rPr>
          <w:rFonts w:eastAsia="PMingLiU" w:hint="eastAsia"/>
          <w:noProof/>
          <w:lang w:val="en-CA" w:eastAsia="zh-TW"/>
        </w:rPr>
        <w:t>]</w:t>
      </w:r>
      <w:r w:rsidRPr="00F4349E">
        <w:rPr>
          <w:noProof/>
          <w:lang w:val="en-CA"/>
        </w:rPr>
        <w:t>[ </w:t>
      </w:r>
      <w:r w:rsidRPr="00F4349E">
        <w:rPr>
          <w:rFonts w:eastAsia="PMingLiU" w:hint="eastAsia"/>
          <w:noProof/>
          <w:lang w:val="en-CA" w:eastAsia="zh-TW"/>
        </w:rPr>
        <w:t>binIdx</w:t>
      </w:r>
      <w:r w:rsidRPr="00F4349E">
        <w:rPr>
          <w:noProof/>
          <w:lang w:val="en-CA"/>
        </w:rPr>
        <w:t> ]</w:t>
      </w:r>
      <w:r>
        <w:rPr>
          <w:noProof/>
          <w:lang w:val="en-CA"/>
        </w:rPr>
        <w:t xml:space="preserve"> proposed in JCTVC-U0109</w:t>
      </w:r>
    </w:p>
    <w:tbl>
      <w:tblPr>
        <w:tblW w:w="2996" w:type="pct"/>
        <w:jc w:val="center"/>
        <w:tblLook w:val="0000" w:firstRow="0" w:lastRow="0" w:firstColumn="0" w:lastColumn="0" w:noHBand="0" w:noVBand="0"/>
      </w:tblPr>
      <w:tblGrid>
        <w:gridCol w:w="3637"/>
        <w:gridCol w:w="536"/>
        <w:gridCol w:w="456"/>
        <w:gridCol w:w="457"/>
        <w:gridCol w:w="652"/>
      </w:tblGrid>
      <w:tr w:rsidR="008C6032" w:rsidRPr="00F4349E" w:rsidTr="00C62E35">
        <w:trPr>
          <w:cantSplit/>
          <w:jc w:val="center"/>
        </w:trPr>
        <w:tc>
          <w:tcPr>
            <w:tcW w:w="3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proofErr w:type="spellStart"/>
            <w:r w:rsidRPr="00F4349E">
              <w:rPr>
                <w:rFonts w:hint="eastAsia"/>
                <w:b/>
                <w:sz w:val="16"/>
                <w:szCs w:val="16"/>
              </w:rPr>
              <w:t>binIdx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>
              <w:rPr>
                <w:b/>
                <w:noProof/>
                <w:sz w:val="16"/>
                <w:szCs w:val="16"/>
                <w:lang w:val="en-CA" w:eastAsia="ar-SA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b/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b/>
                <w:noProof/>
                <w:sz w:val="16"/>
                <w:szCs w:val="16"/>
                <w:lang w:val="en-CA" w:eastAsia="ar-SA"/>
              </w:rPr>
              <w:t>&gt;</w:t>
            </w:r>
            <w:r>
              <w:rPr>
                <w:b/>
                <w:noProof/>
                <w:sz w:val="16"/>
                <w:szCs w:val="16"/>
                <w:lang w:val="en-CA" w:eastAsia="ar-SA"/>
              </w:rPr>
              <w:t>2</w:t>
            </w:r>
          </w:p>
        </w:tc>
      </w:tr>
      <w:tr w:rsidR="008C6032" w:rsidRPr="00F4349E" w:rsidTr="00C62E35">
        <w:trPr>
          <w:cantSplit/>
          <w:jc w:val="center"/>
        </w:trPr>
        <w:tc>
          <w:tcPr>
            <w:tcW w:w="3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rPr>
                <w:b/>
                <w:bCs/>
                <w:noProof/>
                <w:sz w:val="16"/>
                <w:szCs w:val="16"/>
                <w:lang w:val="en-CA" w:eastAsia="ar-SA"/>
              </w:rPr>
            </w:pPr>
            <w:proofErr w:type="spellStart"/>
            <w:r w:rsidRPr="00F4349E">
              <w:rPr>
                <w:sz w:val="16"/>
                <w:szCs w:val="16"/>
              </w:rPr>
              <w:t>palette_run_type_flag</w:t>
            </w:r>
            <w:proofErr w:type="spellEnd"/>
            <w:r w:rsidRPr="00F4349E">
              <w:rPr>
                <w:rFonts w:hint="eastAsia"/>
                <w:sz w:val="16"/>
                <w:szCs w:val="16"/>
                <w:lang w:eastAsia="zh-TW"/>
              </w:rPr>
              <w:t xml:space="preserve"> =</w:t>
            </w:r>
            <w:r w:rsidRPr="00F4349E">
              <w:rPr>
                <w:sz w:val="16"/>
                <w:szCs w:val="16"/>
              </w:rPr>
              <w:t xml:space="preserve"> COPY_ABOVE_MODE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noProof/>
                <w:sz w:val="16"/>
                <w:szCs w:val="16"/>
                <w:lang w:val="en-CA" w:eastAsia="ar-SA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8C6032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highlight w:val="yellow"/>
                <w:lang w:val="en-CA" w:eastAsia="ar-SA"/>
              </w:rPr>
            </w:pPr>
            <w:r w:rsidRPr="008C6032">
              <w:rPr>
                <w:noProof/>
                <w:sz w:val="16"/>
                <w:szCs w:val="16"/>
                <w:highlight w:val="yellow"/>
                <w:lang w:val="en-CA" w:eastAsia="ar-SA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32" w:rsidRPr="008C6032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highlight w:val="yellow"/>
                <w:lang w:val="en-CA" w:eastAsia="ar-SA"/>
              </w:rPr>
            </w:pPr>
            <w:r w:rsidRPr="008C6032">
              <w:rPr>
                <w:noProof/>
                <w:sz w:val="16"/>
                <w:szCs w:val="16"/>
                <w:highlight w:val="yellow"/>
                <w:lang w:val="en-CA" w:eastAsia="ar-SA"/>
              </w:rPr>
              <w:t>bypass</w:t>
            </w:r>
          </w:p>
        </w:tc>
      </w:tr>
      <w:tr w:rsidR="008C6032" w:rsidRPr="00F4349E" w:rsidTr="00C62E35">
        <w:trPr>
          <w:cantSplit/>
          <w:jc w:val="center"/>
        </w:trPr>
        <w:tc>
          <w:tcPr>
            <w:tcW w:w="3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rPr>
                <w:sz w:val="16"/>
                <w:szCs w:val="16"/>
              </w:rPr>
            </w:pPr>
            <w:proofErr w:type="spellStart"/>
            <w:r w:rsidRPr="00F4349E">
              <w:rPr>
                <w:sz w:val="16"/>
                <w:szCs w:val="16"/>
              </w:rPr>
              <w:t>palette_run_type_flag</w:t>
            </w:r>
            <w:proofErr w:type="spellEnd"/>
            <w:r w:rsidRPr="00F4349E">
              <w:rPr>
                <w:rFonts w:hint="eastAsia"/>
                <w:sz w:val="16"/>
                <w:szCs w:val="16"/>
                <w:lang w:eastAsia="zh-TW"/>
              </w:rPr>
              <w:t xml:space="preserve"> =</w:t>
            </w:r>
            <w:r w:rsidRPr="00F434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COPY_</w:t>
            </w:r>
            <w:r w:rsidRPr="00F4349E">
              <w:rPr>
                <w:sz w:val="16"/>
                <w:szCs w:val="16"/>
              </w:rPr>
              <w:t>INDEX_MODE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0,1,2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032" w:rsidRPr="00F4349E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lang w:val="en-CA" w:eastAsia="ar-SA"/>
              </w:rPr>
            </w:pPr>
            <w:r w:rsidRPr="00F4349E">
              <w:rPr>
                <w:sz w:val="16"/>
                <w:szCs w:val="16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032" w:rsidRPr="008C6032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highlight w:val="yellow"/>
                <w:lang w:val="en-CA" w:eastAsia="ar-SA"/>
              </w:rPr>
            </w:pPr>
            <w:r w:rsidRPr="008C6032">
              <w:rPr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032" w:rsidRPr="008C6032" w:rsidRDefault="008C6032" w:rsidP="00C62E35">
            <w:pPr>
              <w:keepNext/>
              <w:keepLines/>
              <w:suppressAutoHyphens/>
              <w:autoSpaceDN/>
              <w:adjustRightInd/>
              <w:snapToGrid w:val="0"/>
              <w:spacing w:after="40"/>
              <w:jc w:val="center"/>
              <w:rPr>
                <w:noProof/>
                <w:sz w:val="16"/>
                <w:szCs w:val="16"/>
                <w:highlight w:val="yellow"/>
                <w:lang w:val="en-CA" w:eastAsia="ar-SA"/>
              </w:rPr>
            </w:pPr>
            <w:r w:rsidRPr="008C6032">
              <w:rPr>
                <w:sz w:val="16"/>
                <w:szCs w:val="16"/>
                <w:highlight w:val="yellow"/>
              </w:rPr>
              <w:t>bypass</w:t>
            </w:r>
          </w:p>
        </w:tc>
      </w:tr>
    </w:tbl>
    <w:p w:rsidR="008C6032" w:rsidRDefault="008C6032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3" w:name="_Toc341951811"/>
      <w:r>
        <w:t>Simulation results</w:t>
      </w:r>
      <w:r w:rsidR="00F35982" w:rsidRPr="006D1415">
        <w:t xml:space="preserve"> </w:t>
      </w:r>
      <w:bookmarkEnd w:id="3"/>
    </w:p>
    <w:p w:rsidR="00725E47" w:rsidRDefault="008C6032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>U</w:t>
      </w:r>
      <w:r w:rsidR="00464065">
        <w:rPr>
          <w:szCs w:val="22"/>
          <w:lang w:val="en-CA"/>
        </w:rPr>
        <w:t>0</w:t>
      </w:r>
      <w:r>
        <w:rPr>
          <w:szCs w:val="22"/>
          <w:lang w:val="en-CA"/>
        </w:rPr>
        <w:t>10</w:t>
      </w:r>
      <w:r w:rsidR="00464065">
        <w:rPr>
          <w:szCs w:val="22"/>
          <w:lang w:val="en-CA"/>
        </w:rPr>
        <w:t xml:space="preserve">9 </w:t>
      </w:r>
      <w:r>
        <w:rPr>
          <w:szCs w:val="22"/>
          <w:lang w:val="en-CA"/>
        </w:rPr>
        <w:t>results</w:t>
      </w:r>
      <w:r w:rsidR="005B1D37">
        <w:rPr>
          <w:lang w:val="en-CA"/>
        </w:rPr>
        <w:t xml:space="preserve"> </w:t>
      </w:r>
      <w:r w:rsidR="00464065">
        <w:rPr>
          <w:lang w:val="en-CA"/>
        </w:rPr>
        <w:t>are</w:t>
      </w:r>
      <w:r w:rsidR="005B1D37">
        <w:rPr>
          <w:lang w:val="en-CA"/>
        </w:rPr>
        <w:t xml:space="preserve"> </w:t>
      </w:r>
      <w:r w:rsidR="00464065">
        <w:rPr>
          <w:lang w:val="en-CA"/>
        </w:rPr>
        <w:t>cross-checked</w:t>
      </w:r>
      <w:r w:rsidR="005B1D37">
        <w:rPr>
          <w:lang w:val="en-CA"/>
        </w:rPr>
        <w:t xml:space="preserve"> according to CE</w:t>
      </w:r>
      <w:r>
        <w:rPr>
          <w:lang w:val="en-CA"/>
        </w:rPr>
        <w:t>1</w:t>
      </w:r>
      <w:r w:rsidR="005B1D37">
        <w:rPr>
          <w:lang w:val="en-CA"/>
        </w:rPr>
        <w:t xml:space="preserve"> test conditions </w:t>
      </w:r>
      <w:r w:rsidR="005B1D37">
        <w:rPr>
          <w:lang w:val="en-CA"/>
        </w:rPr>
        <w:fldChar w:fldCharType="begin"/>
      </w:r>
      <w:r w:rsidR="005B1D37">
        <w:rPr>
          <w:lang w:val="en-CA"/>
        </w:rPr>
        <w:instrText xml:space="preserve"> REF _Ref211137291 \n \h </w:instrText>
      </w:r>
      <w:r w:rsidR="005B1D37">
        <w:rPr>
          <w:lang w:val="en-CA"/>
        </w:rPr>
      </w:r>
      <w:r w:rsidR="005B1D37">
        <w:rPr>
          <w:lang w:val="en-CA"/>
        </w:rPr>
        <w:fldChar w:fldCharType="separate"/>
      </w:r>
      <w:r w:rsidR="005B1D37">
        <w:rPr>
          <w:lang w:val="en-CA"/>
        </w:rPr>
        <w:t>[1]</w:t>
      </w:r>
      <w:r w:rsidR="005B1D37">
        <w:rPr>
          <w:lang w:val="en-CA"/>
        </w:rPr>
        <w:fldChar w:fldCharType="end"/>
      </w:r>
      <w:r w:rsidR="005B1D37">
        <w:rPr>
          <w:lang w:val="en-CA"/>
        </w:rPr>
        <w:t xml:space="preserve"> and </w:t>
      </w:r>
      <w:r w:rsidR="00464065">
        <w:rPr>
          <w:lang w:val="en-CA"/>
        </w:rPr>
        <w:t>based on the software provide by proponents</w:t>
      </w:r>
      <w:r w:rsidR="005B1D37">
        <w:rPr>
          <w:lang w:val="en-CA"/>
        </w:rPr>
        <w:t>. The detailed results can be found in the attached excel datasheets.</w:t>
      </w:r>
      <w:r w:rsidR="00464065">
        <w:rPr>
          <w:lang w:val="en-CA"/>
        </w:rPr>
        <w:t xml:space="preserve"> </w:t>
      </w:r>
      <w:r w:rsidR="00464065">
        <w:rPr>
          <w:szCs w:val="22"/>
          <w:lang w:val="en-CA"/>
        </w:rPr>
        <w:t xml:space="preserve">It is reported that these results perfectly match those provided by the proponents. 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4" w:name="_Toc258950902"/>
      <w:bookmarkStart w:id="5" w:name="_Toc341951835"/>
      <w:r w:rsidRPr="00855F5E">
        <w:rPr>
          <w:rFonts w:hint="eastAsia"/>
        </w:rPr>
        <w:t>References</w:t>
      </w:r>
      <w:bookmarkStart w:id="6" w:name="_GoBack"/>
      <w:bookmarkEnd w:id="4"/>
      <w:bookmarkEnd w:id="5"/>
      <w:bookmarkEnd w:id="6"/>
    </w:p>
    <w:p w:rsidR="00882FEA" w:rsidRDefault="004F0653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211137291"/>
      <w:bookmarkStart w:id="8" w:name="_Ref352522379"/>
      <w:bookmarkStart w:id="9" w:name="_Ref305686033"/>
      <w:bookmarkStart w:id="10" w:name="_Ref295304050"/>
      <w:bookmarkStart w:id="11" w:name="_Ref352504500"/>
      <w:bookmarkStart w:id="12" w:name="_Ref341953128"/>
      <w:bookmarkStart w:id="13" w:name="_Ref361224128"/>
      <w:bookmarkStart w:id="14" w:name="_Ref376853597"/>
      <w:r>
        <w:rPr>
          <w:sz w:val="22"/>
        </w:rPr>
        <w:t>P</w:t>
      </w:r>
      <w:r w:rsidR="00882FEA">
        <w:rPr>
          <w:sz w:val="22"/>
        </w:rPr>
        <w:t xml:space="preserve">. </w:t>
      </w:r>
      <w:r>
        <w:rPr>
          <w:sz w:val="22"/>
        </w:rPr>
        <w:t>Lai</w:t>
      </w:r>
      <w:r w:rsidR="00882FEA">
        <w:rPr>
          <w:sz w:val="22"/>
        </w:rPr>
        <w:t xml:space="preserve">, </w:t>
      </w:r>
      <w:r>
        <w:rPr>
          <w:sz w:val="22"/>
        </w:rPr>
        <w:t>V. Seregin</w:t>
      </w:r>
      <w:r w:rsidR="00882FEA">
        <w:rPr>
          <w:sz w:val="22"/>
        </w:rPr>
        <w:t xml:space="preserve">, </w:t>
      </w:r>
      <w:r>
        <w:rPr>
          <w:sz w:val="22"/>
        </w:rPr>
        <w:t>X</w:t>
      </w:r>
      <w:r w:rsidR="00882FEA">
        <w:rPr>
          <w:sz w:val="22"/>
        </w:rPr>
        <w:t xml:space="preserve">. </w:t>
      </w:r>
      <w:r>
        <w:rPr>
          <w:sz w:val="22"/>
        </w:rPr>
        <w:t>Xiu</w:t>
      </w:r>
      <w:r w:rsidR="00882FEA">
        <w:rPr>
          <w:sz w:val="22"/>
        </w:rPr>
        <w:t xml:space="preserve">, </w:t>
      </w:r>
      <w:r>
        <w:rPr>
          <w:sz w:val="22"/>
        </w:rPr>
        <w:t>C</w:t>
      </w:r>
      <w:r w:rsidR="00882FEA">
        <w:rPr>
          <w:sz w:val="22"/>
        </w:rPr>
        <w:t xml:space="preserve">. </w:t>
      </w:r>
      <w:proofErr w:type="spellStart"/>
      <w:r>
        <w:rPr>
          <w:sz w:val="22"/>
        </w:rPr>
        <w:t>Gisquet</w:t>
      </w:r>
      <w:proofErr w:type="spellEnd"/>
      <w:r w:rsidR="00882FEA">
        <w:rPr>
          <w:sz w:val="22"/>
        </w:rPr>
        <w:t>, “</w:t>
      </w:r>
      <w:r w:rsidRPr="004F0653">
        <w:rPr>
          <w:sz w:val="22"/>
        </w:rPr>
        <w:t>Description of Core Experiment 1 (CE1): Palette Mode Improvement</w:t>
      </w:r>
      <w:r w:rsidR="00882FEA">
        <w:rPr>
          <w:sz w:val="22"/>
        </w:rPr>
        <w:t>”, JCTVC-</w:t>
      </w:r>
      <w:r>
        <w:rPr>
          <w:sz w:val="22"/>
        </w:rPr>
        <w:t>T</w:t>
      </w:r>
      <w:r w:rsidR="00882FEA">
        <w:rPr>
          <w:sz w:val="22"/>
        </w:rPr>
        <w:t>11</w:t>
      </w:r>
      <w:r>
        <w:rPr>
          <w:sz w:val="22"/>
        </w:rPr>
        <w:t>01</w:t>
      </w:r>
      <w:r w:rsidR="00882FEA">
        <w:rPr>
          <w:sz w:val="22"/>
        </w:rPr>
        <w:t xml:space="preserve">, </w:t>
      </w:r>
      <w:r>
        <w:rPr>
          <w:sz w:val="22"/>
        </w:rPr>
        <w:t>Feb</w:t>
      </w:r>
      <w:r w:rsidR="00882FEA">
        <w:rPr>
          <w:sz w:val="22"/>
        </w:rPr>
        <w:t>. 201</w:t>
      </w:r>
      <w:r>
        <w:rPr>
          <w:sz w:val="22"/>
        </w:rPr>
        <w:t>5</w:t>
      </w:r>
      <w:r w:rsidR="00882FEA">
        <w:rPr>
          <w:sz w:val="22"/>
        </w:rPr>
        <w:t>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22929" w:rsidRDefault="004F0653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5" w:name="_Ref391027170"/>
      <w:r>
        <w:rPr>
          <w:sz w:val="22"/>
        </w:rPr>
        <w:t>Y.-J. Chang</w:t>
      </w:r>
      <w:r w:rsidR="005D2769" w:rsidRPr="005D2769">
        <w:rPr>
          <w:sz w:val="22"/>
        </w:rPr>
        <w:t xml:space="preserve">, </w:t>
      </w:r>
      <w:r>
        <w:rPr>
          <w:sz w:val="22"/>
        </w:rPr>
        <w:t>C.-L.</w:t>
      </w:r>
      <w:r w:rsidR="005D2769" w:rsidRPr="005D2769">
        <w:rPr>
          <w:sz w:val="22"/>
        </w:rPr>
        <w:t xml:space="preserve"> </w:t>
      </w:r>
      <w:r>
        <w:rPr>
          <w:sz w:val="22"/>
        </w:rPr>
        <w:t>Lin</w:t>
      </w:r>
      <w:r w:rsidR="005D2769" w:rsidRPr="005D2769">
        <w:rPr>
          <w:sz w:val="22"/>
        </w:rPr>
        <w:t xml:space="preserve">, </w:t>
      </w:r>
      <w:r>
        <w:rPr>
          <w:sz w:val="22"/>
        </w:rPr>
        <w:t>C.-C. Lin</w:t>
      </w:r>
      <w:r w:rsidR="005D2769" w:rsidRPr="005D2769">
        <w:rPr>
          <w:sz w:val="22"/>
        </w:rPr>
        <w:t xml:space="preserve">, </w:t>
      </w:r>
      <w:r>
        <w:rPr>
          <w:sz w:val="22"/>
        </w:rPr>
        <w:t xml:space="preserve">J.-S. </w:t>
      </w:r>
      <w:proofErr w:type="spellStart"/>
      <w:r>
        <w:rPr>
          <w:sz w:val="22"/>
        </w:rPr>
        <w:t>Tu</w:t>
      </w:r>
      <w:proofErr w:type="spellEnd"/>
      <w:r w:rsidR="005D2769" w:rsidRPr="005D2769">
        <w:rPr>
          <w:sz w:val="22"/>
        </w:rPr>
        <w:t xml:space="preserve">, </w:t>
      </w:r>
      <w:r>
        <w:rPr>
          <w:sz w:val="22"/>
        </w:rPr>
        <w:t xml:space="preserve">W. </w:t>
      </w:r>
      <w:proofErr w:type="spellStart"/>
      <w:r>
        <w:rPr>
          <w:sz w:val="22"/>
        </w:rPr>
        <w:t>Digonnet</w:t>
      </w:r>
      <w:proofErr w:type="spellEnd"/>
      <w:r w:rsidR="00882FEA" w:rsidRPr="00882FEA">
        <w:rPr>
          <w:sz w:val="22"/>
        </w:rPr>
        <w:t>, “</w:t>
      </w:r>
      <w:r w:rsidRPr="004F0653">
        <w:rPr>
          <w:sz w:val="22"/>
        </w:rPr>
        <w:t xml:space="preserve">Non-CE1: Simplification for parsing the index of the most significant bit in the </w:t>
      </w:r>
      <w:proofErr w:type="spellStart"/>
      <w:r w:rsidRPr="004F0653">
        <w:rPr>
          <w:sz w:val="22"/>
        </w:rPr>
        <w:t>paletteRun</w:t>
      </w:r>
      <w:proofErr w:type="spellEnd"/>
      <w:r w:rsidRPr="004F0653">
        <w:rPr>
          <w:sz w:val="22"/>
        </w:rPr>
        <w:t xml:space="preserve"> </w:t>
      </w:r>
      <w:proofErr w:type="spellStart"/>
      <w:r w:rsidRPr="004F0653">
        <w:rPr>
          <w:sz w:val="22"/>
        </w:rPr>
        <w:t>binarization</w:t>
      </w:r>
      <w:proofErr w:type="spellEnd"/>
      <w:r w:rsidR="00882FEA" w:rsidRPr="00882FEA">
        <w:rPr>
          <w:sz w:val="22"/>
        </w:rPr>
        <w:t>”, JCTVC-</w:t>
      </w:r>
      <w:r>
        <w:rPr>
          <w:sz w:val="22"/>
        </w:rPr>
        <w:t>U</w:t>
      </w:r>
      <w:r w:rsidR="0011057F">
        <w:rPr>
          <w:sz w:val="22"/>
        </w:rPr>
        <w:t>0</w:t>
      </w:r>
      <w:r>
        <w:rPr>
          <w:sz w:val="22"/>
        </w:rPr>
        <w:t>109</w:t>
      </w:r>
      <w:r w:rsidR="00882FEA" w:rsidRPr="00882FEA">
        <w:rPr>
          <w:sz w:val="22"/>
        </w:rPr>
        <w:t xml:space="preserve">, </w:t>
      </w:r>
      <w:r>
        <w:rPr>
          <w:sz w:val="22"/>
        </w:rPr>
        <w:t>Jun</w:t>
      </w:r>
      <w:r w:rsidR="00882FEA" w:rsidRPr="00882FEA">
        <w:rPr>
          <w:sz w:val="22"/>
        </w:rPr>
        <w:t>. 201</w:t>
      </w:r>
      <w:r>
        <w:rPr>
          <w:sz w:val="22"/>
        </w:rPr>
        <w:t>5</w:t>
      </w:r>
      <w:r w:rsidR="00882FEA" w:rsidRPr="00882FEA">
        <w:rPr>
          <w:sz w:val="22"/>
        </w:rPr>
        <w:t>.</w:t>
      </w:r>
      <w:bookmarkEnd w:id="15"/>
    </w:p>
    <w:p w:rsidR="00780221" w:rsidRPr="00882FEA" w:rsidRDefault="00780221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6" w:name="_Ref422135498"/>
      <w:r>
        <w:rPr>
          <w:sz w:val="22"/>
        </w:rPr>
        <w:t xml:space="preserve">R. Joshi, J. Xu, S. Liu, Y. </w:t>
      </w:r>
      <w:proofErr w:type="spellStart"/>
      <w:r>
        <w:rPr>
          <w:sz w:val="22"/>
        </w:rPr>
        <w:t>Ye</w:t>
      </w:r>
      <w:proofErr w:type="spellEnd"/>
      <w:r>
        <w:rPr>
          <w:sz w:val="22"/>
        </w:rPr>
        <w:t>, “</w:t>
      </w:r>
      <w:r w:rsidRPr="00780221">
        <w:rPr>
          <w:sz w:val="22"/>
        </w:rPr>
        <w:t>High Efficiency Video Coding (HEVC) Screen Content Coding: Draft 3</w:t>
      </w:r>
      <w:r>
        <w:rPr>
          <w:sz w:val="22"/>
        </w:rPr>
        <w:t>”</w:t>
      </w:r>
      <w:r w:rsidRPr="00780221">
        <w:rPr>
          <w:sz w:val="22"/>
        </w:rPr>
        <w:t>, JCTVC-T1005, Feb. 2015.</w:t>
      </w:r>
      <w:bookmarkEnd w:id="16"/>
    </w:p>
    <w:sectPr w:rsidR="00780221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FE8" w:rsidRDefault="00024FE8">
      <w:r>
        <w:separator/>
      </w:r>
    </w:p>
  </w:endnote>
  <w:endnote w:type="continuationSeparator" w:id="0">
    <w:p w:rsidR="00024FE8" w:rsidRDefault="0002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3780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80221">
      <w:rPr>
        <w:rStyle w:val="PageNumber"/>
        <w:noProof/>
      </w:rPr>
      <w:t>2014-06-26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FE8" w:rsidRDefault="00024FE8">
      <w:r>
        <w:separator/>
      </w:r>
    </w:p>
  </w:footnote>
  <w:footnote w:type="continuationSeparator" w:id="0">
    <w:p w:rsidR="00024FE8" w:rsidRDefault="00024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93E63"/>
    <w:multiLevelType w:val="hybridMultilevel"/>
    <w:tmpl w:val="31FE3764"/>
    <w:lvl w:ilvl="0" w:tplc="6420A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4FE8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1B54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065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0653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D2769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0221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85183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032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2F5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3780D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40E24F9D-5E19-41FE-9C26-15104496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CaptionChar1">
    <w:name w:val="Caption Char1"/>
    <w:locked/>
    <w:rsid w:val="00780221"/>
    <w:rPr>
      <w:rFonts w:ascii="Times New Roman" w:eastAsia="Malgun Gothic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xiaoyu.xiu@interdig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16FE-2E1C-4C8A-983D-582A589E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2941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36</cp:revision>
  <cp:lastPrinted>2013-04-08T19:19:00Z</cp:lastPrinted>
  <dcterms:created xsi:type="dcterms:W3CDTF">2014-01-07T19:25:00Z</dcterms:created>
  <dcterms:modified xsi:type="dcterms:W3CDTF">2015-06-15T19:47:00Z</dcterms:modified>
</cp:coreProperties>
</file>