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D9182" w14:textId="47D1208F" w:rsidR="00C76B92" w:rsidRDefault="00C76B92" w:rsidP="00C76B92">
      <w:pPr>
        <w:widowControl w:val="0"/>
        <w:tabs>
          <w:tab w:val="left" w:pos="794"/>
          <w:tab w:val="left" w:pos="1191"/>
          <w:tab w:val="left" w:pos="1588"/>
          <w:tab w:val="left" w:pos="1985"/>
        </w:tabs>
        <w:rPr>
          <w:i/>
          <w:lang w:val="en-GB"/>
        </w:rPr>
      </w:pPr>
      <w:r>
        <w:t>Append to “2.4 Additional references”:</w:t>
      </w:r>
    </w:p>
    <w:p w14:paraId="5705B2AD" w14:textId="75F8773A" w:rsidR="00C76B92" w:rsidRPr="002A303A" w:rsidRDefault="00C76B92" w:rsidP="00C76B92">
      <w:pPr>
        <w:widowControl w:val="0"/>
        <w:tabs>
          <w:tab w:val="left" w:pos="794"/>
          <w:tab w:val="left" w:pos="1191"/>
          <w:tab w:val="left" w:pos="1588"/>
          <w:tab w:val="left" w:pos="1985"/>
        </w:tabs>
        <w:rPr>
          <w:i/>
        </w:rPr>
      </w:pPr>
      <w:r w:rsidRPr="002A303A">
        <w:rPr>
          <w:i/>
          <w:lang w:val="en-GB"/>
        </w:rPr>
        <w:t xml:space="preserve">“    </w:t>
      </w:r>
      <w:r w:rsidR="002A303A">
        <w:rPr>
          <w:lang w:val="en-GB"/>
        </w:rPr>
        <w:t>– ISO/IEC 23001-11 (in force)</w:t>
      </w:r>
      <w:r w:rsidRPr="002A303A">
        <w:rPr>
          <w:lang w:val="en-GB"/>
        </w:rPr>
        <w:t>,</w:t>
      </w:r>
      <w:r w:rsidRPr="002A303A">
        <w:rPr>
          <w:i/>
          <w:lang w:val="en-GB"/>
        </w:rPr>
        <w:t xml:space="preserve"> Informa</w:t>
      </w:r>
      <w:r w:rsidR="002A303A">
        <w:rPr>
          <w:i/>
          <w:lang w:val="en-GB"/>
        </w:rPr>
        <w:t>tion Technology — MPEG Systems technologies — Part 11: Energy-efficient media consumption (green m</w:t>
      </w:r>
      <w:r w:rsidRPr="002A303A">
        <w:rPr>
          <w:i/>
          <w:lang w:val="en-GB"/>
        </w:rPr>
        <w:t>etadata).”</w:t>
      </w:r>
    </w:p>
    <w:p w14:paraId="6D129656" w14:textId="77777777" w:rsidR="00C76B92" w:rsidRPr="002A303A" w:rsidRDefault="00C76B92" w:rsidP="00C76B92">
      <w:pPr>
        <w:widowControl w:val="0"/>
        <w:tabs>
          <w:tab w:val="left" w:pos="794"/>
          <w:tab w:val="left" w:pos="1191"/>
          <w:tab w:val="left" w:pos="1588"/>
          <w:tab w:val="left" w:pos="1985"/>
        </w:tabs>
        <w:rPr>
          <w:i/>
        </w:rPr>
      </w:pPr>
    </w:p>
    <w:p w14:paraId="2C245DFE" w14:textId="77777777" w:rsidR="00AD490F" w:rsidRDefault="00AD490F" w:rsidP="00AD490F">
      <w:pPr>
        <w:rPr>
          <w:noProof/>
        </w:rPr>
      </w:pPr>
      <w:r>
        <w:t>In Table D.2.1, after “</w:t>
      </w:r>
      <w:r w:rsidRPr="00170776">
        <w:rPr>
          <w:noProof/>
        </w:rPr>
        <w:t>decoded_picture_hash( payloadSize )</w:t>
      </w:r>
      <w:r>
        <w:rPr>
          <w:noProof/>
        </w:rPr>
        <w:t>”, insert:</w:t>
      </w:r>
    </w:p>
    <w:p w14:paraId="0A36B657" w14:textId="77777777" w:rsidR="00AD490F" w:rsidRDefault="00AD490F" w:rsidP="00AD490F">
      <w:pPr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AD490F" w:rsidRPr="008A1B1B" w14:paraId="4FE5DBE3" w14:textId="77777777" w:rsidTr="00AD490F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CBA5" w14:textId="77777777" w:rsidR="00AD490F" w:rsidRPr="008A1B1B" w:rsidRDefault="00AD490F" w:rsidP="00AD490F">
            <w:pPr>
              <w:pStyle w:val="tablesyntax"/>
              <w:tabs>
                <w:tab w:val="clear" w:pos="1512"/>
              </w:tabs>
              <w:rPr>
                <w:rFonts w:ascii="Times New Roman" w:hAnsi="Times New Roman"/>
                <w:sz w:val="22"/>
              </w:rPr>
            </w:pPr>
            <w:r w:rsidRPr="008A1B1B">
              <w:rPr>
                <w:rFonts w:ascii="Times New Roman" w:hAnsi="Times New Roman"/>
                <w:sz w:val="22"/>
              </w:rPr>
              <w:t xml:space="preserve">        else if( </w:t>
            </w:r>
            <w:r w:rsidRPr="008A1B1B">
              <w:rPr>
                <w:rFonts w:ascii="Times New Roman" w:hAnsi="Times New Roman"/>
                <w:sz w:val="22"/>
                <w:highlight w:val="yellow"/>
              </w:rPr>
              <w:t>payloadType == 133</w:t>
            </w:r>
            <w:r w:rsidRPr="008A1B1B">
              <w:rPr>
                <w:rFonts w:ascii="Times New Roman" w:hAnsi="Times New Roman"/>
                <w:sz w:val="22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60F0" w14:textId="77777777" w:rsidR="00AD490F" w:rsidRPr="008A1B1B" w:rsidRDefault="00AD490F" w:rsidP="00AD490F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sz w:val="22"/>
              </w:rPr>
            </w:pPr>
          </w:p>
        </w:tc>
      </w:tr>
      <w:tr w:rsidR="00AD490F" w:rsidRPr="00076264" w14:paraId="6185C69C" w14:textId="77777777" w:rsidTr="00AD490F">
        <w:trPr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6151" w14:textId="77777777" w:rsidR="00AD490F" w:rsidRPr="008A1B1B" w:rsidRDefault="00AD490F" w:rsidP="00AD490F">
            <w:pPr>
              <w:pStyle w:val="tablesyntax"/>
              <w:tabs>
                <w:tab w:val="clear" w:pos="1512"/>
              </w:tabs>
              <w:rPr>
                <w:rFonts w:ascii="Times New Roman" w:hAnsi="Times New Roman"/>
                <w:sz w:val="22"/>
              </w:rPr>
            </w:pPr>
            <w:r w:rsidRPr="008A1B1B">
              <w:rPr>
                <w:rFonts w:ascii="Times New Roman" w:hAnsi="Times New Roman"/>
                <w:sz w:val="22"/>
              </w:rPr>
              <w:t xml:space="preserve">            green_metadata( payloadSize ) </w:t>
            </w:r>
            <w:r w:rsidRPr="008A1B1B">
              <w:rPr>
                <w:rFonts w:ascii="Times New Roman" w:hAnsi="Times New Roman"/>
                <w:sz w:val="22"/>
                <w:lang w:val="en-US"/>
              </w:rPr>
              <w:t>/* specified in ISO/IEC 23001-11 */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2FB3" w14:textId="77777777" w:rsidR="00AD490F" w:rsidRPr="00076264" w:rsidRDefault="00AD490F" w:rsidP="00AD490F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sz w:val="22"/>
              </w:rPr>
            </w:pPr>
          </w:p>
        </w:tc>
      </w:tr>
    </w:tbl>
    <w:p w14:paraId="64212DAE" w14:textId="77777777" w:rsidR="006A10C8" w:rsidRDefault="006A10C8" w:rsidP="006A10C8"/>
    <w:p w14:paraId="3476EE3F" w14:textId="77777777" w:rsidR="002A303A" w:rsidRDefault="00D9789E" w:rsidP="006A10C8">
      <w:pPr>
        <w:rPr>
          <w:bCs/>
          <w:i/>
          <w:lang w:eastAsia="zh-CN"/>
        </w:rPr>
      </w:pPr>
      <w:r w:rsidRPr="002A303A">
        <w:rPr>
          <w:i/>
        </w:rPr>
        <w:t>Renumber “</w:t>
      </w:r>
      <w:r w:rsidRPr="002A303A">
        <w:rPr>
          <w:b/>
          <w:i/>
        </w:rPr>
        <w:t>D.2.35</w:t>
      </w:r>
      <w:r w:rsidRPr="002A303A">
        <w:rPr>
          <w:i/>
        </w:rPr>
        <w:t xml:space="preserve"> </w:t>
      </w:r>
      <w:r w:rsidRPr="002A303A">
        <w:rPr>
          <w:b/>
          <w:bCs/>
          <w:i/>
          <w:lang w:val="en-GB"/>
        </w:rPr>
        <w:t xml:space="preserve">Reserved SEI message syntax” </w:t>
      </w:r>
      <w:r w:rsidRPr="002A303A">
        <w:rPr>
          <w:bCs/>
          <w:i/>
          <w:lang w:val="en-GB"/>
        </w:rPr>
        <w:t xml:space="preserve">to </w:t>
      </w:r>
      <w:r w:rsidRPr="002A303A">
        <w:rPr>
          <w:i/>
        </w:rPr>
        <w:t>“</w:t>
      </w:r>
      <w:r w:rsidRPr="002A303A">
        <w:rPr>
          <w:b/>
          <w:i/>
        </w:rPr>
        <w:t>D.2.36</w:t>
      </w:r>
      <w:r w:rsidRPr="002A303A">
        <w:rPr>
          <w:i/>
        </w:rPr>
        <w:t xml:space="preserve"> </w:t>
      </w:r>
      <w:r w:rsidRPr="002A303A">
        <w:rPr>
          <w:b/>
          <w:bCs/>
          <w:i/>
          <w:lang w:val="en-GB"/>
        </w:rPr>
        <w:t>Reserved SEI message syntax”</w:t>
      </w:r>
      <w:r w:rsidRPr="002A303A">
        <w:rPr>
          <w:bCs/>
          <w:i/>
          <w:lang w:eastAsia="zh-CN"/>
        </w:rPr>
        <w:t xml:space="preserve">. </w:t>
      </w:r>
    </w:p>
    <w:p w14:paraId="4EC81A1C" w14:textId="77777777" w:rsidR="002A303A" w:rsidRDefault="00AD490F" w:rsidP="006A10C8">
      <w:pPr>
        <w:rPr>
          <w:bCs/>
          <w:i/>
          <w:lang w:eastAsia="zh-CN"/>
        </w:rPr>
      </w:pPr>
      <w:r w:rsidRPr="002A303A">
        <w:rPr>
          <w:i/>
        </w:rPr>
        <w:t>Renumber “</w:t>
      </w:r>
      <w:r w:rsidRPr="002A303A">
        <w:rPr>
          <w:b/>
          <w:i/>
        </w:rPr>
        <w:t>D.3.35</w:t>
      </w:r>
      <w:r w:rsidRPr="002A303A">
        <w:rPr>
          <w:i/>
        </w:rPr>
        <w:t xml:space="preserve"> </w:t>
      </w:r>
      <w:bookmarkStart w:id="0" w:name="_Ref399007818"/>
      <w:bookmarkStart w:id="1" w:name="_Toc415955637"/>
      <w:r w:rsidRPr="002A303A">
        <w:rPr>
          <w:b/>
          <w:bCs/>
          <w:i/>
          <w:lang w:val="en-GB"/>
        </w:rPr>
        <w:t xml:space="preserve">Reserved SEI message </w:t>
      </w:r>
      <w:bookmarkEnd w:id="0"/>
      <w:bookmarkEnd w:id="1"/>
      <w:r w:rsidRPr="002A303A">
        <w:rPr>
          <w:b/>
          <w:bCs/>
          <w:i/>
          <w:lang w:val="en-GB"/>
        </w:rPr>
        <w:t xml:space="preserve">semantics” </w:t>
      </w:r>
      <w:r w:rsidRPr="002A303A">
        <w:rPr>
          <w:bCs/>
          <w:i/>
          <w:lang w:val="en-GB"/>
        </w:rPr>
        <w:t xml:space="preserve">to </w:t>
      </w:r>
      <w:r w:rsidRPr="002A303A">
        <w:rPr>
          <w:i/>
        </w:rPr>
        <w:t>“</w:t>
      </w:r>
      <w:r w:rsidRPr="002A303A">
        <w:rPr>
          <w:b/>
          <w:i/>
        </w:rPr>
        <w:t>D.3.36</w:t>
      </w:r>
      <w:r w:rsidRPr="002A303A">
        <w:rPr>
          <w:i/>
        </w:rPr>
        <w:t xml:space="preserve"> </w:t>
      </w:r>
      <w:r w:rsidRPr="002A303A">
        <w:rPr>
          <w:b/>
          <w:bCs/>
          <w:i/>
          <w:lang w:val="en-GB"/>
        </w:rPr>
        <w:t>Reserved SEI message semantics”</w:t>
      </w:r>
      <w:r w:rsidRPr="002A303A">
        <w:rPr>
          <w:bCs/>
          <w:i/>
          <w:lang w:eastAsia="zh-CN"/>
        </w:rPr>
        <w:t>.</w:t>
      </w:r>
      <w:r w:rsidR="00D9789E" w:rsidRPr="002A303A">
        <w:rPr>
          <w:bCs/>
          <w:i/>
          <w:lang w:eastAsia="zh-CN"/>
        </w:rPr>
        <w:t xml:space="preserve"> </w:t>
      </w:r>
    </w:p>
    <w:p w14:paraId="67E25256" w14:textId="6D9E7B76" w:rsidR="00AD490F" w:rsidRPr="002A303A" w:rsidRDefault="00D9789E" w:rsidP="006A10C8">
      <w:pPr>
        <w:rPr>
          <w:bCs/>
          <w:i/>
          <w:lang w:eastAsia="zh-CN"/>
        </w:rPr>
      </w:pPr>
      <w:r w:rsidRPr="002A303A">
        <w:rPr>
          <w:bCs/>
          <w:i/>
          <w:lang w:eastAsia="zh-CN"/>
        </w:rPr>
        <w:t>Add the following after D.2.34:</w:t>
      </w:r>
    </w:p>
    <w:p w14:paraId="707D9D2F" w14:textId="4422AC74" w:rsidR="006A10C8" w:rsidRPr="002A303A" w:rsidRDefault="00AD490F" w:rsidP="006A10C8">
      <w:pPr>
        <w:rPr>
          <w:b/>
        </w:rPr>
      </w:pPr>
      <w:r w:rsidRPr="002A303A">
        <w:rPr>
          <w:b/>
          <w:lang w:val="en-GB"/>
        </w:rPr>
        <w:t xml:space="preserve">D.2.35 </w:t>
      </w:r>
      <w:r w:rsidR="002A303A">
        <w:rPr>
          <w:b/>
          <w:lang w:val="en-GB"/>
        </w:rPr>
        <w:t>Green metadata SEI m</w:t>
      </w:r>
      <w:r w:rsidR="00301F1A" w:rsidRPr="002A303A">
        <w:rPr>
          <w:b/>
          <w:lang w:val="en-GB"/>
        </w:rPr>
        <w:t xml:space="preserve">essage </w:t>
      </w:r>
      <w:r w:rsidR="002A303A">
        <w:rPr>
          <w:b/>
        </w:rPr>
        <w:t>s</w:t>
      </w:r>
      <w:r w:rsidR="006F594D" w:rsidRPr="002A303A">
        <w:rPr>
          <w:b/>
        </w:rPr>
        <w:t>yntax:</w:t>
      </w:r>
      <w:bookmarkStart w:id="2" w:name="_GoBack"/>
      <w:bookmarkEnd w:id="2"/>
    </w:p>
    <w:p w14:paraId="1E03FC27" w14:textId="5E6CC69F" w:rsidR="006F594D" w:rsidRPr="002A303A" w:rsidRDefault="00301F1A" w:rsidP="006A10C8">
      <w:r w:rsidRPr="002A303A">
        <w:rPr>
          <w:lang w:val="en-GB"/>
        </w:rPr>
        <w:t>The syntax for this SEI message is specified i</w:t>
      </w:r>
      <w:r w:rsidR="002A303A">
        <w:rPr>
          <w:lang w:val="en-GB"/>
        </w:rPr>
        <w:t>n ISO/IEC 23001-11 (Green metadata). Green m</w:t>
      </w:r>
      <w:r w:rsidRPr="002A303A">
        <w:rPr>
          <w:lang w:val="en-GB"/>
        </w:rPr>
        <w:t xml:space="preserve">etadata </w:t>
      </w:r>
      <w:r w:rsidRPr="002A303A">
        <w:t xml:space="preserve">facilitates reduced power consumption in decoders, encoders, </w:t>
      </w:r>
      <w:proofErr w:type="gramStart"/>
      <w:r w:rsidRPr="002A303A">
        <w:t>displays</w:t>
      </w:r>
      <w:proofErr w:type="gramEnd"/>
      <w:r w:rsidRPr="002A303A">
        <w:t xml:space="preserve"> and in media selection.</w:t>
      </w:r>
    </w:p>
    <w:p w14:paraId="19ED232F" w14:textId="77777777" w:rsidR="006A10C8" w:rsidRPr="001B0E57" w:rsidRDefault="00AD490F" w:rsidP="006A10C8">
      <w:pPr>
        <w:rPr>
          <w:i/>
        </w:rPr>
      </w:pPr>
      <w:r w:rsidRPr="001B0E57">
        <w:rPr>
          <w:i/>
        </w:rPr>
        <w:t>Add the following after D.3.</w:t>
      </w:r>
      <w:r w:rsidR="00D9789E" w:rsidRPr="001B0E57">
        <w:rPr>
          <w:i/>
        </w:rPr>
        <w:t>34:</w:t>
      </w:r>
    </w:p>
    <w:p w14:paraId="396B92B3" w14:textId="03E93E5D" w:rsidR="00301F1A" w:rsidRPr="002A303A" w:rsidRDefault="00D9789E" w:rsidP="00301F1A">
      <w:pPr>
        <w:rPr>
          <w:b/>
          <w:lang w:val="en-GB"/>
        </w:rPr>
      </w:pPr>
      <w:r w:rsidRPr="002A303A">
        <w:rPr>
          <w:b/>
          <w:lang w:val="en-GB"/>
        </w:rPr>
        <w:t xml:space="preserve">D.3.35 </w:t>
      </w:r>
      <w:r w:rsidR="002A303A">
        <w:rPr>
          <w:b/>
          <w:lang w:val="en-GB"/>
        </w:rPr>
        <w:t>Green metadata SEI message s</w:t>
      </w:r>
      <w:r w:rsidR="00301F1A" w:rsidRPr="002A303A">
        <w:rPr>
          <w:b/>
          <w:lang w:val="en-GB"/>
        </w:rPr>
        <w:t>emantics</w:t>
      </w:r>
    </w:p>
    <w:p w14:paraId="6EE7A196" w14:textId="1677CC0A" w:rsidR="00301F1A" w:rsidRPr="002A303A" w:rsidRDefault="00301F1A" w:rsidP="00301F1A">
      <w:r w:rsidRPr="002A303A">
        <w:rPr>
          <w:lang w:val="en-GB"/>
        </w:rPr>
        <w:t>The semantics for this SEI message are specified in ISO/IEC 23001-11</w:t>
      </w:r>
      <w:r w:rsidR="002A303A">
        <w:rPr>
          <w:lang w:val="en-GB"/>
        </w:rPr>
        <w:t xml:space="preserve"> (Green metadata). Green m</w:t>
      </w:r>
      <w:r w:rsidRPr="002A303A">
        <w:rPr>
          <w:lang w:val="en-GB"/>
        </w:rPr>
        <w:t xml:space="preserve">etadata </w:t>
      </w:r>
      <w:r w:rsidRPr="002A303A">
        <w:t xml:space="preserve">facilitates reduced power consumption in decoders, encoders, </w:t>
      </w:r>
      <w:proofErr w:type="gramStart"/>
      <w:r w:rsidRPr="002A303A">
        <w:t>displays</w:t>
      </w:r>
      <w:proofErr w:type="gramEnd"/>
      <w:r w:rsidRPr="002A303A">
        <w:t xml:space="preserve"> and in media selection. </w:t>
      </w:r>
    </w:p>
    <w:p w14:paraId="6B498E61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88092" w14:textId="77777777" w:rsidR="001213C6" w:rsidRDefault="001213C6">
      <w:r>
        <w:separator/>
      </w:r>
    </w:p>
  </w:endnote>
  <w:endnote w:type="continuationSeparator" w:id="0">
    <w:p w14:paraId="7E074B84" w14:textId="77777777" w:rsidR="001213C6" w:rsidRDefault="0012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99EA5" w14:textId="77777777" w:rsidR="00ED405D" w:rsidRDefault="00ED405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B0E5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B0E57">
      <w:rPr>
        <w:rStyle w:val="PageNumber"/>
        <w:noProof/>
      </w:rPr>
      <w:t>2015-06-22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80417" w14:textId="77777777" w:rsidR="001213C6" w:rsidRDefault="001213C6">
      <w:r>
        <w:separator/>
      </w:r>
    </w:p>
  </w:footnote>
  <w:footnote w:type="continuationSeparator" w:id="0">
    <w:p w14:paraId="123B6F53" w14:textId="77777777" w:rsidR="001213C6" w:rsidRDefault="00121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A3A20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C61A574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65039"/>
    <w:rsid w:val="0007614F"/>
    <w:rsid w:val="00082F29"/>
    <w:rsid w:val="000B1C6B"/>
    <w:rsid w:val="000B4FF9"/>
    <w:rsid w:val="000C09AC"/>
    <w:rsid w:val="000E00F3"/>
    <w:rsid w:val="000F158C"/>
    <w:rsid w:val="00102F3D"/>
    <w:rsid w:val="001213C6"/>
    <w:rsid w:val="00124E38"/>
    <w:rsid w:val="0012580B"/>
    <w:rsid w:val="00131F90"/>
    <w:rsid w:val="0013526E"/>
    <w:rsid w:val="00146152"/>
    <w:rsid w:val="00171371"/>
    <w:rsid w:val="00175A24"/>
    <w:rsid w:val="00187E58"/>
    <w:rsid w:val="001A297E"/>
    <w:rsid w:val="001A368E"/>
    <w:rsid w:val="001A7329"/>
    <w:rsid w:val="001B0E5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75BCF"/>
    <w:rsid w:val="00291E36"/>
    <w:rsid w:val="00292257"/>
    <w:rsid w:val="002A303A"/>
    <w:rsid w:val="002A54E0"/>
    <w:rsid w:val="002B1595"/>
    <w:rsid w:val="002B191D"/>
    <w:rsid w:val="002D0AF6"/>
    <w:rsid w:val="002F164D"/>
    <w:rsid w:val="00301F1A"/>
    <w:rsid w:val="00306206"/>
    <w:rsid w:val="00317D85"/>
    <w:rsid w:val="00327C56"/>
    <w:rsid w:val="003315A1"/>
    <w:rsid w:val="003373EC"/>
    <w:rsid w:val="00342FF4"/>
    <w:rsid w:val="00346148"/>
    <w:rsid w:val="003669EA"/>
    <w:rsid w:val="003706CC"/>
    <w:rsid w:val="00377710"/>
    <w:rsid w:val="003A2D8E"/>
    <w:rsid w:val="003C20E4"/>
    <w:rsid w:val="003E6F90"/>
    <w:rsid w:val="003F5D0F"/>
    <w:rsid w:val="00414101"/>
    <w:rsid w:val="004152D7"/>
    <w:rsid w:val="004234F0"/>
    <w:rsid w:val="00433DDB"/>
    <w:rsid w:val="00437619"/>
    <w:rsid w:val="00465A1E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45E82"/>
    <w:rsid w:val="00646707"/>
    <w:rsid w:val="00662E58"/>
    <w:rsid w:val="00664DCF"/>
    <w:rsid w:val="006A10C8"/>
    <w:rsid w:val="006C5D39"/>
    <w:rsid w:val="006D6D9B"/>
    <w:rsid w:val="006E2810"/>
    <w:rsid w:val="006E5417"/>
    <w:rsid w:val="006F594D"/>
    <w:rsid w:val="00712F60"/>
    <w:rsid w:val="00720E3B"/>
    <w:rsid w:val="0074393F"/>
    <w:rsid w:val="00745F6B"/>
    <w:rsid w:val="0075585E"/>
    <w:rsid w:val="00770571"/>
    <w:rsid w:val="007768FF"/>
    <w:rsid w:val="007824D3"/>
    <w:rsid w:val="00796EE3"/>
    <w:rsid w:val="007A7D29"/>
    <w:rsid w:val="007B4AB8"/>
    <w:rsid w:val="007E01A3"/>
    <w:rsid w:val="007F1F8B"/>
    <w:rsid w:val="007F67A1"/>
    <w:rsid w:val="00811C05"/>
    <w:rsid w:val="008206C8"/>
    <w:rsid w:val="0086387C"/>
    <w:rsid w:val="00874A6C"/>
    <w:rsid w:val="00876C65"/>
    <w:rsid w:val="00880329"/>
    <w:rsid w:val="008A1B1B"/>
    <w:rsid w:val="008A4B4C"/>
    <w:rsid w:val="008C239F"/>
    <w:rsid w:val="008E480C"/>
    <w:rsid w:val="00907757"/>
    <w:rsid w:val="00920409"/>
    <w:rsid w:val="009212B0"/>
    <w:rsid w:val="00921FA1"/>
    <w:rsid w:val="009234A5"/>
    <w:rsid w:val="00924828"/>
    <w:rsid w:val="00933453"/>
    <w:rsid w:val="009336F7"/>
    <w:rsid w:val="0093636C"/>
    <w:rsid w:val="009374A7"/>
    <w:rsid w:val="00980746"/>
    <w:rsid w:val="0098551D"/>
    <w:rsid w:val="0099518F"/>
    <w:rsid w:val="009A523D"/>
    <w:rsid w:val="009B02A1"/>
    <w:rsid w:val="009C67EA"/>
    <w:rsid w:val="009F496B"/>
    <w:rsid w:val="00A01439"/>
    <w:rsid w:val="00A02E61"/>
    <w:rsid w:val="00A05CFF"/>
    <w:rsid w:val="00A56B97"/>
    <w:rsid w:val="00A6093D"/>
    <w:rsid w:val="00A67AF7"/>
    <w:rsid w:val="00A767DC"/>
    <w:rsid w:val="00A76A6D"/>
    <w:rsid w:val="00A83253"/>
    <w:rsid w:val="00AA6BDB"/>
    <w:rsid w:val="00AA6E84"/>
    <w:rsid w:val="00AD490F"/>
    <w:rsid w:val="00AE341B"/>
    <w:rsid w:val="00B07CA7"/>
    <w:rsid w:val="00B1279A"/>
    <w:rsid w:val="00B277C5"/>
    <w:rsid w:val="00B4194A"/>
    <w:rsid w:val="00B5222E"/>
    <w:rsid w:val="00B53179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42466"/>
    <w:rsid w:val="00C606C9"/>
    <w:rsid w:val="00C76B92"/>
    <w:rsid w:val="00C80288"/>
    <w:rsid w:val="00C84003"/>
    <w:rsid w:val="00C90650"/>
    <w:rsid w:val="00C97D78"/>
    <w:rsid w:val="00CC2AAE"/>
    <w:rsid w:val="00CC5A42"/>
    <w:rsid w:val="00CD0EAB"/>
    <w:rsid w:val="00CE5E02"/>
    <w:rsid w:val="00CF34DB"/>
    <w:rsid w:val="00CF558F"/>
    <w:rsid w:val="00D073E2"/>
    <w:rsid w:val="00D433CD"/>
    <w:rsid w:val="00D446EC"/>
    <w:rsid w:val="00D51BF0"/>
    <w:rsid w:val="00D55942"/>
    <w:rsid w:val="00D807BF"/>
    <w:rsid w:val="00D82FCC"/>
    <w:rsid w:val="00D9789E"/>
    <w:rsid w:val="00DA17FC"/>
    <w:rsid w:val="00DA7887"/>
    <w:rsid w:val="00DB2C26"/>
    <w:rsid w:val="00DE6B43"/>
    <w:rsid w:val="00DF7D69"/>
    <w:rsid w:val="00E11923"/>
    <w:rsid w:val="00E262D4"/>
    <w:rsid w:val="00E36250"/>
    <w:rsid w:val="00E54511"/>
    <w:rsid w:val="00E61DAC"/>
    <w:rsid w:val="00E72B80"/>
    <w:rsid w:val="00E75FE3"/>
    <w:rsid w:val="00E86C4C"/>
    <w:rsid w:val="00EA210C"/>
    <w:rsid w:val="00EA5AE0"/>
    <w:rsid w:val="00EB7AB1"/>
    <w:rsid w:val="00EC36B9"/>
    <w:rsid w:val="00ED405D"/>
    <w:rsid w:val="00EE7CD8"/>
    <w:rsid w:val="00EF48CC"/>
    <w:rsid w:val="00F73032"/>
    <w:rsid w:val="00F848FC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135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CharSDLcode">
    <w:name w:val="Char SDLcode"/>
    <w:rsid w:val="006A10C8"/>
    <w:rPr>
      <w:rFonts w:ascii="Courier" w:hAnsi="Courier"/>
      <w:color w:val="auto"/>
    </w:rPr>
  </w:style>
  <w:style w:type="paragraph" w:customStyle="1" w:styleId="tableheading">
    <w:name w:val="table heading"/>
    <w:basedOn w:val="Normal"/>
    <w:rsid w:val="006A10C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A10C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6A10C8"/>
    <w:rPr>
      <w:rFonts w:ascii="Times" w:eastAsia="Malgun Gothic" w:hAnsi="Times"/>
      <w:noProof/>
      <w:lang w:val="en-GB"/>
    </w:rPr>
  </w:style>
  <w:style w:type="paragraph" w:styleId="ListBullet5">
    <w:name w:val="List Bullet 5"/>
    <w:basedOn w:val="Normal"/>
    <w:autoRedefine/>
    <w:rsid w:val="00DF7D69"/>
    <w:pPr>
      <w:numPr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40" w:line="230" w:lineRule="atLeast"/>
      <w:jc w:val="both"/>
      <w:textAlignment w:val="auto"/>
    </w:pPr>
    <w:rPr>
      <w:rFonts w:eastAsia="MS Mincho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CharSDLcode">
    <w:name w:val="Char SDLcode"/>
    <w:rsid w:val="006A10C8"/>
    <w:rPr>
      <w:rFonts w:ascii="Courier" w:hAnsi="Courier"/>
      <w:color w:val="auto"/>
    </w:rPr>
  </w:style>
  <w:style w:type="paragraph" w:customStyle="1" w:styleId="tableheading">
    <w:name w:val="table heading"/>
    <w:basedOn w:val="Normal"/>
    <w:rsid w:val="006A10C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A10C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6A10C8"/>
    <w:rPr>
      <w:rFonts w:ascii="Times" w:eastAsia="Malgun Gothic" w:hAnsi="Times"/>
      <w:noProof/>
      <w:lang w:val="en-GB"/>
    </w:rPr>
  </w:style>
  <w:style w:type="paragraph" w:styleId="ListBullet5">
    <w:name w:val="List Bullet 5"/>
    <w:basedOn w:val="Normal"/>
    <w:autoRedefine/>
    <w:rsid w:val="00DF7D69"/>
    <w:pPr>
      <w:numPr>
        <w:numId w:val="1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40" w:line="230" w:lineRule="atLeast"/>
      <w:jc w:val="both"/>
      <w:textAlignment w:val="auto"/>
    </w:pPr>
    <w:rPr>
      <w:rFonts w:eastAsia="MS Minch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1103</CharactersWithSpaces>
  <SharedDoc>false</SharedDoc>
  <HLinks>
    <vt:vector size="6" baseType="variant">
      <vt:variant>
        <vt:i4>1310844</vt:i4>
      </vt:variant>
      <vt:variant>
        <vt:i4>0</vt:i4>
      </vt:variant>
      <vt:variant>
        <vt:i4>0</vt:i4>
      </vt:variant>
      <vt:variant>
        <vt:i4>5</vt:i4>
      </vt:variant>
      <vt:variant>
        <vt:lpwstr>mailto:jtwen@tsinghua.edu.cn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Spencer Cheng</cp:lastModifiedBy>
  <cp:revision>3</cp:revision>
  <dcterms:created xsi:type="dcterms:W3CDTF">2015-06-22T09:28:00Z</dcterms:created>
  <dcterms:modified xsi:type="dcterms:W3CDTF">2015-06-22T09:36:00Z</dcterms:modified>
</cp:coreProperties>
</file>