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751EC1">
        <w:tc>
          <w:tcPr>
            <w:tcW w:w="6408" w:type="dxa"/>
          </w:tcPr>
          <w:p w:rsidR="006C5D39" w:rsidRPr="00751EC1" w:rsidRDefault="00D5566C" w:rsidP="00C97D78">
            <w:pPr>
              <w:tabs>
                <w:tab w:val="left" w:pos="7200"/>
              </w:tabs>
              <w:spacing w:before="0"/>
              <w:rPr>
                <w:b/>
                <w:szCs w:val="22"/>
                <w:lang w:val="en-CA"/>
              </w:rPr>
            </w:pPr>
            <w:r w:rsidRPr="00D5566C">
              <w:rPr>
                <w:b/>
                <w:szCs w:val="22"/>
                <w:lang w:val="en-CA"/>
              </w:rPr>
              <w:pict>
                <v:group id="_x0000_s1026" style="position:absolute;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Pr="00D5566C">
              <w:rPr>
                <w:b/>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3">
                  <v:imagedata r:id="rId7" o:title=""/>
                </v:shape>
              </w:pict>
            </w:r>
            <w:r w:rsidRPr="00D5566C">
              <w:rPr>
                <w:b/>
                <w:szCs w:val="22"/>
                <w:lang w:val="en-CA"/>
              </w:rPr>
              <w:pict>
                <v:shape id="_x0000_s1050" type="#_x0000_t75" style="position:absolute;margin-left:21.15pt;margin-top:-25.1pt;width:23.2pt;height:21.05pt;z-index:2">
                  <v:imagedata r:id="rId8" o:title=""/>
                </v:shape>
              </w:pict>
            </w:r>
            <w:r w:rsidR="00E61DAC" w:rsidRPr="00751EC1">
              <w:rPr>
                <w:b/>
                <w:szCs w:val="22"/>
                <w:lang w:val="en-CA"/>
              </w:rPr>
              <w:t xml:space="preserve">Joint </w:t>
            </w:r>
            <w:r w:rsidR="006C5D39" w:rsidRPr="00751EC1">
              <w:rPr>
                <w:b/>
                <w:szCs w:val="22"/>
                <w:lang w:val="en-CA"/>
              </w:rPr>
              <w:t>Collaborative</w:t>
            </w:r>
            <w:r w:rsidR="00E61DAC" w:rsidRPr="00751EC1">
              <w:rPr>
                <w:b/>
                <w:szCs w:val="22"/>
                <w:lang w:val="en-CA"/>
              </w:rPr>
              <w:t xml:space="preserve"> Team </w:t>
            </w:r>
            <w:r w:rsidR="006C5D39" w:rsidRPr="00751EC1">
              <w:rPr>
                <w:b/>
                <w:szCs w:val="22"/>
                <w:lang w:val="en-CA"/>
              </w:rPr>
              <w:t>on Video Coding (JCT-VC)</w:t>
            </w:r>
          </w:p>
          <w:p w:rsidR="00E61DAC" w:rsidRPr="00751EC1" w:rsidRDefault="00E54511" w:rsidP="00C97D78">
            <w:pPr>
              <w:tabs>
                <w:tab w:val="left" w:pos="7200"/>
              </w:tabs>
              <w:spacing w:before="0"/>
              <w:rPr>
                <w:b/>
                <w:szCs w:val="22"/>
                <w:lang w:val="en-CA"/>
              </w:rPr>
            </w:pPr>
            <w:r w:rsidRPr="00751EC1">
              <w:rPr>
                <w:b/>
                <w:szCs w:val="22"/>
                <w:lang w:val="en-CA"/>
              </w:rPr>
              <w:t xml:space="preserve">of </w:t>
            </w:r>
            <w:r w:rsidR="007F1F8B" w:rsidRPr="00751EC1">
              <w:rPr>
                <w:b/>
                <w:szCs w:val="22"/>
                <w:lang w:val="en-CA"/>
              </w:rPr>
              <w:t>ITU-T SG</w:t>
            </w:r>
            <w:r w:rsidR="005E1AC6" w:rsidRPr="00751EC1">
              <w:rPr>
                <w:b/>
                <w:szCs w:val="22"/>
                <w:lang w:val="en-CA"/>
              </w:rPr>
              <w:t> </w:t>
            </w:r>
            <w:r w:rsidR="007F1F8B" w:rsidRPr="00751EC1">
              <w:rPr>
                <w:b/>
                <w:szCs w:val="22"/>
                <w:lang w:val="en-CA"/>
              </w:rPr>
              <w:t>16 WP</w:t>
            </w:r>
            <w:r w:rsidR="005E1AC6" w:rsidRPr="00751EC1">
              <w:rPr>
                <w:b/>
                <w:szCs w:val="22"/>
                <w:lang w:val="en-CA"/>
              </w:rPr>
              <w:t> </w:t>
            </w:r>
            <w:r w:rsidR="007F1F8B" w:rsidRPr="00751EC1">
              <w:rPr>
                <w:b/>
                <w:szCs w:val="22"/>
                <w:lang w:val="en-CA"/>
              </w:rPr>
              <w:t>3 and ISO/IEC JTC</w:t>
            </w:r>
            <w:r w:rsidR="005E1AC6" w:rsidRPr="00751EC1">
              <w:rPr>
                <w:b/>
                <w:szCs w:val="22"/>
                <w:lang w:val="en-CA"/>
              </w:rPr>
              <w:t> </w:t>
            </w:r>
            <w:r w:rsidR="007F1F8B" w:rsidRPr="00751EC1">
              <w:rPr>
                <w:b/>
                <w:szCs w:val="22"/>
                <w:lang w:val="en-CA"/>
              </w:rPr>
              <w:t>1/SC</w:t>
            </w:r>
            <w:r w:rsidR="005E1AC6" w:rsidRPr="00751EC1">
              <w:rPr>
                <w:b/>
                <w:szCs w:val="22"/>
                <w:lang w:val="en-CA"/>
              </w:rPr>
              <w:t> </w:t>
            </w:r>
            <w:r w:rsidR="007F1F8B" w:rsidRPr="00751EC1">
              <w:rPr>
                <w:b/>
                <w:szCs w:val="22"/>
                <w:lang w:val="en-CA"/>
              </w:rPr>
              <w:t>29/WG</w:t>
            </w:r>
            <w:r w:rsidR="005E1AC6" w:rsidRPr="00751EC1">
              <w:rPr>
                <w:b/>
                <w:szCs w:val="22"/>
                <w:lang w:val="en-CA"/>
              </w:rPr>
              <w:t> </w:t>
            </w:r>
            <w:r w:rsidR="007F1F8B" w:rsidRPr="00751EC1">
              <w:rPr>
                <w:b/>
                <w:szCs w:val="22"/>
                <w:lang w:val="en-CA"/>
              </w:rPr>
              <w:t>11</w:t>
            </w:r>
          </w:p>
          <w:p w:rsidR="00E61DAC" w:rsidRPr="00751EC1" w:rsidRDefault="00B600CD" w:rsidP="00B600CD">
            <w:pPr>
              <w:tabs>
                <w:tab w:val="left" w:pos="7200"/>
              </w:tabs>
              <w:spacing w:before="0"/>
              <w:rPr>
                <w:b/>
                <w:szCs w:val="22"/>
                <w:lang w:val="en-CA"/>
              </w:rPr>
            </w:pPr>
            <w:r w:rsidRPr="00751EC1">
              <w:t>20</w:t>
            </w:r>
            <w:r w:rsidR="00A767DC" w:rsidRPr="00751EC1">
              <w:t xml:space="preserve">th Meeting: </w:t>
            </w:r>
            <w:r w:rsidRPr="00751EC1">
              <w:rPr>
                <w:lang w:val="en-CA"/>
              </w:rPr>
              <w:t>Geneva</w:t>
            </w:r>
            <w:r w:rsidR="00A767DC" w:rsidRPr="00751EC1">
              <w:rPr>
                <w:lang w:val="en-CA"/>
              </w:rPr>
              <w:t xml:space="preserve">, </w:t>
            </w:r>
            <w:r w:rsidRPr="00751EC1">
              <w:rPr>
                <w:lang w:val="en-CA"/>
              </w:rPr>
              <w:t>CH</w:t>
            </w:r>
            <w:r w:rsidR="00A767DC" w:rsidRPr="00751EC1">
              <w:rPr>
                <w:lang w:val="en-CA"/>
              </w:rPr>
              <w:t xml:space="preserve">, </w:t>
            </w:r>
            <w:r w:rsidR="000308A3" w:rsidRPr="00751EC1">
              <w:rPr>
                <w:lang w:val="en-CA"/>
              </w:rPr>
              <w:t>1</w:t>
            </w:r>
            <w:r w:rsidRPr="00751EC1">
              <w:rPr>
                <w:lang w:val="en-CA"/>
              </w:rPr>
              <w:t>0</w:t>
            </w:r>
            <w:r w:rsidR="003A7CE6" w:rsidRPr="00751EC1">
              <w:rPr>
                <w:lang w:val="en-CA"/>
              </w:rPr>
              <w:t>–</w:t>
            </w:r>
            <w:r w:rsidRPr="00751EC1">
              <w:rPr>
                <w:lang w:val="en-CA"/>
              </w:rPr>
              <w:t>18</w:t>
            </w:r>
            <w:r w:rsidR="00A767DC" w:rsidRPr="00751EC1">
              <w:rPr>
                <w:lang w:val="en-CA"/>
              </w:rPr>
              <w:t xml:space="preserve"> </w:t>
            </w:r>
            <w:r w:rsidRPr="00751EC1">
              <w:rPr>
                <w:lang w:val="en-CA"/>
              </w:rPr>
              <w:t>Feb</w:t>
            </w:r>
            <w:r w:rsidR="001A792F" w:rsidRPr="00751EC1">
              <w:rPr>
                <w:lang w:val="en-CA"/>
              </w:rPr>
              <w:t>.</w:t>
            </w:r>
            <w:r w:rsidR="00A767DC" w:rsidRPr="00751EC1">
              <w:rPr>
                <w:lang w:val="en-CA"/>
              </w:rPr>
              <w:t xml:space="preserve"> 201</w:t>
            </w:r>
            <w:r w:rsidRPr="00751EC1">
              <w:rPr>
                <w:lang w:val="en-CA"/>
              </w:rPr>
              <w:t>5</w:t>
            </w:r>
          </w:p>
        </w:tc>
        <w:tc>
          <w:tcPr>
            <w:tcW w:w="3168" w:type="dxa"/>
          </w:tcPr>
          <w:p w:rsidR="008A4B4C" w:rsidRPr="00751EC1" w:rsidRDefault="00E61DAC" w:rsidP="00B600CD">
            <w:pPr>
              <w:tabs>
                <w:tab w:val="left" w:pos="7200"/>
              </w:tabs>
              <w:rPr>
                <w:rFonts w:hint="eastAsia"/>
                <w:u w:val="single"/>
                <w:lang w:val="en-CA" w:eastAsia="ja-JP"/>
              </w:rPr>
            </w:pPr>
            <w:r w:rsidRPr="00751EC1">
              <w:rPr>
                <w:lang w:val="en-CA"/>
              </w:rPr>
              <w:t>Document</w:t>
            </w:r>
            <w:r w:rsidR="006C5D39" w:rsidRPr="00751EC1">
              <w:rPr>
                <w:lang w:val="en-CA"/>
              </w:rPr>
              <w:t>: JC</w:t>
            </w:r>
            <w:r w:rsidRPr="00751EC1">
              <w:rPr>
                <w:lang w:val="en-CA"/>
              </w:rPr>
              <w:t>T</w:t>
            </w:r>
            <w:r w:rsidR="006C5D39" w:rsidRPr="00751EC1">
              <w:rPr>
                <w:lang w:val="en-CA"/>
              </w:rPr>
              <w:t>VC</w:t>
            </w:r>
            <w:r w:rsidRPr="00751EC1">
              <w:rPr>
                <w:lang w:val="en-CA"/>
              </w:rPr>
              <w:t>-</w:t>
            </w:r>
            <w:r w:rsidR="00B600CD" w:rsidRPr="00751EC1">
              <w:rPr>
                <w:lang w:val="en-CA"/>
              </w:rPr>
              <w:t>T</w:t>
            </w:r>
            <w:r w:rsidR="0061512E">
              <w:rPr>
                <w:lang w:val="en-CA"/>
              </w:rPr>
              <w:t>0035</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751EC1">
        <w:tc>
          <w:tcPr>
            <w:tcW w:w="1458" w:type="dxa"/>
          </w:tcPr>
          <w:p w:rsidR="00E61DAC" w:rsidRPr="00751EC1" w:rsidRDefault="00E61DAC">
            <w:pPr>
              <w:spacing w:before="60" w:after="60"/>
              <w:rPr>
                <w:i/>
                <w:szCs w:val="22"/>
                <w:lang w:val="en-CA"/>
              </w:rPr>
            </w:pPr>
            <w:r w:rsidRPr="00751EC1">
              <w:rPr>
                <w:i/>
                <w:szCs w:val="22"/>
                <w:lang w:val="en-CA"/>
              </w:rPr>
              <w:t>Title:</w:t>
            </w:r>
          </w:p>
        </w:tc>
        <w:tc>
          <w:tcPr>
            <w:tcW w:w="8118" w:type="dxa"/>
            <w:gridSpan w:val="3"/>
          </w:tcPr>
          <w:p w:rsidR="00E61DAC" w:rsidRPr="00751EC1" w:rsidRDefault="00E77065" w:rsidP="00E77065">
            <w:pPr>
              <w:spacing w:before="60" w:after="60"/>
              <w:rPr>
                <w:b/>
                <w:szCs w:val="22"/>
                <w:lang w:val="en-CA" w:eastAsia="ja-JP"/>
              </w:rPr>
            </w:pPr>
            <w:r w:rsidRPr="00E77065">
              <w:rPr>
                <w:b/>
                <w:szCs w:val="22"/>
                <w:lang w:val="en-CA"/>
              </w:rPr>
              <w:t xml:space="preserve">NHK’s proposal for </w:t>
            </w:r>
            <w:r w:rsidR="00A9161A">
              <w:rPr>
                <w:rFonts w:hint="eastAsia"/>
                <w:b/>
                <w:szCs w:val="22"/>
                <w:lang w:val="en-CA" w:eastAsia="ja-JP"/>
              </w:rPr>
              <w:t xml:space="preserve">an </w:t>
            </w:r>
            <w:r w:rsidRPr="00E77065">
              <w:rPr>
                <w:b/>
                <w:szCs w:val="22"/>
                <w:lang w:val="en-CA"/>
              </w:rPr>
              <w:t>extended image dynamic range television (EIDRTV) system</w:t>
            </w:r>
          </w:p>
        </w:tc>
      </w:tr>
      <w:tr w:rsidR="00E61DAC" w:rsidRPr="00751EC1">
        <w:tc>
          <w:tcPr>
            <w:tcW w:w="1458" w:type="dxa"/>
          </w:tcPr>
          <w:p w:rsidR="00E61DAC" w:rsidRPr="00751EC1" w:rsidRDefault="00E61DAC">
            <w:pPr>
              <w:spacing w:before="60" w:after="60"/>
              <w:rPr>
                <w:i/>
                <w:szCs w:val="22"/>
                <w:lang w:val="en-CA"/>
              </w:rPr>
            </w:pPr>
            <w:r w:rsidRPr="00751EC1">
              <w:rPr>
                <w:i/>
                <w:szCs w:val="22"/>
                <w:lang w:val="en-CA"/>
              </w:rPr>
              <w:t>Status:</w:t>
            </w:r>
          </w:p>
        </w:tc>
        <w:tc>
          <w:tcPr>
            <w:tcW w:w="8118" w:type="dxa"/>
            <w:gridSpan w:val="3"/>
          </w:tcPr>
          <w:p w:rsidR="00E61DAC" w:rsidRPr="00751EC1" w:rsidRDefault="00E61DAC" w:rsidP="00E77065">
            <w:pPr>
              <w:spacing w:before="60" w:after="60"/>
              <w:rPr>
                <w:szCs w:val="22"/>
                <w:lang w:val="en-CA"/>
              </w:rPr>
            </w:pPr>
            <w:r w:rsidRPr="00751EC1">
              <w:rPr>
                <w:szCs w:val="22"/>
                <w:lang w:val="en-CA"/>
              </w:rPr>
              <w:t xml:space="preserve">Input Document to </w:t>
            </w:r>
            <w:r w:rsidR="00AE341B" w:rsidRPr="00751EC1">
              <w:rPr>
                <w:szCs w:val="22"/>
                <w:lang w:val="en-CA"/>
              </w:rPr>
              <w:t>JCT-VC</w:t>
            </w:r>
          </w:p>
        </w:tc>
      </w:tr>
      <w:tr w:rsidR="00E61DAC" w:rsidRPr="00751EC1">
        <w:tc>
          <w:tcPr>
            <w:tcW w:w="1458" w:type="dxa"/>
          </w:tcPr>
          <w:p w:rsidR="00E61DAC" w:rsidRPr="00751EC1" w:rsidRDefault="00E61DAC">
            <w:pPr>
              <w:spacing w:before="60" w:after="60"/>
              <w:rPr>
                <w:i/>
                <w:szCs w:val="22"/>
                <w:lang w:val="en-CA"/>
              </w:rPr>
            </w:pPr>
            <w:r w:rsidRPr="00751EC1">
              <w:rPr>
                <w:i/>
                <w:szCs w:val="22"/>
                <w:lang w:val="en-CA"/>
              </w:rPr>
              <w:t>Purpose:</w:t>
            </w:r>
          </w:p>
        </w:tc>
        <w:tc>
          <w:tcPr>
            <w:tcW w:w="8118" w:type="dxa"/>
            <w:gridSpan w:val="3"/>
          </w:tcPr>
          <w:p w:rsidR="00E61DAC" w:rsidRPr="00751EC1" w:rsidRDefault="00E61DAC" w:rsidP="00E77065">
            <w:pPr>
              <w:spacing w:before="60" w:after="60"/>
              <w:rPr>
                <w:szCs w:val="22"/>
                <w:lang w:val="en-CA"/>
              </w:rPr>
            </w:pPr>
            <w:r w:rsidRPr="00751EC1">
              <w:rPr>
                <w:szCs w:val="22"/>
                <w:lang w:val="en-CA"/>
              </w:rPr>
              <w:t>Proposal</w:t>
            </w:r>
          </w:p>
        </w:tc>
      </w:tr>
      <w:tr w:rsidR="00E61DAC" w:rsidRPr="00751EC1">
        <w:tc>
          <w:tcPr>
            <w:tcW w:w="1458" w:type="dxa"/>
          </w:tcPr>
          <w:p w:rsidR="00E61DAC" w:rsidRPr="00751EC1" w:rsidRDefault="00E61DAC">
            <w:pPr>
              <w:spacing w:before="60" w:after="60"/>
              <w:rPr>
                <w:i/>
                <w:szCs w:val="22"/>
                <w:lang w:val="en-CA"/>
              </w:rPr>
            </w:pPr>
            <w:r w:rsidRPr="00751EC1">
              <w:rPr>
                <w:i/>
                <w:szCs w:val="22"/>
                <w:lang w:val="en-CA"/>
              </w:rPr>
              <w:t>Author(s) or</w:t>
            </w:r>
            <w:r w:rsidRPr="00751EC1">
              <w:rPr>
                <w:i/>
                <w:szCs w:val="22"/>
                <w:lang w:val="en-CA"/>
              </w:rPr>
              <w:br/>
              <w:t>Contact(s):</w:t>
            </w:r>
          </w:p>
        </w:tc>
        <w:tc>
          <w:tcPr>
            <w:tcW w:w="4050" w:type="dxa"/>
          </w:tcPr>
          <w:p w:rsidR="00E61DAC" w:rsidRPr="00751EC1" w:rsidRDefault="00E77065" w:rsidP="00E77065">
            <w:pPr>
              <w:spacing w:before="60" w:after="60"/>
              <w:rPr>
                <w:szCs w:val="22"/>
                <w:lang w:val="en-CA"/>
              </w:rPr>
            </w:pPr>
            <w:r>
              <w:rPr>
                <w:rFonts w:hint="eastAsia"/>
                <w:szCs w:val="22"/>
                <w:lang w:val="en-CA" w:eastAsia="ja-JP"/>
              </w:rPr>
              <w:t>M. Sugawara, Y. Kusakabe, Y. Nishida</w:t>
            </w:r>
            <w:r w:rsidR="00A9161A">
              <w:rPr>
                <w:rFonts w:hint="eastAsia"/>
                <w:szCs w:val="22"/>
                <w:lang w:val="en-CA" w:eastAsia="ja-JP"/>
              </w:rPr>
              <w:t xml:space="preserve">, </w:t>
            </w:r>
            <w:r w:rsidR="00A9161A">
              <w:rPr>
                <w:szCs w:val="22"/>
                <w:lang w:val="en-CA" w:eastAsia="ja-JP"/>
              </w:rPr>
              <w:br/>
            </w:r>
            <w:r w:rsidR="00A9161A">
              <w:rPr>
                <w:rFonts w:hint="eastAsia"/>
                <w:szCs w:val="22"/>
                <w:lang w:val="en-CA" w:eastAsia="ja-JP"/>
              </w:rPr>
              <w:t xml:space="preserve">A. </w:t>
            </w:r>
            <w:proofErr w:type="spellStart"/>
            <w:r w:rsidR="00A9161A">
              <w:rPr>
                <w:rFonts w:hint="eastAsia"/>
                <w:szCs w:val="22"/>
                <w:lang w:val="en-CA" w:eastAsia="ja-JP"/>
              </w:rPr>
              <w:t>Ichigaya</w:t>
            </w:r>
            <w:proofErr w:type="spellEnd"/>
            <w:r w:rsidR="00E61DAC" w:rsidRPr="00751EC1">
              <w:rPr>
                <w:szCs w:val="22"/>
                <w:lang w:val="en-CA"/>
              </w:rPr>
              <w:br/>
            </w:r>
            <w:r>
              <w:rPr>
                <w:rFonts w:hint="eastAsia"/>
                <w:szCs w:val="22"/>
                <w:lang w:val="en-CA" w:eastAsia="ja-JP"/>
              </w:rPr>
              <w:t xml:space="preserve">1-10-11 </w:t>
            </w:r>
            <w:proofErr w:type="spellStart"/>
            <w:r>
              <w:rPr>
                <w:rFonts w:hint="eastAsia"/>
                <w:szCs w:val="22"/>
                <w:lang w:val="en-CA" w:eastAsia="ja-JP"/>
              </w:rPr>
              <w:t>Kinuta</w:t>
            </w:r>
            <w:proofErr w:type="spellEnd"/>
            <w:r>
              <w:rPr>
                <w:rFonts w:hint="eastAsia"/>
                <w:szCs w:val="22"/>
                <w:lang w:val="en-CA" w:eastAsia="ja-JP"/>
              </w:rPr>
              <w:t>, Setagaya-</w:t>
            </w:r>
            <w:proofErr w:type="spellStart"/>
            <w:r>
              <w:rPr>
                <w:rFonts w:hint="eastAsia"/>
                <w:szCs w:val="22"/>
                <w:lang w:val="en-CA" w:eastAsia="ja-JP"/>
              </w:rPr>
              <w:t>ku</w:t>
            </w:r>
            <w:proofErr w:type="spellEnd"/>
            <w:r>
              <w:rPr>
                <w:szCs w:val="22"/>
                <w:lang w:val="en-CA"/>
              </w:rPr>
              <w:br/>
            </w:r>
            <w:r>
              <w:rPr>
                <w:rFonts w:hint="eastAsia"/>
                <w:szCs w:val="22"/>
                <w:lang w:val="en-CA" w:eastAsia="ja-JP"/>
              </w:rPr>
              <w:t>Tokyo</w:t>
            </w:r>
            <w:r w:rsidR="00E61DAC" w:rsidRPr="00751EC1">
              <w:rPr>
                <w:szCs w:val="22"/>
                <w:lang w:val="en-CA"/>
              </w:rPr>
              <w:br/>
            </w:r>
            <w:r>
              <w:rPr>
                <w:rFonts w:hint="eastAsia"/>
                <w:szCs w:val="22"/>
                <w:lang w:val="en-CA" w:eastAsia="ja-JP"/>
              </w:rPr>
              <w:t>157-8510 Japan</w:t>
            </w:r>
          </w:p>
        </w:tc>
        <w:tc>
          <w:tcPr>
            <w:tcW w:w="900" w:type="dxa"/>
          </w:tcPr>
          <w:p w:rsidR="00E61DAC" w:rsidRPr="00751EC1" w:rsidRDefault="00E61DAC">
            <w:pPr>
              <w:spacing w:before="60" w:after="60"/>
              <w:rPr>
                <w:szCs w:val="22"/>
                <w:lang w:val="en-CA"/>
              </w:rPr>
            </w:pPr>
            <w:r w:rsidRPr="00751EC1">
              <w:rPr>
                <w:szCs w:val="22"/>
                <w:lang w:val="en-CA"/>
              </w:rPr>
              <w:br/>
              <w:t>Tel:</w:t>
            </w:r>
            <w:r w:rsidRPr="00751EC1">
              <w:rPr>
                <w:szCs w:val="22"/>
                <w:lang w:val="en-CA"/>
              </w:rPr>
              <w:br/>
              <w:t>Email:</w:t>
            </w:r>
          </w:p>
        </w:tc>
        <w:tc>
          <w:tcPr>
            <w:tcW w:w="3168" w:type="dxa"/>
          </w:tcPr>
          <w:p w:rsidR="00E77065" w:rsidRPr="00751EC1" w:rsidRDefault="00E61DAC" w:rsidP="00E77065">
            <w:pPr>
              <w:spacing w:before="60" w:after="60"/>
              <w:rPr>
                <w:szCs w:val="22"/>
                <w:lang w:val="en-CA" w:eastAsia="ja-JP"/>
              </w:rPr>
            </w:pPr>
            <w:r w:rsidRPr="00751EC1">
              <w:rPr>
                <w:szCs w:val="22"/>
                <w:lang w:val="en-CA"/>
              </w:rPr>
              <w:br/>
            </w:r>
            <w:r w:rsidR="00E77065">
              <w:rPr>
                <w:rFonts w:hint="eastAsia"/>
                <w:szCs w:val="22"/>
                <w:lang w:val="en-CA" w:eastAsia="ja-JP"/>
              </w:rPr>
              <w:t>+81-3-5494-3101</w:t>
            </w:r>
            <w:r w:rsidRPr="00751EC1">
              <w:rPr>
                <w:szCs w:val="22"/>
                <w:lang w:val="en-CA"/>
              </w:rPr>
              <w:br/>
            </w:r>
            <w:r w:rsidR="00E77065" w:rsidRPr="00E77065">
              <w:rPr>
                <w:rFonts w:hint="eastAsia"/>
                <w:szCs w:val="22"/>
                <w:lang w:val="en-CA" w:eastAsia="ja-JP"/>
              </w:rPr>
              <w:t>sugawara.m-</w:t>
            </w:r>
            <w:r w:rsidR="00E77065">
              <w:rPr>
                <w:rFonts w:hint="eastAsia"/>
                <w:szCs w:val="22"/>
                <w:lang w:val="en-CA" w:eastAsia="ja-JP"/>
              </w:rPr>
              <w:t>fq</w:t>
            </w:r>
            <w:r w:rsidR="00E77065" w:rsidRPr="00E77065">
              <w:rPr>
                <w:rFonts w:hint="eastAsia"/>
                <w:szCs w:val="22"/>
                <w:lang w:val="en-CA" w:eastAsia="ja-JP"/>
              </w:rPr>
              <w:t>@nhk.or.jp</w:t>
            </w:r>
            <w:r w:rsidR="00E77065">
              <w:rPr>
                <w:rFonts w:hint="eastAsia"/>
                <w:szCs w:val="22"/>
                <w:lang w:val="en-CA" w:eastAsia="ja-JP"/>
              </w:rPr>
              <w:br/>
            </w:r>
            <w:r w:rsidR="00E77065" w:rsidRPr="00E77065">
              <w:rPr>
                <w:rFonts w:hint="eastAsia"/>
                <w:szCs w:val="22"/>
                <w:lang w:val="en-CA" w:eastAsia="ja-JP"/>
              </w:rPr>
              <w:t>k</w:t>
            </w:r>
            <w:r w:rsidR="00E77065" w:rsidRPr="00E77065">
              <w:rPr>
                <w:szCs w:val="22"/>
                <w:lang w:val="en-CA" w:eastAsia="ja-JP"/>
              </w:rPr>
              <w:t>usakabe</w:t>
            </w:r>
            <w:r w:rsidR="00E77065" w:rsidRPr="00E77065">
              <w:rPr>
                <w:rFonts w:hint="eastAsia"/>
                <w:szCs w:val="22"/>
                <w:lang w:val="en-CA" w:eastAsia="ja-JP"/>
              </w:rPr>
              <w:t>.y-</w:t>
            </w:r>
            <w:r w:rsidR="00E77065">
              <w:rPr>
                <w:rFonts w:hint="eastAsia"/>
                <w:szCs w:val="22"/>
                <w:lang w:val="en-CA" w:eastAsia="ja-JP"/>
              </w:rPr>
              <w:t>ee</w:t>
            </w:r>
            <w:r w:rsidR="00E77065" w:rsidRPr="00E77065">
              <w:rPr>
                <w:rFonts w:hint="eastAsia"/>
                <w:szCs w:val="22"/>
                <w:lang w:val="en-CA" w:eastAsia="ja-JP"/>
              </w:rPr>
              <w:t>@nhk.or.jp</w:t>
            </w:r>
            <w:r w:rsidR="00E77065">
              <w:rPr>
                <w:rFonts w:hint="eastAsia"/>
                <w:szCs w:val="22"/>
                <w:lang w:val="en-CA" w:eastAsia="ja-JP"/>
              </w:rPr>
              <w:br/>
              <w:t>nishida.y-fe@nhk.or.jp</w:t>
            </w:r>
            <w:r w:rsidR="00697FE6">
              <w:rPr>
                <w:szCs w:val="22"/>
                <w:lang w:val="en-CA" w:eastAsia="ja-JP"/>
              </w:rPr>
              <w:br/>
            </w:r>
            <w:r w:rsidR="00697FE6">
              <w:rPr>
                <w:rFonts w:hint="eastAsia"/>
                <w:szCs w:val="22"/>
                <w:lang w:val="en-CA" w:eastAsia="ja-JP"/>
              </w:rPr>
              <w:t>ich</w:t>
            </w:r>
            <w:r w:rsidR="00A9161A">
              <w:rPr>
                <w:rFonts w:hint="eastAsia"/>
                <w:szCs w:val="22"/>
                <w:lang w:val="en-CA" w:eastAsia="ja-JP"/>
              </w:rPr>
              <w:t>i</w:t>
            </w:r>
            <w:r w:rsidR="00697FE6">
              <w:rPr>
                <w:rFonts w:hint="eastAsia"/>
                <w:szCs w:val="22"/>
                <w:lang w:val="en-CA" w:eastAsia="ja-JP"/>
              </w:rPr>
              <w:t>gaya.a-</w:t>
            </w:r>
            <w:r w:rsidR="00A9161A">
              <w:rPr>
                <w:rFonts w:hint="eastAsia"/>
                <w:szCs w:val="22"/>
                <w:lang w:val="en-CA" w:eastAsia="ja-JP"/>
              </w:rPr>
              <w:t>go@nhk.or.jp</w:t>
            </w:r>
          </w:p>
        </w:tc>
      </w:tr>
      <w:tr w:rsidR="00E61DAC" w:rsidRPr="00751EC1">
        <w:tc>
          <w:tcPr>
            <w:tcW w:w="1458" w:type="dxa"/>
          </w:tcPr>
          <w:p w:rsidR="00E61DAC" w:rsidRPr="00751EC1" w:rsidRDefault="00E61DAC">
            <w:pPr>
              <w:spacing w:before="60" w:after="60"/>
              <w:rPr>
                <w:i/>
                <w:szCs w:val="22"/>
                <w:lang w:val="en-CA"/>
              </w:rPr>
            </w:pPr>
            <w:r w:rsidRPr="00751EC1">
              <w:rPr>
                <w:i/>
                <w:szCs w:val="22"/>
                <w:lang w:val="en-CA"/>
              </w:rPr>
              <w:t>Source:</w:t>
            </w:r>
          </w:p>
        </w:tc>
        <w:tc>
          <w:tcPr>
            <w:tcW w:w="8118" w:type="dxa"/>
            <w:gridSpan w:val="3"/>
          </w:tcPr>
          <w:p w:rsidR="00E61DAC" w:rsidRPr="00751EC1" w:rsidRDefault="00E77065" w:rsidP="00E77065">
            <w:pPr>
              <w:spacing w:before="60" w:after="60"/>
              <w:rPr>
                <w:szCs w:val="22"/>
                <w:lang w:val="en-CA"/>
              </w:rPr>
            </w:pPr>
            <w:r>
              <w:rPr>
                <w:rFonts w:hint="eastAsia"/>
                <w:szCs w:val="22"/>
                <w:lang w:val="en-CA" w:eastAsia="ja-JP"/>
              </w:rPr>
              <w:t>NHK (Japan Broadcasting Corporation)</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A17122" w:rsidRDefault="00A17122" w:rsidP="00C97D78">
      <w:pPr>
        <w:rPr>
          <w:lang w:val="en-CA" w:eastAsia="ja-JP"/>
        </w:rPr>
      </w:pPr>
      <w:r>
        <w:rPr>
          <w:szCs w:val="22"/>
          <w:lang w:val="en-CA"/>
        </w:rPr>
        <w:t xml:space="preserve">This document </w:t>
      </w:r>
      <w:r>
        <w:rPr>
          <w:rFonts w:hint="eastAsia"/>
          <w:szCs w:val="22"/>
          <w:lang w:val="en-CA" w:eastAsia="ja-JP"/>
        </w:rPr>
        <w:t>presents</w:t>
      </w:r>
      <w:r w:rsidRPr="00E77065">
        <w:rPr>
          <w:szCs w:val="22"/>
          <w:lang w:val="en-CA"/>
        </w:rPr>
        <w:t xml:space="preserve"> NHK’s proposed parameter values for </w:t>
      </w:r>
      <w:r>
        <w:rPr>
          <w:rFonts w:hint="eastAsia"/>
          <w:szCs w:val="22"/>
          <w:lang w:val="en-CA" w:eastAsia="ja-JP"/>
        </w:rPr>
        <w:t xml:space="preserve">an </w:t>
      </w:r>
      <w:r w:rsidRPr="00E77065">
        <w:rPr>
          <w:szCs w:val="22"/>
          <w:lang w:val="en-CA"/>
        </w:rPr>
        <w:t xml:space="preserve">extended image </w:t>
      </w:r>
      <w:r>
        <w:rPr>
          <w:szCs w:val="22"/>
          <w:lang w:val="en-CA"/>
        </w:rPr>
        <w:t>dynamic range (EIDRTV) system</w:t>
      </w:r>
      <w:r w:rsidR="00B803FD">
        <w:rPr>
          <w:rFonts w:hint="eastAsia"/>
          <w:szCs w:val="22"/>
          <w:lang w:val="en-CA" w:eastAsia="ja-JP"/>
        </w:rPr>
        <w:t xml:space="preserve"> in order to meet the requirements for EIDRTV systems identified by ITU-R Working Party 6C. The proposed parameter values can be regarded as a simple extension to those for ultra high definition television (UHDTV) systems specified in Recommendation ITU-R BT.2020. O</w:t>
      </w:r>
      <w:r w:rsidR="00B803FD" w:rsidRPr="00E77065">
        <w:rPr>
          <w:szCs w:val="22"/>
          <w:lang w:val="en-CA"/>
        </w:rPr>
        <w:t xml:space="preserve">nly the nonlinear transfer function </w:t>
      </w:r>
      <w:r w:rsidR="00B803FD">
        <w:rPr>
          <w:rFonts w:hint="eastAsia"/>
          <w:szCs w:val="22"/>
          <w:lang w:val="en-CA" w:eastAsia="ja-JP"/>
        </w:rPr>
        <w:t xml:space="preserve">for relative scene luminance to video (OETF) </w:t>
      </w:r>
      <w:r w:rsidR="00B803FD" w:rsidRPr="00E77065">
        <w:rPr>
          <w:szCs w:val="22"/>
          <w:lang w:val="en-CA"/>
        </w:rPr>
        <w:t xml:space="preserve">has been modified associated with a new parameter “reference white level” </w:t>
      </w:r>
      <w:r w:rsidR="00A9161A" w:rsidRPr="00E77065">
        <w:rPr>
          <w:szCs w:val="22"/>
          <w:lang w:val="en-CA"/>
        </w:rPr>
        <w:t>to accommod</w:t>
      </w:r>
      <w:r w:rsidR="00A9161A">
        <w:rPr>
          <w:szCs w:val="22"/>
          <w:lang w:val="en-CA"/>
        </w:rPr>
        <w:t>ate higher dynamic range images</w:t>
      </w:r>
      <w:r w:rsidR="00A9161A">
        <w:rPr>
          <w:rFonts w:hint="eastAsia"/>
          <w:szCs w:val="22"/>
          <w:lang w:val="en-CA" w:eastAsia="ja-JP"/>
        </w:rPr>
        <w:t xml:space="preserve"> </w:t>
      </w:r>
      <w:r w:rsidR="00B803FD">
        <w:rPr>
          <w:rFonts w:hint="eastAsia"/>
          <w:szCs w:val="22"/>
          <w:lang w:val="en-CA" w:eastAsia="ja-JP"/>
        </w:rPr>
        <w:t>without changing the display</w:t>
      </w:r>
      <w:r w:rsidR="00B803FD">
        <w:rPr>
          <w:szCs w:val="22"/>
          <w:lang w:val="en-CA" w:eastAsia="ja-JP"/>
        </w:rPr>
        <w:t>’</w:t>
      </w:r>
      <w:r w:rsidR="00B803FD">
        <w:rPr>
          <w:rFonts w:hint="eastAsia"/>
          <w:szCs w:val="22"/>
          <w:lang w:val="en-CA" w:eastAsia="ja-JP"/>
        </w:rPr>
        <w:t xml:space="preserve">s </w:t>
      </w:r>
      <w:r w:rsidR="00B803FD" w:rsidRPr="00E77065">
        <w:rPr>
          <w:szCs w:val="22"/>
          <w:lang w:val="en-CA"/>
        </w:rPr>
        <w:t xml:space="preserve">nonlinear transfer function </w:t>
      </w:r>
      <w:r w:rsidR="00B803FD">
        <w:rPr>
          <w:rFonts w:hint="eastAsia"/>
          <w:szCs w:val="22"/>
          <w:lang w:val="en-CA" w:eastAsia="ja-JP"/>
        </w:rPr>
        <w:t xml:space="preserve">(EOTF). </w:t>
      </w:r>
      <w:r w:rsidR="00A9161A">
        <w:rPr>
          <w:rFonts w:hint="eastAsia"/>
          <w:szCs w:val="22"/>
          <w:lang w:val="en-GB" w:eastAsia="ja-JP"/>
        </w:rPr>
        <w:t>A</w:t>
      </w:r>
      <w:r w:rsidR="00B803FD">
        <w:rPr>
          <w:rFonts w:hint="eastAsia"/>
          <w:szCs w:val="22"/>
          <w:lang w:val="en-GB" w:eastAsia="ja-JP"/>
        </w:rPr>
        <w:t xml:space="preserve"> new entry </w:t>
      </w:r>
      <w:r w:rsidR="00A9161A">
        <w:rPr>
          <w:rFonts w:hint="eastAsia"/>
          <w:szCs w:val="22"/>
          <w:lang w:val="en-GB" w:eastAsia="ja-JP"/>
        </w:rPr>
        <w:t xml:space="preserve">to transfer characteristics of VUI parameter values is also proposed to signal </w:t>
      </w:r>
      <w:r w:rsidR="00B803FD" w:rsidRPr="00A17122">
        <w:rPr>
          <w:szCs w:val="22"/>
          <w:lang w:val="en-GB" w:eastAsia="ja-JP"/>
        </w:rPr>
        <w:t xml:space="preserve">the </w:t>
      </w:r>
      <w:r w:rsidR="00D41FC7">
        <w:rPr>
          <w:rFonts w:hint="eastAsia"/>
          <w:szCs w:val="22"/>
          <w:lang w:val="en-GB" w:eastAsia="ja-JP"/>
        </w:rPr>
        <w:t>proposed EIDRTV</w:t>
      </w:r>
      <w:r w:rsidR="00B803FD" w:rsidRPr="00A17122">
        <w:rPr>
          <w:szCs w:val="22"/>
          <w:lang w:val="en-GB" w:eastAsia="ja-JP"/>
        </w:rPr>
        <w:t>.</w:t>
      </w:r>
    </w:p>
    <w:p w:rsidR="00263398" w:rsidRPr="00B803FD" w:rsidRDefault="00263398" w:rsidP="009234A5">
      <w:pPr>
        <w:jc w:val="both"/>
        <w:rPr>
          <w:szCs w:val="22"/>
          <w:lang w:val="en-CA"/>
        </w:rPr>
      </w:pPr>
    </w:p>
    <w:p w:rsidR="00745F6B" w:rsidRPr="005B217D" w:rsidRDefault="00745F6B" w:rsidP="00E11923">
      <w:pPr>
        <w:pStyle w:val="1"/>
        <w:rPr>
          <w:lang w:val="en-CA"/>
        </w:rPr>
      </w:pPr>
      <w:r w:rsidRPr="005B217D">
        <w:rPr>
          <w:lang w:val="en-CA"/>
        </w:rPr>
        <w:t>Introduction</w:t>
      </w:r>
    </w:p>
    <w:p w:rsidR="00E77065" w:rsidRPr="00E77065" w:rsidRDefault="00E77065" w:rsidP="00E77065">
      <w:pPr>
        <w:jc w:val="both"/>
        <w:rPr>
          <w:szCs w:val="22"/>
          <w:lang w:val="en-CA"/>
        </w:rPr>
      </w:pPr>
      <w:r w:rsidRPr="00E77065">
        <w:rPr>
          <w:szCs w:val="22"/>
          <w:lang w:val="en-CA"/>
        </w:rPr>
        <w:t>Image systems with higher dynamic range and wider color gamut have been studying around the world and international standardization is also under way. MPEG has been studying implications of such systems on video coding systems and ITU-R has been studying baseband video systems.</w:t>
      </w:r>
    </w:p>
    <w:p w:rsidR="00E61DAC" w:rsidRDefault="00E77065" w:rsidP="00E77065">
      <w:pPr>
        <w:jc w:val="both"/>
        <w:rPr>
          <w:szCs w:val="22"/>
          <w:lang w:val="en-CA" w:eastAsia="ja-JP"/>
        </w:rPr>
      </w:pPr>
      <w:r w:rsidRPr="00E77065">
        <w:rPr>
          <w:szCs w:val="22"/>
          <w:lang w:val="en-CA"/>
        </w:rPr>
        <w:t xml:space="preserve">This document </w:t>
      </w:r>
      <w:r w:rsidR="00A17122">
        <w:rPr>
          <w:rFonts w:hint="eastAsia"/>
          <w:szCs w:val="22"/>
          <w:lang w:val="en-CA" w:eastAsia="ja-JP"/>
        </w:rPr>
        <w:t>presents</w:t>
      </w:r>
      <w:r w:rsidRPr="00E77065">
        <w:rPr>
          <w:szCs w:val="22"/>
          <w:lang w:val="en-CA"/>
        </w:rPr>
        <w:t xml:space="preserve"> NHK’s proposed parameter values for </w:t>
      </w:r>
      <w:r w:rsidR="00A17122">
        <w:rPr>
          <w:rFonts w:hint="eastAsia"/>
          <w:szCs w:val="22"/>
          <w:lang w:val="en-CA" w:eastAsia="ja-JP"/>
        </w:rPr>
        <w:t xml:space="preserve">an </w:t>
      </w:r>
      <w:r w:rsidRPr="00E77065">
        <w:rPr>
          <w:szCs w:val="22"/>
          <w:lang w:val="en-CA"/>
        </w:rPr>
        <w:t>extended imag</w:t>
      </w:r>
      <w:r w:rsidR="00A17122">
        <w:rPr>
          <w:szCs w:val="22"/>
          <w:lang w:val="en-CA"/>
        </w:rPr>
        <w:t>e dynamic range (EIDRTV) system</w:t>
      </w:r>
      <w:r w:rsidRPr="00E77065">
        <w:rPr>
          <w:szCs w:val="22"/>
          <w:lang w:val="en-CA"/>
        </w:rPr>
        <w:t xml:space="preserve">. Since our system has been proposed to ITU-R, the same terminology as used </w:t>
      </w:r>
      <w:r w:rsidR="00D41FC7">
        <w:rPr>
          <w:rFonts w:hint="eastAsia"/>
          <w:szCs w:val="22"/>
          <w:lang w:val="en-CA" w:eastAsia="ja-JP"/>
        </w:rPr>
        <w:t>by</w:t>
      </w:r>
      <w:r w:rsidRPr="00E77065">
        <w:rPr>
          <w:szCs w:val="22"/>
          <w:lang w:val="en-CA"/>
        </w:rPr>
        <w:t xml:space="preserve"> ITU-R Working Party 6C is used in this document.</w:t>
      </w:r>
    </w:p>
    <w:p w:rsidR="00E77065" w:rsidRPr="005B217D" w:rsidRDefault="00E77065" w:rsidP="00E77065">
      <w:pPr>
        <w:pStyle w:val="1"/>
        <w:rPr>
          <w:lang w:val="en-CA"/>
        </w:rPr>
      </w:pPr>
      <w:r>
        <w:rPr>
          <w:rFonts w:hint="eastAsia"/>
          <w:lang w:val="en-CA" w:eastAsia="ja-JP"/>
        </w:rPr>
        <w:t>P</w:t>
      </w:r>
      <w:r w:rsidRPr="00E77065">
        <w:rPr>
          <w:lang w:val="en-CA"/>
        </w:rPr>
        <w:t>roposal for EIDRTV system parameters</w:t>
      </w:r>
    </w:p>
    <w:p w:rsidR="00E77065" w:rsidRPr="00E77065" w:rsidRDefault="00E77065" w:rsidP="00E77065">
      <w:pPr>
        <w:pStyle w:val="2"/>
      </w:pPr>
      <w:r w:rsidRPr="00E77065">
        <w:t>Requirements for EIDRTV systems</w:t>
      </w:r>
    </w:p>
    <w:p w:rsidR="00E77065" w:rsidRPr="00E77065" w:rsidRDefault="00E77065" w:rsidP="00E77065">
      <w:pPr>
        <w:jc w:val="both"/>
        <w:rPr>
          <w:szCs w:val="22"/>
          <w:lang w:val="en-CA"/>
        </w:rPr>
      </w:pPr>
      <w:r w:rsidRPr="00E77065">
        <w:rPr>
          <w:szCs w:val="22"/>
          <w:lang w:val="en-CA"/>
        </w:rPr>
        <w:t xml:space="preserve">We used the following four major requirements for EIDRTV systems identified by ITU-R WP 6C to determine </w:t>
      </w:r>
      <w:r w:rsidR="00D41FC7">
        <w:rPr>
          <w:rFonts w:hint="eastAsia"/>
          <w:szCs w:val="22"/>
          <w:lang w:val="en-CA" w:eastAsia="ja-JP"/>
        </w:rPr>
        <w:t xml:space="preserve">the proposed </w:t>
      </w:r>
      <w:r w:rsidRPr="00E77065">
        <w:rPr>
          <w:szCs w:val="22"/>
          <w:lang w:val="en-CA"/>
        </w:rPr>
        <w:t>parameter values.</w:t>
      </w:r>
    </w:p>
    <w:p w:rsidR="00E77065" w:rsidRPr="00A17122" w:rsidRDefault="00E77065" w:rsidP="00E77065">
      <w:pPr>
        <w:jc w:val="both"/>
        <w:rPr>
          <w:i/>
          <w:szCs w:val="22"/>
          <w:lang w:val="en-CA"/>
        </w:rPr>
      </w:pPr>
      <w:r w:rsidRPr="00A17122">
        <w:rPr>
          <w:i/>
          <w:szCs w:val="22"/>
          <w:lang w:val="en-CA"/>
        </w:rPr>
        <w:t>Req. 1</w:t>
      </w:r>
      <w:r w:rsidRPr="00A17122">
        <w:rPr>
          <w:i/>
          <w:szCs w:val="22"/>
          <w:lang w:val="en-CA"/>
        </w:rPr>
        <w:tab/>
        <w:t>The system should be capable of producing a “step-change” improvement in viewer experience which can substantially increase brightness and detail in highlights, increase brightness and detail for diffuse reflecting objects while providing good detail in dark areas.</w:t>
      </w:r>
    </w:p>
    <w:p w:rsidR="00E77065" w:rsidRPr="00A17122" w:rsidRDefault="00E77065" w:rsidP="00E77065">
      <w:pPr>
        <w:jc w:val="both"/>
        <w:rPr>
          <w:i/>
          <w:szCs w:val="22"/>
          <w:lang w:val="en-CA"/>
        </w:rPr>
      </w:pPr>
      <w:r w:rsidRPr="00A17122">
        <w:rPr>
          <w:i/>
          <w:szCs w:val="22"/>
          <w:lang w:val="en-CA"/>
        </w:rPr>
        <w:t>Req. 2</w:t>
      </w:r>
      <w:r w:rsidRPr="00A17122">
        <w:rPr>
          <w:i/>
          <w:szCs w:val="22"/>
          <w:lang w:val="en-CA"/>
        </w:rPr>
        <w:tab/>
      </w:r>
      <w:proofErr w:type="gramStart"/>
      <w:r w:rsidRPr="00A17122">
        <w:rPr>
          <w:i/>
          <w:szCs w:val="22"/>
          <w:lang w:val="en-CA"/>
        </w:rPr>
        <w:t>The</w:t>
      </w:r>
      <w:proofErr w:type="gramEnd"/>
      <w:r w:rsidRPr="00A17122">
        <w:rPr>
          <w:i/>
          <w:szCs w:val="22"/>
          <w:lang w:val="en-CA"/>
        </w:rPr>
        <w:t xml:space="preserve"> system should have, where appropriate, a degree of compatibility with existing workflows and broadcaster (legacy) infrastructure. </w:t>
      </w:r>
    </w:p>
    <w:p w:rsidR="00E77065" w:rsidRPr="00A17122" w:rsidRDefault="00E77065" w:rsidP="00E77065">
      <w:pPr>
        <w:jc w:val="both"/>
        <w:rPr>
          <w:i/>
          <w:szCs w:val="22"/>
          <w:lang w:val="en-CA" w:eastAsia="ja-JP"/>
        </w:rPr>
      </w:pPr>
      <w:r w:rsidRPr="00A17122">
        <w:rPr>
          <w:i/>
          <w:szCs w:val="22"/>
          <w:lang w:val="en-CA"/>
        </w:rPr>
        <w:lastRenderedPageBreak/>
        <w:t>Req. 3</w:t>
      </w:r>
      <w:r w:rsidRPr="00A17122">
        <w:rPr>
          <w:i/>
          <w:szCs w:val="22"/>
          <w:lang w:val="en-CA"/>
        </w:rPr>
        <w:tab/>
      </w:r>
      <w:proofErr w:type="gramStart"/>
      <w:r w:rsidRPr="00A17122">
        <w:rPr>
          <w:i/>
          <w:szCs w:val="22"/>
          <w:lang w:val="en-CA"/>
        </w:rPr>
        <w:t>The</w:t>
      </w:r>
      <w:proofErr w:type="gramEnd"/>
      <w:r w:rsidRPr="00A17122">
        <w:rPr>
          <w:i/>
          <w:szCs w:val="22"/>
          <w:lang w:val="en-CA"/>
        </w:rPr>
        <w:t xml:space="preserve"> system should be applicable to a range of domestic viewing environments, preference and displays (including mobile and tablets) and be cost effective for </w:t>
      </w:r>
      <w:r w:rsidR="00A17122">
        <w:rPr>
          <w:i/>
          <w:szCs w:val="22"/>
          <w:lang w:val="en-CA"/>
        </w:rPr>
        <w:t>both consumers and broadcasters</w:t>
      </w:r>
      <w:r w:rsidR="00A17122">
        <w:rPr>
          <w:rFonts w:hint="eastAsia"/>
          <w:i/>
          <w:szCs w:val="22"/>
          <w:lang w:val="en-CA" w:eastAsia="ja-JP"/>
        </w:rPr>
        <w:t>.</w:t>
      </w:r>
    </w:p>
    <w:p w:rsidR="00E77065" w:rsidRPr="005B217D" w:rsidRDefault="00E77065" w:rsidP="00E77065">
      <w:pPr>
        <w:jc w:val="both"/>
        <w:rPr>
          <w:szCs w:val="22"/>
          <w:lang w:val="en-CA" w:eastAsia="ja-JP"/>
        </w:rPr>
      </w:pPr>
      <w:r w:rsidRPr="00A17122">
        <w:rPr>
          <w:i/>
          <w:szCs w:val="22"/>
          <w:lang w:val="en-CA"/>
        </w:rPr>
        <w:t>Req. 4</w:t>
      </w:r>
      <w:r w:rsidRPr="00A17122">
        <w:rPr>
          <w:i/>
          <w:szCs w:val="22"/>
          <w:lang w:val="en-CA"/>
        </w:rPr>
        <w:tab/>
        <w:t xml:space="preserve">The system should have a defined reference display and viewing environment in order that there is consistency of images that are </w:t>
      </w:r>
      <w:proofErr w:type="spellStart"/>
      <w:r w:rsidRPr="00A17122">
        <w:rPr>
          <w:i/>
          <w:szCs w:val="22"/>
          <w:lang w:val="en-CA"/>
        </w:rPr>
        <w:t>produced.Image</w:t>
      </w:r>
      <w:proofErr w:type="spellEnd"/>
      <w:r w:rsidRPr="00A17122">
        <w:rPr>
          <w:i/>
          <w:szCs w:val="22"/>
          <w:lang w:val="en-CA"/>
        </w:rPr>
        <w:t xml:space="preserve"> systems with higher dynamic range and wider color gamut have been studying around the world</w:t>
      </w:r>
      <w:r w:rsidR="00A17122">
        <w:rPr>
          <w:rFonts w:hint="eastAsia"/>
          <w:i/>
          <w:szCs w:val="22"/>
          <w:lang w:val="en-CA" w:eastAsia="ja-JP"/>
        </w:rPr>
        <w:t>.</w:t>
      </w:r>
    </w:p>
    <w:p w:rsidR="00E77065" w:rsidRPr="00E77065" w:rsidRDefault="00E77065" w:rsidP="00E77065">
      <w:pPr>
        <w:pStyle w:val="2"/>
      </w:pPr>
      <w:r w:rsidRPr="00E77065">
        <w:t>Proposed EIDRTV system parameter values</w:t>
      </w:r>
    </w:p>
    <w:p w:rsidR="001F2594" w:rsidRDefault="00E77065" w:rsidP="00E77065">
      <w:pPr>
        <w:jc w:val="both"/>
        <w:rPr>
          <w:szCs w:val="22"/>
          <w:lang w:val="en-CA" w:eastAsia="ja-JP"/>
        </w:rPr>
      </w:pPr>
      <w:r w:rsidRPr="00E77065">
        <w:rPr>
          <w:szCs w:val="22"/>
          <w:lang w:val="en-CA"/>
        </w:rPr>
        <w:t>A set of proposed parameter values is shown in Tables 1 through 4. We anticipate that EIDRTV will be introduced as an extension of UHDTV including 4K and 8K systems. In this respect, Tables 1, 2, 3 and 5 show the systems parameter values more or less identical to those specified in Recommendation ITU-R BT.2020. In Table 4, only the nonlinear transfer function has been modified associated with a new parameter “reference white level” to accommod</w:t>
      </w:r>
      <w:r>
        <w:rPr>
          <w:szCs w:val="22"/>
          <w:lang w:val="en-CA"/>
        </w:rPr>
        <w:t>ate higher dynamic range images</w:t>
      </w:r>
      <w:r>
        <w:rPr>
          <w:rFonts w:hint="eastAsia"/>
          <w:szCs w:val="22"/>
          <w:lang w:val="en-CA" w:eastAsia="ja-JP"/>
        </w:rPr>
        <w:t>.</w:t>
      </w:r>
    </w:p>
    <w:p w:rsidR="00E77065" w:rsidRPr="009312F0" w:rsidRDefault="00E77065" w:rsidP="00E77065">
      <w:pPr>
        <w:pStyle w:val="TableNo"/>
        <w:rPr>
          <w:lang w:eastAsia="ko-KR"/>
        </w:rPr>
      </w:pPr>
      <w:r w:rsidRPr="009312F0">
        <w:rPr>
          <w:lang w:eastAsia="ko-KR"/>
        </w:rPr>
        <w:t>TABLE 1</w:t>
      </w:r>
    </w:p>
    <w:p w:rsidR="00E77065" w:rsidRPr="00E77065" w:rsidRDefault="00E77065" w:rsidP="00E77065">
      <w:pPr>
        <w:pStyle w:val="Tabletitle"/>
      </w:pPr>
      <w:r w:rsidRPr="00E77065">
        <w:t>Picture spatial characteristics</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913"/>
        <w:gridCol w:w="6726"/>
      </w:tblGrid>
      <w:tr w:rsidR="00E77065" w:rsidRPr="009312F0" w:rsidTr="00E2139B">
        <w:trPr>
          <w:jc w:val="center"/>
        </w:trPr>
        <w:tc>
          <w:tcPr>
            <w:tcW w:w="2913" w:type="dxa"/>
            <w:vAlign w:val="center"/>
          </w:tcPr>
          <w:p w:rsidR="00E77065" w:rsidRPr="00773163" w:rsidRDefault="00E77065" w:rsidP="000F4AE9">
            <w:pPr>
              <w:pStyle w:val="Tablehead"/>
              <w:rPr>
                <w:sz w:val="22"/>
                <w:szCs w:val="22"/>
                <w:lang w:eastAsia="ko-KR"/>
              </w:rPr>
            </w:pPr>
            <w:r w:rsidRPr="00773163">
              <w:rPr>
                <w:sz w:val="22"/>
                <w:szCs w:val="22"/>
                <w:lang w:eastAsia="ko-KR"/>
              </w:rPr>
              <w:t>Parameter</w:t>
            </w:r>
          </w:p>
        </w:tc>
        <w:tc>
          <w:tcPr>
            <w:tcW w:w="6726" w:type="dxa"/>
            <w:vAlign w:val="center"/>
          </w:tcPr>
          <w:p w:rsidR="00E77065" w:rsidRPr="00773163" w:rsidRDefault="00E77065" w:rsidP="000F4AE9">
            <w:pPr>
              <w:pStyle w:val="Tablehead"/>
              <w:rPr>
                <w:sz w:val="22"/>
                <w:szCs w:val="22"/>
                <w:lang w:eastAsia="ko-KR"/>
              </w:rPr>
            </w:pPr>
            <w:r w:rsidRPr="00773163">
              <w:rPr>
                <w:sz w:val="22"/>
                <w:szCs w:val="22"/>
                <w:lang w:eastAsia="ko-KR"/>
              </w:rPr>
              <w:t>Values</w:t>
            </w:r>
          </w:p>
        </w:tc>
      </w:tr>
      <w:tr w:rsidR="00E77065" w:rsidRPr="009312F0" w:rsidTr="00E2139B">
        <w:trPr>
          <w:jc w:val="center"/>
        </w:trPr>
        <w:tc>
          <w:tcPr>
            <w:tcW w:w="2913" w:type="dxa"/>
            <w:vAlign w:val="center"/>
          </w:tcPr>
          <w:p w:rsidR="00E77065" w:rsidRPr="00773163" w:rsidRDefault="00E77065" w:rsidP="000F4AE9">
            <w:pPr>
              <w:pStyle w:val="Tabletext"/>
              <w:rPr>
                <w:sz w:val="22"/>
                <w:szCs w:val="22"/>
                <w:lang w:eastAsia="ko-KR"/>
              </w:rPr>
            </w:pPr>
            <w:r w:rsidRPr="00773163">
              <w:rPr>
                <w:sz w:val="22"/>
                <w:szCs w:val="22"/>
                <w:lang w:eastAsia="ko-KR"/>
              </w:rPr>
              <w:t>Picture aspect ratio</w:t>
            </w:r>
          </w:p>
        </w:tc>
        <w:tc>
          <w:tcPr>
            <w:tcW w:w="6726" w:type="dxa"/>
            <w:vAlign w:val="center"/>
          </w:tcPr>
          <w:p w:rsidR="00E77065" w:rsidRPr="00773163" w:rsidRDefault="00E77065" w:rsidP="000F4AE9">
            <w:pPr>
              <w:pStyle w:val="Tabletext"/>
              <w:jc w:val="center"/>
              <w:rPr>
                <w:sz w:val="22"/>
                <w:szCs w:val="22"/>
                <w:lang w:eastAsia="ko-KR"/>
              </w:rPr>
            </w:pPr>
            <w:r w:rsidRPr="00773163">
              <w:rPr>
                <w:sz w:val="22"/>
                <w:szCs w:val="22"/>
                <w:lang w:eastAsia="ko-KR"/>
              </w:rPr>
              <w:t>16:9</w:t>
            </w:r>
          </w:p>
        </w:tc>
      </w:tr>
      <w:tr w:rsidR="00E77065" w:rsidRPr="009312F0" w:rsidTr="00E2139B">
        <w:trPr>
          <w:jc w:val="center"/>
        </w:trPr>
        <w:tc>
          <w:tcPr>
            <w:tcW w:w="2913" w:type="dxa"/>
            <w:vAlign w:val="center"/>
          </w:tcPr>
          <w:p w:rsidR="00E77065" w:rsidRPr="00773163" w:rsidRDefault="00E77065" w:rsidP="000F4AE9">
            <w:pPr>
              <w:pStyle w:val="Tabletext"/>
              <w:rPr>
                <w:sz w:val="22"/>
                <w:szCs w:val="22"/>
                <w:lang w:eastAsia="ko-KR"/>
              </w:rPr>
            </w:pPr>
            <w:r w:rsidRPr="00773163">
              <w:rPr>
                <w:sz w:val="22"/>
                <w:szCs w:val="22"/>
                <w:lang w:eastAsia="ko-KR"/>
              </w:rPr>
              <w:t>Pixel count</w:t>
            </w:r>
          </w:p>
          <w:p w:rsidR="00E77065" w:rsidRPr="00773163" w:rsidRDefault="00E77065" w:rsidP="000F4AE9">
            <w:pPr>
              <w:pStyle w:val="Tabletext"/>
              <w:rPr>
                <w:sz w:val="22"/>
                <w:szCs w:val="22"/>
                <w:lang w:eastAsia="ja-JP"/>
              </w:rPr>
            </w:pPr>
            <w:r>
              <w:rPr>
                <w:rFonts w:hint="eastAsia"/>
                <w:sz w:val="22"/>
                <w:szCs w:val="22"/>
                <w:lang w:eastAsia="ja-JP"/>
              </w:rPr>
              <w:t>(h</w:t>
            </w:r>
            <w:r w:rsidRPr="00773163">
              <w:rPr>
                <w:sz w:val="22"/>
                <w:szCs w:val="22"/>
                <w:lang w:eastAsia="ko-KR"/>
              </w:rPr>
              <w:t>orizontal × vertical</w:t>
            </w:r>
            <w:r>
              <w:rPr>
                <w:rFonts w:hint="eastAsia"/>
                <w:sz w:val="22"/>
                <w:szCs w:val="22"/>
                <w:lang w:eastAsia="ja-JP"/>
              </w:rPr>
              <w:t>)</w:t>
            </w:r>
          </w:p>
        </w:tc>
        <w:tc>
          <w:tcPr>
            <w:tcW w:w="6726" w:type="dxa"/>
            <w:vAlign w:val="center"/>
          </w:tcPr>
          <w:p w:rsidR="00E77065" w:rsidRPr="00773163" w:rsidRDefault="00E77065" w:rsidP="000F4AE9">
            <w:pPr>
              <w:pStyle w:val="Tabletext"/>
              <w:jc w:val="center"/>
              <w:rPr>
                <w:sz w:val="22"/>
                <w:szCs w:val="22"/>
                <w:lang w:eastAsia="ko-KR"/>
              </w:rPr>
            </w:pPr>
            <w:r w:rsidRPr="00773163">
              <w:rPr>
                <w:sz w:val="22"/>
                <w:szCs w:val="22"/>
                <w:lang w:eastAsia="ko-KR"/>
              </w:rPr>
              <w:t xml:space="preserve">7 680 </w:t>
            </w:r>
            <w:r w:rsidRPr="00773163">
              <w:rPr>
                <w:sz w:val="22"/>
                <w:szCs w:val="22"/>
                <w:lang w:eastAsia="ja-JP"/>
              </w:rPr>
              <w:t>×</w:t>
            </w:r>
            <w:r w:rsidRPr="00773163">
              <w:rPr>
                <w:sz w:val="22"/>
                <w:szCs w:val="22"/>
                <w:lang w:eastAsia="ko-KR"/>
              </w:rPr>
              <w:t xml:space="preserve"> 4 320</w:t>
            </w:r>
          </w:p>
          <w:p w:rsidR="00E77065" w:rsidRPr="00773163" w:rsidRDefault="00E77065" w:rsidP="000F4AE9">
            <w:pPr>
              <w:pStyle w:val="Tabletext"/>
              <w:jc w:val="center"/>
              <w:rPr>
                <w:sz w:val="22"/>
                <w:szCs w:val="22"/>
                <w:lang w:eastAsia="ja-JP"/>
              </w:rPr>
            </w:pPr>
            <w:r w:rsidRPr="00773163">
              <w:rPr>
                <w:sz w:val="22"/>
                <w:szCs w:val="22"/>
                <w:lang w:eastAsia="ko-KR"/>
              </w:rPr>
              <w:t xml:space="preserve">3 840 </w:t>
            </w:r>
            <w:r w:rsidRPr="00773163">
              <w:rPr>
                <w:sz w:val="22"/>
                <w:szCs w:val="22"/>
                <w:lang w:eastAsia="ja-JP"/>
              </w:rPr>
              <w:t>×</w:t>
            </w:r>
            <w:r w:rsidRPr="00773163">
              <w:rPr>
                <w:sz w:val="22"/>
                <w:szCs w:val="22"/>
                <w:lang w:eastAsia="ko-KR"/>
              </w:rPr>
              <w:t xml:space="preserve"> 2 160</w:t>
            </w:r>
          </w:p>
        </w:tc>
      </w:tr>
      <w:tr w:rsidR="00E77065" w:rsidRPr="009312F0" w:rsidTr="00E2139B">
        <w:trPr>
          <w:jc w:val="center"/>
        </w:trPr>
        <w:tc>
          <w:tcPr>
            <w:tcW w:w="2913" w:type="dxa"/>
            <w:vAlign w:val="center"/>
          </w:tcPr>
          <w:p w:rsidR="00E77065" w:rsidRPr="00773163" w:rsidRDefault="00E77065" w:rsidP="000F4AE9">
            <w:pPr>
              <w:pStyle w:val="Tabletext"/>
              <w:rPr>
                <w:sz w:val="22"/>
                <w:szCs w:val="22"/>
                <w:lang w:eastAsia="ko-KR"/>
              </w:rPr>
            </w:pPr>
            <w:r w:rsidRPr="00773163">
              <w:rPr>
                <w:sz w:val="22"/>
                <w:szCs w:val="22"/>
                <w:lang w:eastAsia="ko-KR"/>
              </w:rPr>
              <w:t>Sampling lattice</w:t>
            </w:r>
          </w:p>
        </w:tc>
        <w:tc>
          <w:tcPr>
            <w:tcW w:w="6726" w:type="dxa"/>
            <w:vAlign w:val="center"/>
          </w:tcPr>
          <w:p w:rsidR="00E77065" w:rsidRPr="00773163" w:rsidRDefault="00E77065" w:rsidP="000F4AE9">
            <w:pPr>
              <w:pStyle w:val="Tabletext"/>
              <w:jc w:val="center"/>
              <w:rPr>
                <w:sz w:val="22"/>
                <w:szCs w:val="22"/>
                <w:lang w:eastAsia="ko-KR"/>
              </w:rPr>
            </w:pPr>
            <w:r w:rsidRPr="00773163">
              <w:rPr>
                <w:sz w:val="22"/>
                <w:szCs w:val="22"/>
                <w:lang w:eastAsia="ko-KR"/>
              </w:rPr>
              <w:t>Orthogonal</w:t>
            </w:r>
          </w:p>
        </w:tc>
      </w:tr>
      <w:tr w:rsidR="00E77065" w:rsidRPr="009312F0" w:rsidTr="00E2139B">
        <w:trPr>
          <w:jc w:val="center"/>
        </w:trPr>
        <w:tc>
          <w:tcPr>
            <w:tcW w:w="2913" w:type="dxa"/>
            <w:vAlign w:val="center"/>
          </w:tcPr>
          <w:p w:rsidR="00E77065" w:rsidRPr="00773163" w:rsidRDefault="00E77065" w:rsidP="000F4AE9">
            <w:pPr>
              <w:pStyle w:val="Tabletext"/>
              <w:rPr>
                <w:sz w:val="22"/>
                <w:szCs w:val="22"/>
                <w:lang w:eastAsia="ko-KR"/>
              </w:rPr>
            </w:pPr>
            <w:r w:rsidRPr="00773163">
              <w:rPr>
                <w:sz w:val="22"/>
                <w:szCs w:val="22"/>
                <w:lang w:eastAsia="ko-KR"/>
              </w:rPr>
              <w:t>Pixel aspect ratio</w:t>
            </w:r>
          </w:p>
        </w:tc>
        <w:tc>
          <w:tcPr>
            <w:tcW w:w="6726" w:type="dxa"/>
            <w:vAlign w:val="center"/>
          </w:tcPr>
          <w:p w:rsidR="00E77065" w:rsidRPr="00773163" w:rsidRDefault="00E77065" w:rsidP="000F4AE9">
            <w:pPr>
              <w:pStyle w:val="Tabletext"/>
              <w:jc w:val="center"/>
              <w:rPr>
                <w:sz w:val="22"/>
                <w:szCs w:val="22"/>
                <w:lang w:eastAsia="ko-KR"/>
              </w:rPr>
            </w:pPr>
            <w:r w:rsidRPr="00773163">
              <w:rPr>
                <w:sz w:val="22"/>
                <w:szCs w:val="22"/>
                <w:lang w:eastAsia="ko-KR"/>
              </w:rPr>
              <w:t>1:1 (square pixels)</w:t>
            </w:r>
          </w:p>
        </w:tc>
      </w:tr>
      <w:tr w:rsidR="00E77065" w:rsidRPr="009312F0" w:rsidTr="00E2139B">
        <w:trPr>
          <w:jc w:val="center"/>
        </w:trPr>
        <w:tc>
          <w:tcPr>
            <w:tcW w:w="2913" w:type="dxa"/>
            <w:vAlign w:val="center"/>
          </w:tcPr>
          <w:p w:rsidR="00E77065" w:rsidRPr="00773163" w:rsidRDefault="00E77065" w:rsidP="000F4AE9">
            <w:pPr>
              <w:pStyle w:val="Tabletext"/>
              <w:rPr>
                <w:sz w:val="22"/>
                <w:szCs w:val="22"/>
                <w:lang w:eastAsia="ko-KR"/>
              </w:rPr>
            </w:pPr>
            <w:r w:rsidRPr="00773163">
              <w:rPr>
                <w:sz w:val="22"/>
                <w:szCs w:val="22"/>
                <w:lang w:eastAsia="ko-KR"/>
              </w:rPr>
              <w:t>Pixel addressing</w:t>
            </w:r>
          </w:p>
        </w:tc>
        <w:tc>
          <w:tcPr>
            <w:tcW w:w="6726" w:type="dxa"/>
            <w:vAlign w:val="center"/>
          </w:tcPr>
          <w:p w:rsidR="00E77065" w:rsidRPr="00773163" w:rsidRDefault="00E77065" w:rsidP="000F4AE9">
            <w:pPr>
              <w:pStyle w:val="Tabletext"/>
              <w:rPr>
                <w:sz w:val="22"/>
                <w:szCs w:val="22"/>
                <w:lang w:eastAsia="ja-JP"/>
              </w:rPr>
            </w:pPr>
            <w:r w:rsidRPr="00773163">
              <w:rPr>
                <w:sz w:val="22"/>
                <w:szCs w:val="22"/>
                <w:lang w:eastAsia="ko-KR"/>
              </w:rPr>
              <w:t>Pixel ordering in each row is from left to right</w:t>
            </w:r>
            <w:r w:rsidRPr="00773163">
              <w:rPr>
                <w:sz w:val="22"/>
                <w:szCs w:val="22"/>
                <w:lang w:eastAsia="ja-JP"/>
              </w:rPr>
              <w:t>,</w:t>
            </w:r>
            <w:r w:rsidRPr="00773163">
              <w:rPr>
                <w:sz w:val="22"/>
                <w:szCs w:val="22"/>
                <w:lang w:eastAsia="ko-KR"/>
              </w:rPr>
              <w:t xml:space="preserve"> and rows are ordered from top to bottom</w:t>
            </w:r>
            <w:r w:rsidRPr="00773163">
              <w:rPr>
                <w:sz w:val="22"/>
                <w:szCs w:val="22"/>
                <w:lang w:eastAsia="ja-JP"/>
              </w:rPr>
              <w:t>.</w:t>
            </w:r>
          </w:p>
        </w:tc>
      </w:tr>
    </w:tbl>
    <w:p w:rsidR="00E77065" w:rsidRPr="00E77065" w:rsidRDefault="00E77065" w:rsidP="00E77065">
      <w:pPr>
        <w:pStyle w:val="TableNo"/>
      </w:pPr>
      <w:r w:rsidRPr="00E77065">
        <w:t>TABLE 2</w:t>
      </w:r>
    </w:p>
    <w:p w:rsidR="00E77065" w:rsidRPr="009312F0" w:rsidRDefault="00E77065" w:rsidP="00E77065">
      <w:pPr>
        <w:pStyle w:val="Tabletitle"/>
        <w:keepNext w:val="0"/>
        <w:rPr>
          <w:lang w:eastAsia="ko-KR"/>
        </w:rPr>
      </w:pPr>
      <w:r w:rsidRPr="009312F0">
        <w:rPr>
          <w:lang w:eastAsia="ko-KR"/>
        </w:rPr>
        <w:t>Picture temporal characteristics</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913"/>
        <w:gridCol w:w="6726"/>
      </w:tblGrid>
      <w:tr w:rsidR="00E77065" w:rsidRPr="009312F0" w:rsidTr="000F4AE9">
        <w:trPr>
          <w:jc w:val="center"/>
        </w:trPr>
        <w:tc>
          <w:tcPr>
            <w:tcW w:w="2826" w:type="dxa"/>
            <w:vAlign w:val="center"/>
          </w:tcPr>
          <w:p w:rsidR="00E77065" w:rsidRPr="00773163" w:rsidRDefault="00E77065" w:rsidP="000F4AE9">
            <w:pPr>
              <w:pStyle w:val="Tablehead"/>
              <w:keepNext w:val="0"/>
              <w:rPr>
                <w:sz w:val="22"/>
                <w:szCs w:val="22"/>
                <w:lang w:eastAsia="ko-KR"/>
              </w:rPr>
            </w:pPr>
            <w:r w:rsidRPr="00773163">
              <w:rPr>
                <w:sz w:val="22"/>
                <w:szCs w:val="22"/>
                <w:lang w:eastAsia="ko-KR"/>
              </w:rPr>
              <w:t>Parameter</w:t>
            </w:r>
          </w:p>
        </w:tc>
        <w:tc>
          <w:tcPr>
            <w:tcW w:w="6524" w:type="dxa"/>
            <w:vAlign w:val="center"/>
          </w:tcPr>
          <w:p w:rsidR="00E77065" w:rsidRPr="00773163" w:rsidRDefault="00E77065" w:rsidP="000F4AE9">
            <w:pPr>
              <w:pStyle w:val="Tablehead"/>
              <w:keepNext w:val="0"/>
              <w:rPr>
                <w:sz w:val="22"/>
                <w:szCs w:val="22"/>
                <w:lang w:eastAsia="ko-KR"/>
              </w:rPr>
            </w:pPr>
            <w:r w:rsidRPr="00773163">
              <w:rPr>
                <w:sz w:val="22"/>
                <w:szCs w:val="22"/>
                <w:lang w:eastAsia="ko-KR"/>
              </w:rPr>
              <w:t>Values</w:t>
            </w:r>
          </w:p>
        </w:tc>
      </w:tr>
      <w:tr w:rsidR="00E77065" w:rsidRPr="009312F0" w:rsidTr="000F4AE9">
        <w:trPr>
          <w:jc w:val="center"/>
        </w:trPr>
        <w:tc>
          <w:tcPr>
            <w:tcW w:w="2826" w:type="dxa"/>
            <w:vAlign w:val="center"/>
          </w:tcPr>
          <w:p w:rsidR="00E77065" w:rsidRPr="00773163" w:rsidRDefault="00E77065" w:rsidP="000F4AE9">
            <w:pPr>
              <w:pStyle w:val="Tabletext"/>
              <w:rPr>
                <w:sz w:val="22"/>
                <w:szCs w:val="22"/>
                <w:lang w:eastAsia="ja-JP"/>
              </w:rPr>
            </w:pPr>
            <w:r w:rsidRPr="00773163">
              <w:rPr>
                <w:sz w:val="22"/>
                <w:szCs w:val="22"/>
                <w:lang w:eastAsia="ko-KR"/>
              </w:rPr>
              <w:t xml:space="preserve">Frame frequency </w:t>
            </w:r>
            <w:r w:rsidRPr="00773163">
              <w:rPr>
                <w:sz w:val="22"/>
                <w:szCs w:val="22"/>
                <w:lang w:eastAsia="ja-JP"/>
              </w:rPr>
              <w:t>(</w:t>
            </w:r>
            <w:r w:rsidRPr="00773163">
              <w:rPr>
                <w:sz w:val="22"/>
                <w:szCs w:val="22"/>
                <w:lang w:eastAsia="ko-KR"/>
              </w:rPr>
              <w:t>Hz</w:t>
            </w:r>
            <w:r w:rsidRPr="00773163">
              <w:rPr>
                <w:sz w:val="22"/>
                <w:szCs w:val="22"/>
                <w:lang w:eastAsia="ja-JP"/>
              </w:rPr>
              <w:t>)</w:t>
            </w:r>
          </w:p>
        </w:tc>
        <w:tc>
          <w:tcPr>
            <w:tcW w:w="6524" w:type="dxa"/>
            <w:vAlign w:val="center"/>
          </w:tcPr>
          <w:p w:rsidR="00E77065" w:rsidRPr="00773163" w:rsidRDefault="00E77065" w:rsidP="000F4AE9">
            <w:pPr>
              <w:pStyle w:val="Tabletext"/>
              <w:jc w:val="center"/>
              <w:rPr>
                <w:sz w:val="22"/>
                <w:szCs w:val="22"/>
                <w:lang w:eastAsia="ja-JP"/>
              </w:rPr>
            </w:pPr>
            <w:r w:rsidRPr="00773163">
              <w:rPr>
                <w:sz w:val="22"/>
                <w:szCs w:val="22"/>
                <w:lang w:eastAsia="ko-KR"/>
              </w:rPr>
              <w:t>120, 120/1.001, 100, 60, 60/1.001, 50, 48, 48/1.001, 30, 30/1.001, 25, 24, 24/1.001</w:t>
            </w:r>
          </w:p>
        </w:tc>
      </w:tr>
      <w:tr w:rsidR="00E77065" w:rsidRPr="009312F0" w:rsidTr="000F4AE9">
        <w:trPr>
          <w:jc w:val="center"/>
        </w:trPr>
        <w:tc>
          <w:tcPr>
            <w:tcW w:w="2826" w:type="dxa"/>
            <w:vAlign w:val="center"/>
          </w:tcPr>
          <w:p w:rsidR="00E77065" w:rsidRPr="00773163" w:rsidRDefault="00E77065" w:rsidP="000F4AE9">
            <w:pPr>
              <w:pStyle w:val="Tabletext"/>
              <w:rPr>
                <w:sz w:val="22"/>
                <w:szCs w:val="22"/>
                <w:lang w:eastAsia="ko-KR"/>
              </w:rPr>
            </w:pPr>
            <w:r w:rsidRPr="00773163">
              <w:rPr>
                <w:sz w:val="22"/>
                <w:szCs w:val="22"/>
                <w:lang w:eastAsia="ko-KR"/>
              </w:rPr>
              <w:t>Scan mode</w:t>
            </w:r>
          </w:p>
        </w:tc>
        <w:tc>
          <w:tcPr>
            <w:tcW w:w="6524" w:type="dxa"/>
            <w:vAlign w:val="center"/>
          </w:tcPr>
          <w:p w:rsidR="00E77065" w:rsidRPr="00773163" w:rsidRDefault="00E77065" w:rsidP="000F4AE9">
            <w:pPr>
              <w:pStyle w:val="Tabletext"/>
              <w:jc w:val="center"/>
              <w:rPr>
                <w:sz w:val="22"/>
                <w:szCs w:val="22"/>
                <w:lang w:eastAsia="ja-JP"/>
              </w:rPr>
            </w:pPr>
            <w:r w:rsidRPr="00773163">
              <w:rPr>
                <w:sz w:val="22"/>
                <w:szCs w:val="22"/>
                <w:lang w:eastAsia="ko-KR"/>
              </w:rPr>
              <w:t>Progressive</w:t>
            </w:r>
          </w:p>
        </w:tc>
      </w:tr>
    </w:tbl>
    <w:p w:rsidR="00E77065" w:rsidRPr="00E77065" w:rsidRDefault="00E2139B" w:rsidP="00E2139B">
      <w:pPr>
        <w:pStyle w:val="Tabletitle"/>
      </w:pPr>
      <w:r>
        <w:br w:type="page"/>
      </w:r>
      <w:r w:rsidR="00E77065" w:rsidRPr="00E77065">
        <w:lastRenderedPageBreak/>
        <w:t>TABLE 3</w:t>
      </w:r>
    </w:p>
    <w:p w:rsidR="00E77065" w:rsidRPr="001331F7" w:rsidRDefault="00E77065" w:rsidP="00E77065">
      <w:pPr>
        <w:pStyle w:val="Tabletitle"/>
        <w:rPr>
          <w:lang w:eastAsia="ja-JP"/>
        </w:rPr>
      </w:pPr>
      <w:r w:rsidRPr="009312F0">
        <w:rPr>
          <w:lang w:eastAsia="ko-KR"/>
        </w:rPr>
        <w:t xml:space="preserve">System </w:t>
      </w:r>
      <w:proofErr w:type="spellStart"/>
      <w:r w:rsidRPr="009312F0">
        <w:rPr>
          <w:lang w:eastAsia="ko-KR"/>
        </w:rPr>
        <w:t>colorimetry</w:t>
      </w:r>
      <w:proofErr w:type="spellEnd"/>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824"/>
        <w:gridCol w:w="2706"/>
        <w:gridCol w:w="2122"/>
        <w:gridCol w:w="1881"/>
      </w:tblGrid>
      <w:tr w:rsidR="00E77065" w:rsidRPr="009312F0" w:rsidTr="000F4AE9">
        <w:trPr>
          <w:jc w:val="center"/>
        </w:trPr>
        <w:tc>
          <w:tcPr>
            <w:tcW w:w="2824" w:type="dxa"/>
            <w:vAlign w:val="center"/>
          </w:tcPr>
          <w:p w:rsidR="00E77065" w:rsidRPr="00773163" w:rsidRDefault="00E77065" w:rsidP="000F4AE9">
            <w:pPr>
              <w:pStyle w:val="Tablehead"/>
              <w:rPr>
                <w:sz w:val="22"/>
                <w:szCs w:val="22"/>
              </w:rPr>
            </w:pPr>
            <w:r w:rsidRPr="00773163">
              <w:rPr>
                <w:sz w:val="22"/>
                <w:szCs w:val="22"/>
              </w:rPr>
              <w:t>Parameter</w:t>
            </w:r>
          </w:p>
        </w:tc>
        <w:tc>
          <w:tcPr>
            <w:tcW w:w="6709" w:type="dxa"/>
            <w:gridSpan w:val="3"/>
            <w:vAlign w:val="center"/>
          </w:tcPr>
          <w:p w:rsidR="00E77065" w:rsidRPr="00773163" w:rsidRDefault="00E77065" w:rsidP="000F4AE9">
            <w:pPr>
              <w:pStyle w:val="Tablehead"/>
              <w:rPr>
                <w:sz w:val="22"/>
                <w:szCs w:val="22"/>
              </w:rPr>
            </w:pPr>
            <w:r w:rsidRPr="00773163">
              <w:rPr>
                <w:sz w:val="22"/>
                <w:szCs w:val="22"/>
              </w:rPr>
              <w:t>Values</w:t>
            </w:r>
          </w:p>
        </w:tc>
      </w:tr>
      <w:tr w:rsidR="00E77065" w:rsidRPr="009312F0" w:rsidTr="00E2139B">
        <w:trPr>
          <w:jc w:val="center"/>
        </w:trPr>
        <w:tc>
          <w:tcPr>
            <w:tcW w:w="2824" w:type="dxa"/>
            <w:vAlign w:val="center"/>
          </w:tcPr>
          <w:p w:rsidR="00E77065" w:rsidRPr="00773163" w:rsidRDefault="00E77065" w:rsidP="000F4AE9">
            <w:pPr>
              <w:pStyle w:val="Tabletext"/>
              <w:rPr>
                <w:sz w:val="22"/>
                <w:szCs w:val="22"/>
                <w:lang w:val="en-US" w:eastAsia="ja-JP"/>
              </w:rPr>
            </w:pPr>
            <w:proofErr w:type="spellStart"/>
            <w:r w:rsidRPr="00773163">
              <w:rPr>
                <w:sz w:val="22"/>
                <w:szCs w:val="22"/>
                <w:lang w:val="en-US" w:eastAsia="ko-KR"/>
              </w:rPr>
              <w:t>Opto</w:t>
            </w:r>
            <w:proofErr w:type="spellEnd"/>
            <w:r w:rsidRPr="00773163">
              <w:rPr>
                <w:sz w:val="22"/>
                <w:szCs w:val="22"/>
                <w:lang w:val="en-US" w:eastAsia="ko-KR"/>
              </w:rPr>
              <w:t>-electronic transfer</w:t>
            </w:r>
            <w:r w:rsidRPr="00773163">
              <w:rPr>
                <w:sz w:val="22"/>
                <w:szCs w:val="22"/>
                <w:lang w:val="en-US" w:eastAsia="ko-KR"/>
              </w:rPr>
              <w:br/>
            </w:r>
            <w:r w:rsidRPr="00773163">
              <w:rPr>
                <w:sz w:val="22"/>
                <w:szCs w:val="22"/>
                <w:lang w:val="en-US"/>
              </w:rPr>
              <w:t>characteristics</w:t>
            </w:r>
            <w:r w:rsidRPr="00773163">
              <w:rPr>
                <w:sz w:val="22"/>
                <w:szCs w:val="22"/>
                <w:lang w:val="en-US" w:eastAsia="ko-KR"/>
              </w:rPr>
              <w:t xml:space="preserve"> before</w:t>
            </w:r>
            <w:r w:rsidRPr="00773163">
              <w:rPr>
                <w:sz w:val="22"/>
                <w:szCs w:val="22"/>
                <w:lang w:val="en-US" w:eastAsia="ko-KR"/>
              </w:rPr>
              <w:br/>
              <w:t>non-linear pre-correction</w:t>
            </w:r>
          </w:p>
        </w:tc>
        <w:tc>
          <w:tcPr>
            <w:tcW w:w="6709" w:type="dxa"/>
            <w:gridSpan w:val="3"/>
            <w:vAlign w:val="center"/>
          </w:tcPr>
          <w:p w:rsidR="00E77065" w:rsidRPr="00773163" w:rsidRDefault="00E77065" w:rsidP="000F4AE9">
            <w:pPr>
              <w:pStyle w:val="Tabletext"/>
              <w:jc w:val="center"/>
              <w:rPr>
                <w:sz w:val="22"/>
                <w:szCs w:val="22"/>
                <w:lang w:eastAsia="ja-JP"/>
              </w:rPr>
            </w:pPr>
            <w:r w:rsidRPr="00773163">
              <w:rPr>
                <w:rFonts w:eastAsia="GulimChe"/>
                <w:sz w:val="22"/>
                <w:szCs w:val="22"/>
              </w:rPr>
              <w:t>Assumed</w:t>
            </w:r>
            <w:r w:rsidRPr="00773163">
              <w:rPr>
                <w:rFonts w:eastAsia="GulimChe"/>
                <w:sz w:val="22"/>
                <w:szCs w:val="22"/>
                <w:lang w:eastAsia="ko-KR"/>
              </w:rPr>
              <w:t xml:space="preserve"> linear</w:t>
            </w:r>
            <w:r>
              <w:rPr>
                <w:rFonts w:eastAsiaTheme="minorEastAsia" w:hint="eastAsia"/>
                <w:sz w:val="22"/>
                <w:szCs w:val="22"/>
                <w:lang w:eastAsia="ja-JP"/>
              </w:rPr>
              <w:t xml:space="preserve"> </w:t>
            </w:r>
            <w:r w:rsidRPr="00773163">
              <w:rPr>
                <w:rFonts w:eastAsia="GulimChe"/>
                <w:sz w:val="22"/>
                <w:szCs w:val="22"/>
                <w:vertAlign w:val="superscript"/>
                <w:lang w:eastAsia="ko-KR"/>
              </w:rPr>
              <w:t>1</w:t>
            </w:r>
          </w:p>
        </w:tc>
      </w:tr>
      <w:tr w:rsidR="00E77065" w:rsidRPr="009312F0" w:rsidTr="00E2139B">
        <w:trPr>
          <w:jc w:val="center"/>
        </w:trPr>
        <w:tc>
          <w:tcPr>
            <w:tcW w:w="2824" w:type="dxa"/>
            <w:vMerge w:val="restart"/>
            <w:vAlign w:val="center"/>
          </w:tcPr>
          <w:p w:rsidR="00E77065" w:rsidRPr="00773163" w:rsidRDefault="00E77065" w:rsidP="000F4AE9">
            <w:pPr>
              <w:pStyle w:val="Tabletext"/>
              <w:rPr>
                <w:sz w:val="22"/>
                <w:szCs w:val="22"/>
                <w:lang w:val="en-US" w:eastAsia="ko-KR"/>
              </w:rPr>
            </w:pPr>
            <w:r w:rsidRPr="00773163">
              <w:rPr>
                <w:sz w:val="22"/>
                <w:szCs w:val="22"/>
                <w:lang w:val="en-US" w:eastAsia="ko-KR"/>
              </w:rPr>
              <w:t xml:space="preserve">Primary </w:t>
            </w:r>
            <w:proofErr w:type="spellStart"/>
            <w:r w:rsidRPr="00773163">
              <w:rPr>
                <w:sz w:val="22"/>
                <w:szCs w:val="22"/>
                <w:lang w:val="en-US"/>
              </w:rPr>
              <w:t>colours</w:t>
            </w:r>
            <w:proofErr w:type="spellEnd"/>
            <w:r w:rsidRPr="00773163">
              <w:rPr>
                <w:sz w:val="22"/>
                <w:szCs w:val="22"/>
                <w:lang w:val="en-US" w:eastAsia="ko-KR"/>
              </w:rPr>
              <w:t xml:space="preserve"> and reference white</w:t>
            </w:r>
            <w:r>
              <w:rPr>
                <w:rFonts w:hint="eastAsia"/>
                <w:sz w:val="22"/>
                <w:szCs w:val="22"/>
                <w:lang w:val="en-US" w:eastAsia="ja-JP"/>
              </w:rPr>
              <w:t xml:space="preserve"> </w:t>
            </w:r>
            <w:r w:rsidRPr="00773163">
              <w:rPr>
                <w:sz w:val="22"/>
                <w:szCs w:val="22"/>
                <w:vertAlign w:val="superscript"/>
                <w:lang w:val="en-US" w:eastAsia="ko-KR"/>
              </w:rPr>
              <w:t>2</w:t>
            </w:r>
          </w:p>
        </w:tc>
        <w:tc>
          <w:tcPr>
            <w:tcW w:w="2706" w:type="dxa"/>
            <w:vAlign w:val="center"/>
          </w:tcPr>
          <w:p w:rsidR="00E77065" w:rsidRPr="00773163" w:rsidRDefault="00E77065" w:rsidP="000F4AE9">
            <w:pPr>
              <w:pStyle w:val="Tabletext"/>
              <w:jc w:val="center"/>
              <w:rPr>
                <w:sz w:val="22"/>
                <w:szCs w:val="22"/>
              </w:rPr>
            </w:pPr>
            <w:r w:rsidRPr="00773163">
              <w:rPr>
                <w:sz w:val="22"/>
                <w:szCs w:val="22"/>
              </w:rPr>
              <w:t>Chromaticity coordinates</w:t>
            </w:r>
            <w:r w:rsidRPr="00773163">
              <w:rPr>
                <w:sz w:val="22"/>
                <w:szCs w:val="22"/>
              </w:rPr>
              <w:br/>
              <w:t>(CIE, 1931)</w:t>
            </w:r>
          </w:p>
        </w:tc>
        <w:tc>
          <w:tcPr>
            <w:tcW w:w="2122" w:type="dxa"/>
            <w:vAlign w:val="center"/>
          </w:tcPr>
          <w:p w:rsidR="00E77065" w:rsidRPr="00773163" w:rsidRDefault="00E77065" w:rsidP="000F4AE9">
            <w:pPr>
              <w:pStyle w:val="Tabletext"/>
              <w:jc w:val="center"/>
              <w:rPr>
                <w:rFonts w:eastAsia="Gulim"/>
                <w:sz w:val="22"/>
                <w:szCs w:val="22"/>
              </w:rPr>
            </w:pPr>
            <w:r w:rsidRPr="00773163">
              <w:rPr>
                <w:rFonts w:eastAsia="GulimChe"/>
                <w:sz w:val="22"/>
                <w:szCs w:val="22"/>
              </w:rPr>
              <w:t>x</w:t>
            </w:r>
          </w:p>
        </w:tc>
        <w:tc>
          <w:tcPr>
            <w:tcW w:w="1881" w:type="dxa"/>
            <w:vAlign w:val="center"/>
          </w:tcPr>
          <w:p w:rsidR="00E77065" w:rsidRPr="00773163" w:rsidRDefault="00E77065" w:rsidP="000F4AE9">
            <w:pPr>
              <w:pStyle w:val="Tabletext"/>
              <w:jc w:val="center"/>
              <w:rPr>
                <w:rFonts w:eastAsia="Gulim"/>
                <w:sz w:val="22"/>
                <w:szCs w:val="22"/>
              </w:rPr>
            </w:pPr>
            <w:r w:rsidRPr="00773163">
              <w:rPr>
                <w:rFonts w:eastAsia="GulimChe"/>
                <w:sz w:val="22"/>
                <w:szCs w:val="22"/>
              </w:rPr>
              <w:t>y</w:t>
            </w:r>
          </w:p>
        </w:tc>
      </w:tr>
      <w:tr w:rsidR="00E77065" w:rsidRPr="009312F0" w:rsidTr="00E2139B">
        <w:trPr>
          <w:jc w:val="center"/>
        </w:trPr>
        <w:tc>
          <w:tcPr>
            <w:tcW w:w="2824" w:type="dxa"/>
            <w:vMerge/>
            <w:vAlign w:val="center"/>
          </w:tcPr>
          <w:p w:rsidR="00E77065" w:rsidRPr="00773163" w:rsidRDefault="00E77065" w:rsidP="000F4AE9">
            <w:pPr>
              <w:pStyle w:val="Tabletext"/>
              <w:rPr>
                <w:sz w:val="22"/>
                <w:szCs w:val="22"/>
                <w:lang w:eastAsia="ko-KR"/>
              </w:rPr>
            </w:pPr>
          </w:p>
        </w:tc>
        <w:tc>
          <w:tcPr>
            <w:tcW w:w="2706" w:type="dxa"/>
            <w:vAlign w:val="center"/>
          </w:tcPr>
          <w:p w:rsidR="00E77065" w:rsidRPr="00773163" w:rsidRDefault="00E77065" w:rsidP="000F4AE9">
            <w:pPr>
              <w:pStyle w:val="Tabletext"/>
              <w:jc w:val="center"/>
              <w:rPr>
                <w:rFonts w:eastAsia="Gulim"/>
                <w:sz w:val="22"/>
                <w:szCs w:val="22"/>
              </w:rPr>
            </w:pPr>
            <w:r w:rsidRPr="00773163">
              <w:rPr>
                <w:rFonts w:eastAsia="GulimChe"/>
                <w:sz w:val="22"/>
                <w:szCs w:val="22"/>
              </w:rPr>
              <w:t>Red primary (R)</w:t>
            </w:r>
          </w:p>
        </w:tc>
        <w:tc>
          <w:tcPr>
            <w:tcW w:w="2122" w:type="dxa"/>
            <w:vAlign w:val="center"/>
          </w:tcPr>
          <w:p w:rsidR="00E77065" w:rsidRPr="00773163" w:rsidRDefault="00E77065" w:rsidP="000F4AE9">
            <w:pPr>
              <w:pStyle w:val="Tabletext"/>
              <w:jc w:val="center"/>
              <w:rPr>
                <w:sz w:val="22"/>
                <w:szCs w:val="22"/>
              </w:rPr>
            </w:pPr>
            <w:r w:rsidRPr="00773163">
              <w:rPr>
                <w:rFonts w:eastAsia="GulimChe"/>
                <w:sz w:val="22"/>
                <w:szCs w:val="22"/>
              </w:rPr>
              <w:t>0.70</w:t>
            </w:r>
            <w:r w:rsidRPr="00773163">
              <w:rPr>
                <w:sz w:val="22"/>
                <w:szCs w:val="22"/>
              </w:rPr>
              <w:t>8</w:t>
            </w:r>
          </w:p>
        </w:tc>
        <w:tc>
          <w:tcPr>
            <w:tcW w:w="1881" w:type="dxa"/>
            <w:vAlign w:val="center"/>
          </w:tcPr>
          <w:p w:rsidR="00E77065" w:rsidRPr="00773163" w:rsidRDefault="00E77065" w:rsidP="000F4AE9">
            <w:pPr>
              <w:pStyle w:val="Tabletext"/>
              <w:jc w:val="center"/>
              <w:rPr>
                <w:sz w:val="22"/>
                <w:szCs w:val="22"/>
              </w:rPr>
            </w:pPr>
            <w:r w:rsidRPr="00773163">
              <w:rPr>
                <w:rFonts w:eastAsia="GulimChe"/>
                <w:sz w:val="22"/>
                <w:szCs w:val="22"/>
              </w:rPr>
              <w:t>0.292</w:t>
            </w:r>
          </w:p>
        </w:tc>
      </w:tr>
      <w:tr w:rsidR="00E77065" w:rsidRPr="009312F0" w:rsidTr="00E2139B">
        <w:trPr>
          <w:jc w:val="center"/>
        </w:trPr>
        <w:tc>
          <w:tcPr>
            <w:tcW w:w="2824" w:type="dxa"/>
            <w:vMerge/>
            <w:vAlign w:val="center"/>
          </w:tcPr>
          <w:p w:rsidR="00E77065" w:rsidRPr="00773163" w:rsidRDefault="00E77065" w:rsidP="000F4AE9">
            <w:pPr>
              <w:pStyle w:val="Tabletext"/>
              <w:rPr>
                <w:sz w:val="22"/>
                <w:szCs w:val="22"/>
                <w:lang w:eastAsia="ko-KR"/>
              </w:rPr>
            </w:pPr>
          </w:p>
        </w:tc>
        <w:tc>
          <w:tcPr>
            <w:tcW w:w="2706" w:type="dxa"/>
            <w:vAlign w:val="center"/>
          </w:tcPr>
          <w:p w:rsidR="00E77065" w:rsidRPr="00773163" w:rsidRDefault="00E77065" w:rsidP="000F4AE9">
            <w:pPr>
              <w:pStyle w:val="Tabletext"/>
              <w:jc w:val="center"/>
              <w:rPr>
                <w:rFonts w:eastAsia="Gulim"/>
                <w:sz w:val="22"/>
                <w:szCs w:val="22"/>
              </w:rPr>
            </w:pPr>
            <w:r w:rsidRPr="00773163">
              <w:rPr>
                <w:rFonts w:eastAsia="GulimChe"/>
                <w:sz w:val="22"/>
                <w:szCs w:val="22"/>
              </w:rPr>
              <w:t>Green primary (G)</w:t>
            </w:r>
          </w:p>
        </w:tc>
        <w:tc>
          <w:tcPr>
            <w:tcW w:w="2122" w:type="dxa"/>
            <w:vAlign w:val="center"/>
          </w:tcPr>
          <w:p w:rsidR="00E77065" w:rsidRPr="00773163" w:rsidRDefault="00E77065" w:rsidP="000F4AE9">
            <w:pPr>
              <w:pStyle w:val="Tabletext"/>
              <w:jc w:val="center"/>
              <w:rPr>
                <w:sz w:val="22"/>
                <w:szCs w:val="22"/>
              </w:rPr>
            </w:pPr>
            <w:r w:rsidRPr="00773163">
              <w:rPr>
                <w:rFonts w:eastAsia="GulimChe"/>
                <w:sz w:val="22"/>
                <w:szCs w:val="22"/>
              </w:rPr>
              <w:t>0.170</w:t>
            </w:r>
          </w:p>
        </w:tc>
        <w:tc>
          <w:tcPr>
            <w:tcW w:w="1881" w:type="dxa"/>
            <w:vAlign w:val="center"/>
          </w:tcPr>
          <w:p w:rsidR="00E77065" w:rsidRPr="00773163" w:rsidRDefault="00E77065" w:rsidP="000F4AE9">
            <w:pPr>
              <w:pStyle w:val="Tabletext"/>
              <w:jc w:val="center"/>
              <w:rPr>
                <w:sz w:val="22"/>
                <w:szCs w:val="22"/>
              </w:rPr>
            </w:pPr>
            <w:r w:rsidRPr="00773163">
              <w:rPr>
                <w:rFonts w:eastAsia="GulimChe"/>
                <w:sz w:val="22"/>
                <w:szCs w:val="22"/>
              </w:rPr>
              <w:t>0.79</w:t>
            </w:r>
            <w:r w:rsidRPr="00773163">
              <w:rPr>
                <w:sz w:val="22"/>
                <w:szCs w:val="22"/>
              </w:rPr>
              <w:t>7</w:t>
            </w:r>
          </w:p>
        </w:tc>
      </w:tr>
      <w:tr w:rsidR="00E77065" w:rsidRPr="009312F0" w:rsidTr="00E2139B">
        <w:trPr>
          <w:jc w:val="center"/>
        </w:trPr>
        <w:tc>
          <w:tcPr>
            <w:tcW w:w="2824" w:type="dxa"/>
            <w:vMerge/>
            <w:vAlign w:val="center"/>
          </w:tcPr>
          <w:p w:rsidR="00E77065" w:rsidRPr="00773163" w:rsidRDefault="00E77065" w:rsidP="000F4AE9">
            <w:pPr>
              <w:pStyle w:val="Tabletext"/>
              <w:rPr>
                <w:sz w:val="22"/>
                <w:szCs w:val="22"/>
                <w:lang w:eastAsia="ko-KR"/>
              </w:rPr>
            </w:pPr>
          </w:p>
        </w:tc>
        <w:tc>
          <w:tcPr>
            <w:tcW w:w="2706" w:type="dxa"/>
            <w:vAlign w:val="center"/>
          </w:tcPr>
          <w:p w:rsidR="00E77065" w:rsidRPr="00773163" w:rsidRDefault="00E77065" w:rsidP="000F4AE9">
            <w:pPr>
              <w:pStyle w:val="Tabletext"/>
              <w:jc w:val="center"/>
              <w:rPr>
                <w:rFonts w:eastAsia="Gulim"/>
                <w:sz w:val="22"/>
                <w:szCs w:val="22"/>
              </w:rPr>
            </w:pPr>
            <w:r w:rsidRPr="00773163">
              <w:rPr>
                <w:rFonts w:eastAsia="GulimChe"/>
                <w:sz w:val="22"/>
                <w:szCs w:val="22"/>
              </w:rPr>
              <w:t>Blue primary (B)</w:t>
            </w:r>
          </w:p>
        </w:tc>
        <w:tc>
          <w:tcPr>
            <w:tcW w:w="2122" w:type="dxa"/>
            <w:vAlign w:val="center"/>
          </w:tcPr>
          <w:p w:rsidR="00E77065" w:rsidRPr="00773163" w:rsidRDefault="00E77065" w:rsidP="000F4AE9">
            <w:pPr>
              <w:pStyle w:val="Tabletext"/>
              <w:jc w:val="center"/>
              <w:rPr>
                <w:sz w:val="22"/>
                <w:szCs w:val="22"/>
              </w:rPr>
            </w:pPr>
            <w:r w:rsidRPr="00773163">
              <w:rPr>
                <w:rFonts w:eastAsia="GulimChe"/>
                <w:sz w:val="22"/>
                <w:szCs w:val="22"/>
              </w:rPr>
              <w:t>0.131</w:t>
            </w:r>
          </w:p>
        </w:tc>
        <w:tc>
          <w:tcPr>
            <w:tcW w:w="1881" w:type="dxa"/>
            <w:vAlign w:val="center"/>
          </w:tcPr>
          <w:p w:rsidR="00E77065" w:rsidRPr="00773163" w:rsidRDefault="00E77065" w:rsidP="000F4AE9">
            <w:pPr>
              <w:pStyle w:val="Tabletext"/>
              <w:jc w:val="center"/>
              <w:rPr>
                <w:sz w:val="22"/>
                <w:szCs w:val="22"/>
              </w:rPr>
            </w:pPr>
            <w:r w:rsidRPr="00773163">
              <w:rPr>
                <w:rFonts w:eastAsia="GulimChe"/>
                <w:sz w:val="22"/>
                <w:szCs w:val="22"/>
              </w:rPr>
              <w:t>0.04</w:t>
            </w:r>
            <w:r w:rsidRPr="00773163">
              <w:rPr>
                <w:sz w:val="22"/>
                <w:szCs w:val="22"/>
              </w:rPr>
              <w:t>6</w:t>
            </w:r>
          </w:p>
        </w:tc>
      </w:tr>
      <w:tr w:rsidR="00E77065" w:rsidRPr="009312F0" w:rsidTr="00E2139B">
        <w:trPr>
          <w:jc w:val="center"/>
        </w:trPr>
        <w:tc>
          <w:tcPr>
            <w:tcW w:w="2824" w:type="dxa"/>
            <w:vMerge/>
            <w:tcBorders>
              <w:bottom w:val="single" w:sz="4" w:space="0" w:color="000000"/>
            </w:tcBorders>
            <w:vAlign w:val="center"/>
          </w:tcPr>
          <w:p w:rsidR="00E77065" w:rsidRPr="00773163" w:rsidRDefault="00E77065" w:rsidP="000F4AE9">
            <w:pPr>
              <w:pStyle w:val="Tabletext"/>
              <w:rPr>
                <w:sz w:val="22"/>
                <w:szCs w:val="22"/>
                <w:lang w:eastAsia="ko-KR"/>
              </w:rPr>
            </w:pPr>
          </w:p>
        </w:tc>
        <w:tc>
          <w:tcPr>
            <w:tcW w:w="2706" w:type="dxa"/>
            <w:tcBorders>
              <w:bottom w:val="single" w:sz="4" w:space="0" w:color="000000"/>
            </w:tcBorders>
            <w:vAlign w:val="center"/>
          </w:tcPr>
          <w:p w:rsidR="00E77065" w:rsidRPr="00773163" w:rsidRDefault="00E77065" w:rsidP="000F4AE9">
            <w:pPr>
              <w:pStyle w:val="Tabletext"/>
              <w:jc w:val="center"/>
              <w:rPr>
                <w:rFonts w:eastAsia="Gulim"/>
                <w:sz w:val="22"/>
                <w:szCs w:val="22"/>
              </w:rPr>
            </w:pPr>
            <w:r w:rsidRPr="00773163">
              <w:rPr>
                <w:rFonts w:eastAsia="GulimChe"/>
                <w:sz w:val="22"/>
                <w:szCs w:val="22"/>
              </w:rPr>
              <w:t>Reference white (D65)</w:t>
            </w:r>
          </w:p>
        </w:tc>
        <w:tc>
          <w:tcPr>
            <w:tcW w:w="2122" w:type="dxa"/>
            <w:tcBorders>
              <w:bottom w:val="single" w:sz="4" w:space="0" w:color="000000"/>
            </w:tcBorders>
            <w:vAlign w:val="center"/>
          </w:tcPr>
          <w:p w:rsidR="00E77065" w:rsidRPr="00773163" w:rsidRDefault="00E77065" w:rsidP="000F4AE9">
            <w:pPr>
              <w:pStyle w:val="Tabletext"/>
              <w:jc w:val="center"/>
              <w:rPr>
                <w:rFonts w:eastAsia="Gulim"/>
                <w:sz w:val="22"/>
                <w:szCs w:val="22"/>
              </w:rPr>
            </w:pPr>
            <w:r w:rsidRPr="00773163">
              <w:rPr>
                <w:rFonts w:eastAsia="GulimChe"/>
                <w:sz w:val="22"/>
                <w:szCs w:val="22"/>
              </w:rPr>
              <w:t>0.3127</w:t>
            </w:r>
          </w:p>
        </w:tc>
        <w:tc>
          <w:tcPr>
            <w:tcW w:w="1881" w:type="dxa"/>
            <w:tcBorders>
              <w:bottom w:val="single" w:sz="4" w:space="0" w:color="000000"/>
            </w:tcBorders>
            <w:vAlign w:val="center"/>
          </w:tcPr>
          <w:p w:rsidR="00E77065" w:rsidRPr="00773163" w:rsidRDefault="00E77065" w:rsidP="000F4AE9">
            <w:pPr>
              <w:pStyle w:val="Tabletext"/>
              <w:jc w:val="center"/>
              <w:rPr>
                <w:rFonts w:eastAsia="Gulim"/>
                <w:sz w:val="22"/>
                <w:szCs w:val="22"/>
              </w:rPr>
            </w:pPr>
            <w:r w:rsidRPr="00773163">
              <w:rPr>
                <w:rFonts w:eastAsia="GulimChe"/>
                <w:sz w:val="22"/>
                <w:szCs w:val="22"/>
              </w:rPr>
              <w:t>0.3290</w:t>
            </w:r>
          </w:p>
        </w:tc>
      </w:tr>
      <w:tr w:rsidR="00E77065" w:rsidRPr="009312F0" w:rsidTr="000F4AE9">
        <w:trPr>
          <w:trHeight w:val="73"/>
          <w:jc w:val="center"/>
        </w:trPr>
        <w:tc>
          <w:tcPr>
            <w:tcW w:w="2824" w:type="dxa"/>
            <w:gridSpan w:val="4"/>
            <w:tcBorders>
              <w:left w:val="nil"/>
              <w:bottom w:val="nil"/>
              <w:right w:val="nil"/>
            </w:tcBorders>
            <w:vAlign w:val="center"/>
          </w:tcPr>
          <w:p w:rsidR="00E77065" w:rsidRPr="009312F0" w:rsidRDefault="00E77065" w:rsidP="000F4AE9">
            <w:pPr>
              <w:pStyle w:val="Tablelegend"/>
              <w:tabs>
                <w:tab w:val="clear" w:pos="1134"/>
                <w:tab w:val="left" w:pos="313"/>
              </w:tabs>
              <w:rPr>
                <w:rFonts w:eastAsia="GulimChe"/>
                <w:lang w:val="en-US"/>
              </w:rPr>
            </w:pPr>
            <w:r w:rsidRPr="009312F0">
              <w:rPr>
                <w:rFonts w:eastAsia="GulimChe"/>
                <w:vertAlign w:val="superscript"/>
                <w:lang w:val="en-US"/>
              </w:rPr>
              <w:t>1</w:t>
            </w:r>
            <w:r w:rsidRPr="009312F0">
              <w:rPr>
                <w:rFonts w:eastAsia="GulimChe"/>
                <w:lang w:val="en-US"/>
              </w:rPr>
              <w:tab/>
              <w:t xml:space="preserve">Picture information can be linearly indicated by the </w:t>
            </w:r>
            <w:proofErr w:type="spellStart"/>
            <w:r w:rsidRPr="009312F0">
              <w:rPr>
                <w:rFonts w:eastAsia="GulimChe"/>
                <w:lang w:val="en-US"/>
              </w:rPr>
              <w:t>tristimulus</w:t>
            </w:r>
            <w:proofErr w:type="spellEnd"/>
            <w:r w:rsidRPr="009312F0">
              <w:rPr>
                <w:rFonts w:eastAsia="GulimChe"/>
                <w:lang w:val="en-US"/>
              </w:rPr>
              <w:t xml:space="preserve"> v</w:t>
            </w:r>
            <w:r>
              <w:rPr>
                <w:rFonts w:eastAsia="GulimChe"/>
                <w:lang w:val="en-US"/>
              </w:rPr>
              <w:t xml:space="preserve">alues of RGB in the range of </w:t>
            </w:r>
            <w:r w:rsidRPr="003B24EF">
              <w:rPr>
                <w:rFonts w:eastAsia="GulimChe"/>
                <w:lang w:val="en-US"/>
              </w:rPr>
              <w:t>0-</w:t>
            </w:r>
            <w:r w:rsidRPr="003B24EF">
              <w:rPr>
                <w:rFonts w:eastAsiaTheme="minorEastAsia" w:hint="eastAsia"/>
                <w:lang w:val="en-US" w:eastAsia="ja-JP"/>
              </w:rPr>
              <w:t>1</w:t>
            </w:r>
            <w:r w:rsidRPr="009312F0">
              <w:rPr>
                <w:rFonts w:eastAsia="GulimChe"/>
                <w:lang w:val="en-US"/>
              </w:rPr>
              <w:t>.</w:t>
            </w:r>
          </w:p>
          <w:p w:rsidR="00E77065" w:rsidRPr="009312F0" w:rsidRDefault="00E77065" w:rsidP="000F4AE9">
            <w:pPr>
              <w:pStyle w:val="Tablelegend"/>
              <w:tabs>
                <w:tab w:val="clear" w:pos="1134"/>
                <w:tab w:val="left" w:pos="313"/>
              </w:tabs>
              <w:ind w:left="313" w:hanging="313"/>
              <w:rPr>
                <w:rFonts w:eastAsia="GulimChe"/>
                <w:lang w:val="en-US"/>
              </w:rPr>
            </w:pPr>
            <w:r w:rsidRPr="009312F0">
              <w:rPr>
                <w:rFonts w:eastAsia="GulimChe"/>
                <w:vertAlign w:val="superscript"/>
                <w:lang w:val="en-US"/>
              </w:rPr>
              <w:t>2</w:t>
            </w:r>
            <w:r w:rsidRPr="009312F0">
              <w:rPr>
                <w:rFonts w:eastAsia="GulimChe"/>
                <w:lang w:val="en-US"/>
              </w:rPr>
              <w:tab/>
              <w:t>The colorimetric values of the picture information can be determined based on the reference RGB primaries and the reference white.</w:t>
            </w:r>
          </w:p>
        </w:tc>
      </w:tr>
    </w:tbl>
    <w:p w:rsidR="00E77065" w:rsidRPr="000D314C" w:rsidRDefault="00E77065" w:rsidP="00E77065">
      <w:pPr>
        <w:pStyle w:val="TableNo"/>
        <w:rPr>
          <w:b/>
          <w:lang w:eastAsia="ko-KR"/>
        </w:rPr>
      </w:pPr>
      <w:r w:rsidRPr="000D314C">
        <w:rPr>
          <w:lang w:eastAsia="ko-KR"/>
        </w:rPr>
        <w:t>TABLE 4</w:t>
      </w:r>
    </w:p>
    <w:p w:rsidR="00E77065" w:rsidRPr="00E77065" w:rsidRDefault="00E77065" w:rsidP="00E77065">
      <w:pPr>
        <w:pStyle w:val="Tabletitle"/>
      </w:pPr>
      <w:r w:rsidRPr="00E77065">
        <w:t>Signal format</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830"/>
        <w:gridCol w:w="6809"/>
      </w:tblGrid>
      <w:tr w:rsidR="00E77065" w:rsidRPr="009312F0" w:rsidTr="000F4AE9">
        <w:trPr>
          <w:jc w:val="center"/>
        </w:trPr>
        <w:tc>
          <w:tcPr>
            <w:tcW w:w="2830" w:type="dxa"/>
            <w:vAlign w:val="center"/>
          </w:tcPr>
          <w:p w:rsidR="00E77065" w:rsidRPr="00773163" w:rsidRDefault="00E77065" w:rsidP="000F4AE9">
            <w:pPr>
              <w:pStyle w:val="Tablehead"/>
              <w:rPr>
                <w:sz w:val="22"/>
                <w:szCs w:val="22"/>
                <w:lang w:eastAsia="ko-KR"/>
              </w:rPr>
            </w:pPr>
            <w:r w:rsidRPr="00773163">
              <w:rPr>
                <w:sz w:val="22"/>
                <w:szCs w:val="22"/>
                <w:lang w:eastAsia="ko-KR"/>
              </w:rPr>
              <w:t>Parameter</w:t>
            </w:r>
          </w:p>
        </w:tc>
        <w:tc>
          <w:tcPr>
            <w:tcW w:w="6809" w:type="dxa"/>
            <w:vAlign w:val="center"/>
          </w:tcPr>
          <w:p w:rsidR="00E77065" w:rsidRPr="00773163" w:rsidRDefault="00E77065" w:rsidP="000F4AE9">
            <w:pPr>
              <w:pStyle w:val="Tablehead"/>
              <w:rPr>
                <w:sz w:val="22"/>
                <w:szCs w:val="22"/>
                <w:lang w:eastAsia="ko-KR"/>
              </w:rPr>
            </w:pPr>
            <w:r w:rsidRPr="00773163">
              <w:rPr>
                <w:sz w:val="22"/>
                <w:szCs w:val="22"/>
                <w:lang w:eastAsia="ko-KR"/>
              </w:rPr>
              <w:t>Values</w:t>
            </w:r>
          </w:p>
        </w:tc>
      </w:tr>
      <w:tr w:rsidR="00E77065" w:rsidRPr="009312F0" w:rsidTr="00E2139B">
        <w:trPr>
          <w:jc w:val="center"/>
        </w:trPr>
        <w:tc>
          <w:tcPr>
            <w:tcW w:w="2830" w:type="dxa"/>
            <w:vAlign w:val="center"/>
          </w:tcPr>
          <w:p w:rsidR="00E77065" w:rsidRPr="00773163" w:rsidRDefault="00E77065" w:rsidP="000F4AE9">
            <w:pPr>
              <w:pStyle w:val="Tabletext"/>
              <w:jc w:val="center"/>
              <w:rPr>
                <w:sz w:val="22"/>
                <w:szCs w:val="22"/>
                <w:lang w:eastAsia="ja-JP"/>
              </w:rPr>
            </w:pPr>
            <w:r w:rsidRPr="00773163">
              <w:rPr>
                <w:sz w:val="22"/>
                <w:szCs w:val="22"/>
                <w:lang w:eastAsia="ko-KR"/>
              </w:rPr>
              <w:t>Transfer characteristics before non-linearity</w:t>
            </w:r>
            <w:r w:rsidRPr="00773163">
              <w:rPr>
                <w:rFonts w:hint="eastAsia"/>
                <w:sz w:val="22"/>
                <w:szCs w:val="22"/>
                <w:lang w:eastAsia="ja-JP"/>
              </w:rPr>
              <w:t xml:space="preserve"> </w:t>
            </w:r>
          </w:p>
        </w:tc>
        <w:tc>
          <w:tcPr>
            <w:tcW w:w="6809" w:type="dxa"/>
            <w:vAlign w:val="center"/>
          </w:tcPr>
          <w:p w:rsidR="00E77065" w:rsidRPr="00773163" w:rsidRDefault="00E77065" w:rsidP="000F4AE9">
            <w:pPr>
              <w:pStyle w:val="Tabletext"/>
              <w:jc w:val="center"/>
              <w:rPr>
                <w:sz w:val="22"/>
                <w:szCs w:val="22"/>
                <w:lang w:eastAsia="ja-JP"/>
              </w:rPr>
            </w:pPr>
            <w:r w:rsidRPr="00773163">
              <w:rPr>
                <w:rFonts w:hint="eastAsia"/>
                <w:sz w:val="22"/>
                <w:szCs w:val="22"/>
                <w:lang w:eastAsia="ja-JP"/>
              </w:rPr>
              <w:t xml:space="preserve">Assumed linear light </w:t>
            </w:r>
          </w:p>
        </w:tc>
      </w:tr>
      <w:tr w:rsidR="00E77065" w:rsidRPr="009312F0" w:rsidTr="00E2139B">
        <w:trPr>
          <w:jc w:val="center"/>
        </w:trPr>
        <w:tc>
          <w:tcPr>
            <w:tcW w:w="2830" w:type="dxa"/>
            <w:vAlign w:val="center"/>
          </w:tcPr>
          <w:p w:rsidR="00E77065" w:rsidRPr="00773163" w:rsidRDefault="00E77065" w:rsidP="000F4AE9">
            <w:pPr>
              <w:pStyle w:val="Tabletext"/>
              <w:jc w:val="center"/>
              <w:rPr>
                <w:sz w:val="22"/>
                <w:szCs w:val="22"/>
                <w:lang w:eastAsia="ko-KR"/>
              </w:rPr>
            </w:pPr>
            <w:r w:rsidRPr="00773163">
              <w:rPr>
                <w:sz w:val="22"/>
                <w:szCs w:val="22"/>
                <w:lang w:eastAsia="ko-KR"/>
              </w:rPr>
              <w:t xml:space="preserve">Signal </w:t>
            </w:r>
            <w:r w:rsidRPr="00773163">
              <w:rPr>
                <w:sz w:val="22"/>
                <w:szCs w:val="22"/>
                <w:lang w:eastAsia="ja-JP"/>
              </w:rPr>
              <w:t>format</w:t>
            </w:r>
          </w:p>
        </w:tc>
        <w:tc>
          <w:tcPr>
            <w:tcW w:w="6809" w:type="dxa"/>
            <w:vAlign w:val="center"/>
          </w:tcPr>
          <w:p w:rsidR="00E77065" w:rsidRPr="00773163" w:rsidRDefault="00E77065" w:rsidP="000F4AE9">
            <w:pPr>
              <w:pStyle w:val="Tabletext"/>
              <w:jc w:val="center"/>
              <w:rPr>
                <w:caps/>
                <w:sz w:val="22"/>
                <w:szCs w:val="22"/>
                <w:highlight w:val="yellow"/>
                <w:lang w:eastAsia="ko-KR"/>
              </w:rPr>
            </w:pPr>
            <w:r w:rsidRPr="00773163">
              <w:rPr>
                <w:i/>
                <w:sz w:val="22"/>
                <w:szCs w:val="22"/>
                <w:lang w:eastAsia="ko-KR"/>
              </w:rPr>
              <w:t>R</w:t>
            </w:r>
            <w:r w:rsidRPr="00773163">
              <w:rPr>
                <w:i/>
                <w:iCs/>
                <w:sz w:val="22"/>
                <w:szCs w:val="22"/>
                <w:lang w:eastAsia="ko-KR"/>
              </w:rPr>
              <w:t>'</w:t>
            </w:r>
            <w:r w:rsidRPr="00773163">
              <w:rPr>
                <w:i/>
                <w:sz w:val="22"/>
                <w:szCs w:val="22"/>
                <w:lang w:eastAsia="ko-KR"/>
              </w:rPr>
              <w:t>G</w:t>
            </w:r>
            <w:r w:rsidRPr="00773163">
              <w:rPr>
                <w:i/>
                <w:iCs/>
                <w:sz w:val="22"/>
                <w:szCs w:val="22"/>
                <w:lang w:eastAsia="ko-KR"/>
              </w:rPr>
              <w:t>'</w:t>
            </w:r>
            <w:r w:rsidRPr="00773163">
              <w:rPr>
                <w:i/>
                <w:sz w:val="22"/>
                <w:szCs w:val="22"/>
                <w:lang w:eastAsia="ko-KR"/>
              </w:rPr>
              <w:t>B</w:t>
            </w:r>
            <w:r w:rsidRPr="00773163">
              <w:rPr>
                <w:i/>
                <w:iCs/>
                <w:sz w:val="22"/>
                <w:szCs w:val="22"/>
                <w:lang w:eastAsia="ko-KR"/>
              </w:rPr>
              <w:t>'</w:t>
            </w:r>
            <w:r w:rsidRPr="00773163">
              <w:rPr>
                <w:i/>
                <w:sz w:val="22"/>
                <w:szCs w:val="22"/>
                <w:lang w:eastAsia="ko-KR"/>
              </w:rPr>
              <w:t xml:space="preserve"> </w:t>
            </w:r>
            <w:r w:rsidRPr="00773163">
              <w:rPr>
                <w:sz w:val="22"/>
                <w:szCs w:val="22"/>
                <w:lang w:eastAsia="ja-JP"/>
              </w:rPr>
              <w:t>o</w:t>
            </w:r>
            <w:r w:rsidRPr="00773163">
              <w:rPr>
                <w:rFonts w:hint="eastAsia"/>
                <w:sz w:val="22"/>
                <w:szCs w:val="22"/>
                <w:lang w:eastAsia="ja-JP"/>
              </w:rPr>
              <w:t>r</w:t>
            </w:r>
            <w:r w:rsidRPr="00773163">
              <w:rPr>
                <w:sz w:val="22"/>
                <w:szCs w:val="22"/>
                <w:lang w:eastAsia="ko-KR"/>
              </w:rPr>
              <w:t xml:space="preserve"> Non-constant luminance</w:t>
            </w:r>
            <w:r w:rsidRPr="00773163">
              <w:rPr>
                <w:rFonts w:hint="eastAsia"/>
                <w:sz w:val="22"/>
                <w:szCs w:val="22"/>
                <w:lang w:eastAsia="ja-JP"/>
              </w:rPr>
              <w:t xml:space="preserve"> </w:t>
            </w:r>
            <w:r w:rsidRPr="00773163">
              <w:rPr>
                <w:i/>
                <w:sz w:val="22"/>
                <w:szCs w:val="22"/>
                <w:lang w:eastAsia="ko-KR"/>
              </w:rPr>
              <w:t>Y</w:t>
            </w:r>
            <w:r w:rsidRPr="00773163">
              <w:rPr>
                <w:i/>
                <w:iCs/>
                <w:sz w:val="22"/>
                <w:szCs w:val="22"/>
                <w:lang w:eastAsia="ko-KR"/>
              </w:rPr>
              <w:t>'</w:t>
            </w:r>
            <w:r w:rsidRPr="00773163">
              <w:rPr>
                <w:i/>
                <w:sz w:val="22"/>
                <w:szCs w:val="22"/>
                <w:lang w:eastAsia="ko-KR"/>
              </w:rPr>
              <w:t>C</w:t>
            </w:r>
            <w:r w:rsidRPr="00773163">
              <w:rPr>
                <w:i/>
                <w:iCs/>
                <w:sz w:val="22"/>
                <w:szCs w:val="22"/>
                <w:lang w:eastAsia="ko-KR"/>
              </w:rPr>
              <w:t>'</w:t>
            </w:r>
            <w:r w:rsidRPr="00773163">
              <w:rPr>
                <w:i/>
                <w:sz w:val="22"/>
                <w:szCs w:val="22"/>
                <w:vertAlign w:val="subscript"/>
                <w:lang w:eastAsia="ko-KR"/>
              </w:rPr>
              <w:t>B</w:t>
            </w:r>
            <w:r w:rsidRPr="00773163">
              <w:rPr>
                <w:i/>
                <w:sz w:val="22"/>
                <w:szCs w:val="22"/>
                <w:lang w:eastAsia="ko-KR"/>
              </w:rPr>
              <w:t>C</w:t>
            </w:r>
            <w:r w:rsidRPr="00773163">
              <w:rPr>
                <w:i/>
                <w:iCs/>
                <w:sz w:val="22"/>
                <w:szCs w:val="22"/>
                <w:lang w:eastAsia="ko-KR"/>
              </w:rPr>
              <w:t>'</w:t>
            </w:r>
            <w:r w:rsidRPr="00773163">
              <w:rPr>
                <w:i/>
                <w:sz w:val="22"/>
                <w:szCs w:val="22"/>
                <w:vertAlign w:val="subscript"/>
                <w:lang w:eastAsia="ko-KR"/>
              </w:rPr>
              <w:t>R</w:t>
            </w:r>
          </w:p>
        </w:tc>
      </w:tr>
      <w:tr w:rsidR="00E77065" w:rsidRPr="009312F0" w:rsidTr="00E2139B">
        <w:trPr>
          <w:jc w:val="center"/>
        </w:trPr>
        <w:tc>
          <w:tcPr>
            <w:tcW w:w="2830" w:type="dxa"/>
            <w:vAlign w:val="center"/>
          </w:tcPr>
          <w:p w:rsidR="00E77065" w:rsidRPr="000F23D4" w:rsidRDefault="00E77065" w:rsidP="000F4AE9">
            <w:pPr>
              <w:pStyle w:val="Tabletext"/>
              <w:jc w:val="center"/>
              <w:rPr>
                <w:sz w:val="22"/>
                <w:szCs w:val="22"/>
                <w:lang w:eastAsia="ko-KR"/>
              </w:rPr>
            </w:pPr>
            <w:r w:rsidRPr="00773163">
              <w:rPr>
                <w:sz w:val="22"/>
                <w:szCs w:val="22"/>
                <w:lang w:eastAsia="ja-JP"/>
              </w:rPr>
              <w:t>Video level for reference white level</w:t>
            </w:r>
            <w:r>
              <w:rPr>
                <w:rFonts w:hint="eastAsia"/>
                <w:sz w:val="22"/>
                <w:szCs w:val="22"/>
                <w:lang w:eastAsia="ja-JP"/>
              </w:rPr>
              <w:t>,</w:t>
            </w:r>
            <w:r w:rsidRPr="00773163">
              <w:rPr>
                <w:rFonts w:hint="eastAsia"/>
                <w:sz w:val="22"/>
                <w:szCs w:val="22"/>
                <w:lang w:eastAsia="ja-JP"/>
              </w:rPr>
              <w:t xml:space="preserve"> </w:t>
            </w:r>
            <w:r w:rsidRPr="000F23D4">
              <w:rPr>
                <w:rFonts w:hint="eastAsia"/>
                <w:i/>
                <w:sz w:val="22"/>
                <w:szCs w:val="22"/>
                <w:lang w:eastAsia="ja-JP"/>
              </w:rPr>
              <w:t>r</w:t>
            </w:r>
            <w:r>
              <w:rPr>
                <w:rFonts w:hint="eastAsia"/>
                <w:sz w:val="22"/>
                <w:szCs w:val="22"/>
                <w:lang w:eastAsia="ja-JP"/>
              </w:rPr>
              <w:t xml:space="preserve"> </w:t>
            </w:r>
            <w:r w:rsidRPr="000F23D4">
              <w:rPr>
                <w:rFonts w:hint="eastAsia"/>
                <w:sz w:val="22"/>
                <w:szCs w:val="22"/>
                <w:vertAlign w:val="superscript"/>
                <w:lang w:eastAsia="ja-JP"/>
              </w:rPr>
              <w:t>1</w:t>
            </w:r>
          </w:p>
        </w:tc>
        <w:tc>
          <w:tcPr>
            <w:tcW w:w="6809" w:type="dxa"/>
            <w:vAlign w:val="center"/>
          </w:tcPr>
          <w:p w:rsidR="00E77065" w:rsidRPr="00773163" w:rsidRDefault="00E77065" w:rsidP="000F4AE9">
            <w:pPr>
              <w:pStyle w:val="Tabletext"/>
              <w:jc w:val="center"/>
              <w:rPr>
                <w:i/>
                <w:sz w:val="22"/>
                <w:szCs w:val="22"/>
                <w:lang w:eastAsia="ko-KR"/>
              </w:rPr>
            </w:pPr>
            <w:r>
              <w:rPr>
                <w:rFonts w:hint="eastAsia"/>
                <w:sz w:val="22"/>
                <w:szCs w:val="22"/>
                <w:lang w:eastAsia="ja-JP"/>
              </w:rPr>
              <w:t>[</w:t>
            </w:r>
            <w:r w:rsidRPr="00773163">
              <w:rPr>
                <w:rFonts w:hint="eastAsia"/>
                <w:sz w:val="22"/>
                <w:szCs w:val="22"/>
                <w:lang w:eastAsia="ja-JP"/>
              </w:rPr>
              <w:t>0.5</w:t>
            </w:r>
            <w:r>
              <w:rPr>
                <w:rFonts w:hint="eastAsia"/>
                <w:sz w:val="22"/>
                <w:szCs w:val="22"/>
                <w:lang w:eastAsia="ja-JP"/>
              </w:rPr>
              <w:t>]</w:t>
            </w:r>
          </w:p>
        </w:tc>
      </w:tr>
      <w:tr w:rsidR="00E77065" w:rsidRPr="009312F0" w:rsidTr="00E2139B">
        <w:trPr>
          <w:jc w:val="center"/>
        </w:trPr>
        <w:tc>
          <w:tcPr>
            <w:tcW w:w="2830" w:type="dxa"/>
            <w:vAlign w:val="center"/>
          </w:tcPr>
          <w:p w:rsidR="00E77065" w:rsidRPr="00773163" w:rsidRDefault="00E77065" w:rsidP="000F4AE9">
            <w:pPr>
              <w:pStyle w:val="Tabletext"/>
              <w:rPr>
                <w:sz w:val="22"/>
                <w:szCs w:val="22"/>
                <w:lang w:eastAsia="ja-JP"/>
              </w:rPr>
            </w:pPr>
            <w:r w:rsidRPr="00773163">
              <w:rPr>
                <w:sz w:val="22"/>
                <w:szCs w:val="22"/>
                <w:lang w:eastAsia="ko-KR"/>
              </w:rPr>
              <w:t>Non-linear transfer function</w:t>
            </w:r>
            <w:r>
              <w:rPr>
                <w:rFonts w:hint="eastAsia"/>
                <w:sz w:val="22"/>
                <w:szCs w:val="22"/>
                <w:lang w:eastAsia="ja-JP"/>
              </w:rPr>
              <w:t xml:space="preserve"> </w:t>
            </w:r>
            <w:r w:rsidRPr="000F23D4">
              <w:rPr>
                <w:rFonts w:hint="eastAsia"/>
                <w:sz w:val="22"/>
                <w:szCs w:val="22"/>
                <w:vertAlign w:val="superscript"/>
                <w:lang w:eastAsia="ja-JP"/>
              </w:rPr>
              <w:t>2</w:t>
            </w:r>
            <w:r>
              <w:rPr>
                <w:rFonts w:hint="eastAsia"/>
                <w:sz w:val="22"/>
                <w:szCs w:val="22"/>
                <w:vertAlign w:val="superscript"/>
                <w:lang w:eastAsia="ja-JP"/>
              </w:rPr>
              <w:t>, 3</w:t>
            </w:r>
            <w:r w:rsidRPr="00773163">
              <w:rPr>
                <w:sz w:val="22"/>
                <w:szCs w:val="22"/>
                <w:lang w:eastAsia="ko-KR"/>
              </w:rPr>
              <w:t xml:space="preserve"> </w:t>
            </w:r>
          </w:p>
        </w:tc>
        <w:tc>
          <w:tcPr>
            <w:tcW w:w="6809" w:type="dxa"/>
            <w:vAlign w:val="center"/>
          </w:tcPr>
          <w:p w:rsidR="00E77065" w:rsidRPr="00773163" w:rsidRDefault="00EA7A23" w:rsidP="000F4AE9">
            <w:pPr>
              <w:pStyle w:val="Tabletext"/>
              <w:jc w:val="center"/>
              <w:rPr>
                <w:i/>
                <w:sz w:val="22"/>
                <w:szCs w:val="22"/>
                <w:lang w:eastAsia="ja-JP"/>
              </w:rPr>
            </w:pPr>
            <w:r w:rsidRPr="00942D70">
              <w:rPr>
                <w:position w:val="-32"/>
              </w:rPr>
              <w:object w:dxaOrig="3800" w:dyaOrig="760">
                <v:shape id="_x0000_i1025" type="#_x0000_t75" style="width:192.2pt;height:37.55pt" o:ole="">
                  <v:imagedata r:id="rId9" o:title=""/>
                </v:shape>
                <o:OLEObject Type="Embed" ProgID="Equation.3" ShapeID="_x0000_i1025" DrawAspect="Content" ObjectID="_1484069146" r:id="rId10"/>
              </w:object>
            </w:r>
          </w:p>
          <w:p w:rsidR="00E77065" w:rsidRPr="00773163" w:rsidRDefault="00E77065" w:rsidP="000F4AE9">
            <w:pPr>
              <w:pStyle w:val="Tabletext"/>
              <w:rPr>
                <w:sz w:val="22"/>
                <w:szCs w:val="22"/>
                <w:lang w:val="en-US" w:eastAsia="ja-JP"/>
              </w:rPr>
            </w:pPr>
            <w:proofErr w:type="gramStart"/>
            <w:r w:rsidRPr="00773163">
              <w:rPr>
                <w:sz w:val="22"/>
                <w:szCs w:val="22"/>
                <w:lang w:eastAsia="ja-JP"/>
              </w:rPr>
              <w:t>where</w:t>
            </w:r>
            <w:proofErr w:type="gramEnd"/>
            <w:r w:rsidRPr="00773163">
              <w:rPr>
                <w:rFonts w:hint="eastAsia"/>
                <w:sz w:val="22"/>
                <w:szCs w:val="22"/>
                <w:lang w:eastAsia="ja-JP"/>
              </w:rPr>
              <w:t xml:space="preserve"> </w:t>
            </w:r>
            <w:r w:rsidRPr="00773163">
              <w:rPr>
                <w:position w:val="-6"/>
                <w:sz w:val="22"/>
                <w:szCs w:val="22"/>
              </w:rPr>
              <w:object w:dxaOrig="279" w:dyaOrig="240">
                <v:shape id="_x0000_i1026" type="#_x0000_t75" style="width:14.4pt;height:11.25pt" o:ole="">
                  <v:imagedata r:id="rId11" o:title=""/>
                </v:shape>
                <o:OLEObject Type="Embed" ProgID="Equation.DSMT4" ShapeID="_x0000_i1026" DrawAspect="Content" ObjectID="_1484069147" r:id="rId12"/>
              </w:object>
            </w:r>
            <w:r w:rsidRPr="00773163">
              <w:rPr>
                <w:sz w:val="22"/>
                <w:szCs w:val="22"/>
                <w:lang w:eastAsia="ja-JP"/>
              </w:rPr>
              <w:t xml:space="preserve"> is relative scene</w:t>
            </w:r>
            <w:r w:rsidR="004751A0">
              <w:rPr>
                <w:sz w:val="22"/>
                <w:szCs w:val="22"/>
                <w:lang w:eastAsia="ja-JP"/>
              </w:rPr>
              <w:t xml:space="preserve"> luminance level normalized by </w:t>
            </w:r>
            <w:r w:rsidRPr="00773163">
              <w:rPr>
                <w:sz w:val="22"/>
                <w:szCs w:val="22"/>
                <w:lang w:eastAsia="ja-JP"/>
              </w:rPr>
              <w:t xml:space="preserve">reference white </w:t>
            </w:r>
            <w:r w:rsidRPr="00773163">
              <w:rPr>
                <w:rFonts w:hint="eastAsia"/>
                <w:sz w:val="22"/>
                <w:szCs w:val="22"/>
                <w:lang w:eastAsia="ja-JP"/>
              </w:rPr>
              <w:t xml:space="preserve">luminance </w:t>
            </w:r>
            <w:r w:rsidRPr="00773163">
              <w:rPr>
                <w:sz w:val="22"/>
                <w:szCs w:val="22"/>
                <w:lang w:eastAsia="ja-JP"/>
              </w:rPr>
              <w:t>leve</w:t>
            </w:r>
            <w:r w:rsidRPr="00773163">
              <w:rPr>
                <w:rFonts w:hint="eastAsia"/>
                <w:sz w:val="22"/>
                <w:szCs w:val="22"/>
                <w:lang w:eastAsia="ja-JP"/>
              </w:rPr>
              <w:t>l</w:t>
            </w:r>
            <w:r>
              <w:rPr>
                <w:rFonts w:hint="eastAsia"/>
                <w:sz w:val="22"/>
                <w:szCs w:val="22"/>
                <w:lang w:eastAsia="ja-JP"/>
              </w:rPr>
              <w:t>, and</w:t>
            </w:r>
            <w:r w:rsidRPr="00773163">
              <w:rPr>
                <w:sz w:val="22"/>
                <w:szCs w:val="22"/>
                <w:lang w:eastAsia="ja-JP"/>
              </w:rPr>
              <w:t xml:space="preserve"> </w:t>
            </w:r>
            <w:r w:rsidRPr="00773163">
              <w:rPr>
                <w:i/>
                <w:sz w:val="22"/>
                <w:szCs w:val="22"/>
                <w:lang w:val="en-US"/>
              </w:rPr>
              <w:t>E</w:t>
            </w:r>
            <w:r w:rsidRPr="00773163">
              <w:rPr>
                <w:i/>
                <w:iCs/>
                <w:sz w:val="22"/>
                <w:szCs w:val="22"/>
                <w:lang w:eastAsia="ko-KR"/>
              </w:rPr>
              <w:t>'</w:t>
            </w:r>
            <w:r w:rsidRPr="00773163">
              <w:rPr>
                <w:sz w:val="22"/>
                <w:szCs w:val="22"/>
                <w:lang w:val="en-US"/>
              </w:rPr>
              <w:t xml:space="preserve"> is resulting non-linear signal.</w:t>
            </w:r>
          </w:p>
          <w:p w:rsidR="00E77065" w:rsidRPr="00773163" w:rsidRDefault="00E77065" w:rsidP="000F4AE9">
            <w:pPr>
              <w:pStyle w:val="Tabletext"/>
              <w:keepNext/>
              <w:keepLines/>
              <w:rPr>
                <w:sz w:val="22"/>
                <w:szCs w:val="22"/>
                <w:lang w:val="en-US" w:eastAsia="ja-JP"/>
              </w:rPr>
            </w:pPr>
            <w:r w:rsidRPr="00773163">
              <w:rPr>
                <w:i/>
                <w:sz w:val="22"/>
                <w:szCs w:val="22"/>
              </w:rPr>
              <w:t>α</w:t>
            </w:r>
            <w:r w:rsidRPr="00773163">
              <w:rPr>
                <w:sz w:val="22"/>
                <w:szCs w:val="22"/>
                <w:lang w:val="en-US"/>
              </w:rPr>
              <w:t xml:space="preserve"> </w:t>
            </w:r>
            <w:r w:rsidRPr="00773163">
              <w:rPr>
                <w:rFonts w:hint="eastAsia"/>
                <w:sz w:val="22"/>
                <w:szCs w:val="22"/>
                <w:lang w:val="en-US" w:eastAsia="ja-JP"/>
              </w:rPr>
              <w:t xml:space="preserve">and </w:t>
            </w:r>
            <w:r w:rsidRPr="00773163">
              <w:rPr>
                <w:i/>
                <w:sz w:val="22"/>
                <w:szCs w:val="22"/>
              </w:rPr>
              <w:t>β</w:t>
            </w:r>
            <w:r w:rsidRPr="00773163">
              <w:rPr>
                <w:rFonts w:hint="eastAsia"/>
                <w:sz w:val="22"/>
                <w:szCs w:val="22"/>
                <w:lang w:val="en-US" w:eastAsia="ja-JP"/>
              </w:rPr>
              <w:t xml:space="preserve"> are solutions to </w:t>
            </w:r>
            <w:r w:rsidRPr="00773163">
              <w:rPr>
                <w:sz w:val="22"/>
                <w:szCs w:val="22"/>
                <w:lang w:val="en-US" w:eastAsia="ja-JP"/>
              </w:rPr>
              <w:t>following simultaneous equations:</w:t>
            </w:r>
          </w:p>
          <w:p w:rsidR="00E77065" w:rsidRPr="00773163" w:rsidRDefault="00E77065" w:rsidP="00E2139B">
            <w:pPr>
              <w:pStyle w:val="Equation"/>
              <w:spacing w:before="0"/>
              <w:rPr>
                <w:sz w:val="22"/>
                <w:szCs w:val="22"/>
                <w:lang w:eastAsia="ja-JP"/>
              </w:rPr>
            </w:pPr>
            <w:r w:rsidRPr="006F2590">
              <w:rPr>
                <w:position w:val="-34"/>
                <w:lang w:val="en-US" w:eastAsia="ja-JP"/>
              </w:rPr>
              <w:object w:dxaOrig="4819" w:dyaOrig="800">
                <v:shape id="_x0000_i1027" type="#_x0000_t75" style="width:240.4pt;height:40.7pt" o:ole="">
                  <v:imagedata r:id="rId13" o:title=""/>
                </v:shape>
                <o:OLEObject Type="Embed" ProgID="Equation.3" ShapeID="_x0000_i1027" DrawAspect="Content" ObjectID="_1484069148" r:id="rId14"/>
              </w:object>
            </w:r>
          </w:p>
          <w:p w:rsidR="00E77065" w:rsidRPr="00773163" w:rsidRDefault="00E77065" w:rsidP="000F4AE9">
            <w:pPr>
              <w:pStyle w:val="Tabletext"/>
              <w:keepNext/>
              <w:keepLines/>
              <w:rPr>
                <w:sz w:val="22"/>
                <w:szCs w:val="22"/>
                <w:lang w:val="en-US" w:eastAsia="ja-JP"/>
              </w:rPr>
            </w:pPr>
            <w:r w:rsidRPr="00773163">
              <w:rPr>
                <w:sz w:val="22"/>
                <w:szCs w:val="22"/>
                <w:lang w:val="en-US" w:eastAsia="ja-JP"/>
              </w:rPr>
              <w:t xml:space="preserve">The simultaneous equations provide the condition </w:t>
            </w:r>
            <w:r>
              <w:rPr>
                <w:rFonts w:hint="eastAsia"/>
                <w:sz w:val="22"/>
                <w:szCs w:val="22"/>
                <w:lang w:val="en-US" w:eastAsia="ja-JP"/>
              </w:rPr>
              <w:t xml:space="preserve">required </w:t>
            </w:r>
            <w:r w:rsidRPr="00773163">
              <w:rPr>
                <w:sz w:val="22"/>
                <w:szCs w:val="22"/>
                <w:lang w:val="en-US" w:eastAsia="ja-JP"/>
              </w:rPr>
              <w:t xml:space="preserve">to </w:t>
            </w:r>
            <w:proofErr w:type="gramStart"/>
            <w:r w:rsidRPr="00773163">
              <w:rPr>
                <w:rFonts w:hint="eastAsia"/>
                <w:sz w:val="22"/>
                <w:szCs w:val="22"/>
                <w:lang w:val="en-US" w:eastAsia="ja-JP"/>
              </w:rPr>
              <w:t xml:space="preserve">connect </w:t>
            </w:r>
            <w:r w:rsidRPr="00773163">
              <w:rPr>
                <w:sz w:val="22"/>
                <w:szCs w:val="22"/>
                <w:lang w:val="en-US" w:eastAsia="ja-JP"/>
              </w:rPr>
              <w:t xml:space="preserve"> two</w:t>
            </w:r>
            <w:proofErr w:type="gramEnd"/>
            <w:r w:rsidRPr="00773163">
              <w:rPr>
                <w:sz w:val="22"/>
                <w:szCs w:val="22"/>
                <w:lang w:val="en-US" w:eastAsia="ja-JP"/>
              </w:rPr>
              <w:t xml:space="preserve"> curve segments smoothl</w:t>
            </w:r>
            <w:r w:rsidRPr="00773163">
              <w:rPr>
                <w:rFonts w:hint="eastAsia"/>
                <w:sz w:val="22"/>
                <w:szCs w:val="22"/>
                <w:lang w:val="en-US" w:eastAsia="ja-JP"/>
              </w:rPr>
              <w:t>y</w:t>
            </w:r>
            <w:r w:rsidRPr="00773163">
              <w:rPr>
                <w:sz w:val="22"/>
                <w:szCs w:val="22"/>
                <w:lang w:val="en-US" w:eastAsia="ja-JP"/>
              </w:rPr>
              <w:t xml:space="preserve"> and yield</w:t>
            </w:r>
            <w:r w:rsidRPr="00773163">
              <w:rPr>
                <w:rFonts w:hint="eastAsia"/>
                <w:sz w:val="22"/>
                <w:szCs w:val="22"/>
                <w:lang w:val="en-US" w:eastAsia="ja-JP"/>
              </w:rPr>
              <w:t xml:space="preserve"> </w:t>
            </w:r>
            <w:r w:rsidRPr="00773163">
              <w:rPr>
                <w:i/>
                <w:sz w:val="22"/>
                <w:szCs w:val="22"/>
              </w:rPr>
              <w:t>α</w:t>
            </w:r>
            <w:r w:rsidRPr="00773163">
              <w:rPr>
                <w:sz w:val="22"/>
                <w:szCs w:val="22"/>
                <w:lang w:val="en-US"/>
              </w:rPr>
              <w:t xml:space="preserve"> =</w:t>
            </w:r>
            <w:r w:rsidRPr="00773163">
              <w:rPr>
                <w:rFonts w:hint="eastAsia"/>
                <w:sz w:val="22"/>
                <w:szCs w:val="22"/>
                <w:lang w:val="en-US" w:eastAsia="ja-JP"/>
              </w:rPr>
              <w:t xml:space="preserve"> </w:t>
            </w:r>
            <w:r w:rsidRPr="00773163">
              <w:rPr>
                <w:sz w:val="22"/>
                <w:szCs w:val="22"/>
                <w:lang w:val="en-US" w:eastAsia="ja-JP"/>
              </w:rPr>
              <w:t xml:space="preserve">1.09929682680944... </w:t>
            </w:r>
            <w:proofErr w:type="gramStart"/>
            <w:r w:rsidRPr="00773163">
              <w:rPr>
                <w:sz w:val="22"/>
                <w:szCs w:val="22"/>
                <w:lang w:val="en-US" w:eastAsia="ja-JP"/>
              </w:rPr>
              <w:t>and</w:t>
            </w:r>
            <w:proofErr w:type="gramEnd"/>
            <w:r w:rsidRPr="00773163">
              <w:rPr>
                <w:rFonts w:hint="eastAsia"/>
                <w:sz w:val="22"/>
                <w:szCs w:val="22"/>
                <w:lang w:val="en-US" w:eastAsia="ja-JP"/>
              </w:rPr>
              <w:t xml:space="preserve"> </w:t>
            </w:r>
            <w:r w:rsidRPr="00773163">
              <w:rPr>
                <w:i/>
                <w:sz w:val="22"/>
                <w:szCs w:val="22"/>
              </w:rPr>
              <w:t>β</w:t>
            </w:r>
            <w:r w:rsidRPr="00773163">
              <w:rPr>
                <w:sz w:val="22"/>
                <w:szCs w:val="22"/>
                <w:lang w:val="en-US"/>
              </w:rPr>
              <w:t> =</w:t>
            </w:r>
            <w:r w:rsidRPr="00773163">
              <w:rPr>
                <w:sz w:val="22"/>
                <w:szCs w:val="22"/>
                <w:lang w:val="en-US" w:eastAsia="ja-JP"/>
              </w:rPr>
              <w:t> 0.018053968510807....</w:t>
            </w:r>
            <w:r w:rsidRPr="00773163">
              <w:rPr>
                <w:rFonts w:hint="eastAsia"/>
                <w:sz w:val="22"/>
                <w:szCs w:val="22"/>
                <w:lang w:val="en-US" w:eastAsia="ja-JP"/>
              </w:rPr>
              <w:t xml:space="preserve"> For practical purpose</w:t>
            </w:r>
            <w:r>
              <w:rPr>
                <w:rFonts w:hint="eastAsia"/>
                <w:sz w:val="22"/>
                <w:szCs w:val="22"/>
                <w:lang w:val="en-US" w:eastAsia="ja-JP"/>
              </w:rPr>
              <w:t>s</w:t>
            </w:r>
            <w:r w:rsidRPr="00773163">
              <w:rPr>
                <w:rFonts w:hint="eastAsia"/>
                <w:sz w:val="22"/>
                <w:szCs w:val="22"/>
                <w:lang w:val="en-US" w:eastAsia="ja-JP"/>
              </w:rPr>
              <w:t xml:space="preserve">, </w:t>
            </w:r>
            <w:r w:rsidRPr="00773163">
              <w:rPr>
                <w:sz w:val="22"/>
                <w:szCs w:val="22"/>
                <w:lang w:val="en-US" w:eastAsia="ja-JP"/>
              </w:rPr>
              <w:t>following</w:t>
            </w:r>
            <w:r w:rsidRPr="00773163">
              <w:rPr>
                <w:rFonts w:hint="eastAsia"/>
                <w:sz w:val="22"/>
                <w:szCs w:val="22"/>
                <w:lang w:val="en-US" w:eastAsia="ja-JP"/>
              </w:rPr>
              <w:t xml:space="preserve"> values can be used:</w:t>
            </w:r>
          </w:p>
          <w:p w:rsidR="00E77065" w:rsidRPr="00773163" w:rsidRDefault="00E77065" w:rsidP="000F4AE9">
            <w:pPr>
              <w:pStyle w:val="Tabletext"/>
              <w:keepNext/>
              <w:keepLines/>
              <w:rPr>
                <w:sz w:val="22"/>
                <w:szCs w:val="22"/>
                <w:lang w:val="en-US"/>
              </w:rPr>
            </w:pPr>
            <w:r w:rsidRPr="00773163">
              <w:rPr>
                <w:i/>
                <w:sz w:val="22"/>
                <w:szCs w:val="22"/>
              </w:rPr>
              <w:t>α</w:t>
            </w:r>
            <w:r w:rsidRPr="00773163">
              <w:rPr>
                <w:sz w:val="22"/>
                <w:szCs w:val="22"/>
                <w:lang w:val="en-US"/>
              </w:rPr>
              <w:t xml:space="preserve"> = 1.099 and </w:t>
            </w:r>
            <w:r w:rsidRPr="00773163">
              <w:rPr>
                <w:i/>
                <w:sz w:val="22"/>
                <w:szCs w:val="22"/>
              </w:rPr>
              <w:t>β</w:t>
            </w:r>
            <w:r w:rsidRPr="00773163">
              <w:rPr>
                <w:sz w:val="22"/>
                <w:szCs w:val="22"/>
                <w:lang w:val="en-US"/>
              </w:rPr>
              <w:t xml:space="preserve"> = 0.018 for 10-bit systems</w:t>
            </w:r>
          </w:p>
          <w:p w:rsidR="00E77065" w:rsidRPr="00773163" w:rsidRDefault="00E77065" w:rsidP="000F4AE9">
            <w:pPr>
              <w:pStyle w:val="Tabletext"/>
              <w:rPr>
                <w:i/>
                <w:sz w:val="22"/>
                <w:szCs w:val="22"/>
                <w:lang w:eastAsia="ja-JP"/>
              </w:rPr>
            </w:pPr>
            <w:r w:rsidRPr="00773163">
              <w:rPr>
                <w:i/>
                <w:sz w:val="22"/>
                <w:szCs w:val="22"/>
              </w:rPr>
              <w:t>α</w:t>
            </w:r>
            <w:r w:rsidRPr="00773163">
              <w:rPr>
                <w:sz w:val="22"/>
                <w:szCs w:val="22"/>
                <w:lang w:val="en-US"/>
              </w:rPr>
              <w:t xml:space="preserve"> = 1.0993 and </w:t>
            </w:r>
            <w:r w:rsidRPr="00773163">
              <w:rPr>
                <w:i/>
                <w:sz w:val="22"/>
                <w:szCs w:val="22"/>
              </w:rPr>
              <w:t>β</w:t>
            </w:r>
            <w:r w:rsidRPr="00773163">
              <w:rPr>
                <w:sz w:val="22"/>
                <w:szCs w:val="22"/>
                <w:lang w:val="en-US"/>
              </w:rPr>
              <w:t xml:space="preserve"> = 0.0181 for 12</w:t>
            </w:r>
            <w:r w:rsidRPr="00773163">
              <w:rPr>
                <w:sz w:val="22"/>
                <w:szCs w:val="22"/>
                <w:lang w:val="en-US"/>
              </w:rPr>
              <w:noBreakHyphen/>
              <w:t>bit systems</w:t>
            </w:r>
          </w:p>
        </w:tc>
      </w:tr>
      <w:tr w:rsidR="00E77065" w:rsidRPr="009312F0" w:rsidTr="00E2139B">
        <w:trPr>
          <w:jc w:val="center"/>
        </w:trPr>
        <w:tc>
          <w:tcPr>
            <w:tcW w:w="2830" w:type="dxa"/>
            <w:vAlign w:val="center"/>
          </w:tcPr>
          <w:p w:rsidR="00E77065" w:rsidRPr="00773163" w:rsidRDefault="00E77065" w:rsidP="000F4AE9">
            <w:pPr>
              <w:pStyle w:val="Tabletext"/>
              <w:rPr>
                <w:sz w:val="22"/>
                <w:szCs w:val="22"/>
                <w:lang w:eastAsia="ko-KR"/>
              </w:rPr>
            </w:pPr>
            <w:r w:rsidRPr="00773163">
              <w:rPr>
                <w:sz w:val="22"/>
                <w:szCs w:val="22"/>
                <w:lang w:eastAsia="ko-KR"/>
              </w:rPr>
              <w:t xml:space="preserve">Derivation of </w:t>
            </w:r>
            <w:r w:rsidRPr="00773163">
              <w:rPr>
                <w:i/>
                <w:sz w:val="22"/>
                <w:szCs w:val="22"/>
                <w:lang w:eastAsia="ko-KR"/>
              </w:rPr>
              <w:t>Y’</w:t>
            </w:r>
          </w:p>
        </w:tc>
        <w:tc>
          <w:tcPr>
            <w:tcW w:w="6809" w:type="dxa"/>
            <w:vAlign w:val="center"/>
          </w:tcPr>
          <w:p w:rsidR="00E77065" w:rsidRPr="00773163" w:rsidRDefault="00E77065" w:rsidP="000F4AE9">
            <w:pPr>
              <w:pStyle w:val="Tabletext"/>
              <w:jc w:val="center"/>
              <w:rPr>
                <w:sz w:val="22"/>
                <w:szCs w:val="22"/>
                <w:lang w:eastAsia="ja-JP"/>
              </w:rPr>
            </w:pPr>
            <w:r w:rsidRPr="005676CF">
              <w:rPr>
                <w:position w:val="-6"/>
                <w:lang w:eastAsia="ja-JP"/>
              </w:rPr>
              <w:object w:dxaOrig="3600" w:dyaOrig="279">
                <v:shape id="_x0000_i1028" type="#_x0000_t75" style="width:180.3pt;height:13.75pt" o:ole="">
                  <v:imagedata r:id="rId15" o:title=""/>
                </v:shape>
                <o:OLEObject Type="Embed" ProgID="Equation.3" ShapeID="_x0000_i1028" DrawAspect="Content" ObjectID="_1484069149" r:id="rId16"/>
              </w:object>
            </w:r>
          </w:p>
        </w:tc>
      </w:tr>
      <w:tr w:rsidR="00E77065" w:rsidRPr="009312F0" w:rsidTr="00E2139B">
        <w:trPr>
          <w:jc w:val="center"/>
        </w:trPr>
        <w:tc>
          <w:tcPr>
            <w:tcW w:w="2830" w:type="dxa"/>
            <w:tcBorders>
              <w:bottom w:val="single" w:sz="4" w:space="0" w:color="000000"/>
            </w:tcBorders>
            <w:vAlign w:val="center"/>
          </w:tcPr>
          <w:p w:rsidR="00E77065" w:rsidRPr="00773163" w:rsidRDefault="00E77065" w:rsidP="000F4AE9">
            <w:pPr>
              <w:pStyle w:val="Tabletext"/>
              <w:rPr>
                <w:b/>
                <w:sz w:val="22"/>
                <w:szCs w:val="22"/>
                <w:lang w:eastAsia="ja-JP"/>
              </w:rPr>
            </w:pPr>
            <w:r w:rsidRPr="00773163">
              <w:rPr>
                <w:sz w:val="22"/>
                <w:szCs w:val="22"/>
                <w:lang w:eastAsia="ko-KR"/>
              </w:rPr>
              <w:lastRenderedPageBreak/>
              <w:t xml:space="preserve">Derivation of colour difference signals </w:t>
            </w:r>
          </w:p>
        </w:tc>
        <w:tc>
          <w:tcPr>
            <w:tcW w:w="6809" w:type="dxa"/>
            <w:tcBorders>
              <w:bottom w:val="single" w:sz="4" w:space="0" w:color="000000"/>
            </w:tcBorders>
            <w:vAlign w:val="center"/>
          </w:tcPr>
          <w:p w:rsidR="00E77065" w:rsidRPr="005676CF" w:rsidRDefault="00E77065" w:rsidP="000F4AE9">
            <w:pPr>
              <w:pStyle w:val="Tabletext"/>
              <w:jc w:val="center"/>
              <w:rPr>
                <w:i/>
                <w:lang w:eastAsia="ko-KR"/>
              </w:rPr>
            </w:pPr>
            <w:r w:rsidRPr="00773163">
              <w:rPr>
                <w:position w:val="-58"/>
                <w:lang w:eastAsia="ja-JP"/>
              </w:rPr>
              <w:object w:dxaOrig="1300" w:dyaOrig="1280">
                <v:shape id="_x0000_i1029" type="#_x0000_t75" style="width:64.5pt;height:63.25pt" o:ole="">
                  <v:imagedata r:id="rId17" o:title=""/>
                </v:shape>
                <o:OLEObject Type="Embed" ProgID="Equation.3" ShapeID="_x0000_i1029" DrawAspect="Content" ObjectID="_1484069150" r:id="rId18"/>
              </w:object>
            </w:r>
          </w:p>
        </w:tc>
      </w:tr>
      <w:tr w:rsidR="00E77065" w:rsidRPr="009312F0" w:rsidTr="000F4AE9">
        <w:trPr>
          <w:jc w:val="center"/>
        </w:trPr>
        <w:tc>
          <w:tcPr>
            <w:tcW w:w="9639" w:type="dxa"/>
            <w:gridSpan w:val="2"/>
            <w:tcBorders>
              <w:left w:val="nil"/>
              <w:bottom w:val="nil"/>
              <w:right w:val="nil"/>
            </w:tcBorders>
            <w:vAlign w:val="center"/>
          </w:tcPr>
          <w:p w:rsidR="00E77065" w:rsidRPr="000F23D4" w:rsidRDefault="00E77065" w:rsidP="000F4AE9">
            <w:pPr>
              <w:pStyle w:val="Tabletext"/>
              <w:ind w:left="176" w:hangingChars="88" w:hanging="176"/>
              <w:rPr>
                <w:lang w:eastAsia="ja-JP"/>
              </w:rPr>
            </w:pPr>
            <w:r w:rsidRPr="000F23D4">
              <w:rPr>
                <w:rFonts w:hint="eastAsia"/>
                <w:vertAlign w:val="superscript"/>
                <w:lang w:eastAsia="ja-JP"/>
              </w:rPr>
              <w:t>1</w:t>
            </w:r>
            <w:r w:rsidRPr="000F23D4">
              <w:rPr>
                <w:lang w:eastAsia="ja-JP"/>
              </w:rPr>
              <w:tab/>
            </w:r>
            <w:r w:rsidRPr="000F23D4">
              <w:rPr>
                <w:rFonts w:hint="eastAsia"/>
                <w:lang w:eastAsia="ja-JP"/>
              </w:rPr>
              <w:t xml:space="preserve">When </w:t>
            </w:r>
            <w:r w:rsidRPr="000F23D4">
              <w:rPr>
                <w:i/>
                <w:lang w:eastAsia="ja-JP"/>
              </w:rPr>
              <w:t xml:space="preserve">r </w:t>
            </w:r>
            <w:r w:rsidRPr="000F23D4">
              <w:rPr>
                <w:rFonts w:hint="eastAsia"/>
                <w:lang w:eastAsia="ja-JP"/>
              </w:rPr>
              <w:t>= 0.5, t</w:t>
            </w:r>
            <w:r w:rsidRPr="000F23D4">
              <w:rPr>
                <w:lang w:eastAsia="ja-JP"/>
              </w:rPr>
              <w:t>he peak luminance level is about 6.4 times higher than the reference white luminance level.</w:t>
            </w:r>
            <w:r w:rsidRPr="000F23D4">
              <w:rPr>
                <w:rFonts w:hint="eastAsia"/>
                <w:lang w:eastAsia="ja-JP"/>
              </w:rPr>
              <w:t xml:space="preserve"> If the reference white luminance level is assumed to be </w:t>
            </w:r>
            <w:r w:rsidRPr="000F23D4">
              <w:rPr>
                <w:lang w:eastAsia="ja-JP"/>
              </w:rPr>
              <w:t xml:space="preserve">a peak luminance level </w:t>
            </w:r>
            <w:r w:rsidRPr="000F23D4">
              <w:rPr>
                <w:rFonts w:hint="eastAsia"/>
                <w:lang w:eastAsia="ja-JP"/>
              </w:rPr>
              <w:t>of</w:t>
            </w:r>
            <w:r w:rsidRPr="000F23D4">
              <w:rPr>
                <w:lang w:eastAsia="ja-JP"/>
              </w:rPr>
              <w:t xml:space="preserve"> the </w:t>
            </w:r>
            <w:r w:rsidRPr="000F23D4">
              <w:rPr>
                <w:rFonts w:hint="eastAsia"/>
                <w:lang w:eastAsia="ja-JP"/>
              </w:rPr>
              <w:t xml:space="preserve">typical </w:t>
            </w:r>
            <w:r w:rsidRPr="000F23D4">
              <w:rPr>
                <w:lang w:eastAsia="ja-JP"/>
              </w:rPr>
              <w:t xml:space="preserve">end-user </w:t>
            </w:r>
            <w:r w:rsidRPr="000F23D4">
              <w:rPr>
                <w:rFonts w:hint="eastAsia"/>
                <w:lang w:eastAsia="ja-JP"/>
              </w:rPr>
              <w:t>Standard Dynamic Range (SDR)</w:t>
            </w:r>
            <w:r w:rsidRPr="000F23D4">
              <w:rPr>
                <w:lang w:eastAsia="ja-JP"/>
              </w:rPr>
              <w:t xml:space="preserve"> display </w:t>
            </w:r>
            <w:proofErr w:type="gramStart"/>
            <w:r w:rsidRPr="000F23D4">
              <w:rPr>
                <w:lang w:eastAsia="ja-JP"/>
              </w:rPr>
              <w:t xml:space="preserve">of </w:t>
            </w:r>
            <w:r w:rsidRPr="000F23D4">
              <w:rPr>
                <w:rFonts w:hint="eastAsia"/>
                <w:lang w:eastAsia="ja-JP"/>
              </w:rPr>
              <w:t>about 3</w:t>
            </w:r>
            <w:r w:rsidRPr="000F23D4">
              <w:rPr>
                <w:lang w:eastAsia="ja-JP"/>
              </w:rPr>
              <w:t xml:space="preserve">00 </w:t>
            </w:r>
            <w:proofErr w:type="spellStart"/>
            <w:r w:rsidRPr="000F23D4">
              <w:rPr>
                <w:lang w:eastAsia="ja-JP"/>
              </w:rPr>
              <w:t>cd</w:t>
            </w:r>
            <w:proofErr w:type="spellEnd"/>
            <w:r w:rsidRPr="000F23D4">
              <w:rPr>
                <w:lang w:eastAsia="ja-JP"/>
              </w:rPr>
              <w:t>/m</w:t>
            </w:r>
            <w:r w:rsidRPr="000F23D4">
              <w:rPr>
                <w:vertAlign w:val="superscript"/>
                <w:lang w:eastAsia="ja-JP"/>
              </w:rPr>
              <w:t>2</w:t>
            </w:r>
            <w:r w:rsidRPr="000F23D4">
              <w:rPr>
                <w:lang w:eastAsia="ja-JP"/>
              </w:rPr>
              <w:t>,</w:t>
            </w:r>
            <w:proofErr w:type="gramEnd"/>
            <w:r w:rsidRPr="000F23D4">
              <w:rPr>
                <w:lang w:eastAsia="ja-JP"/>
              </w:rPr>
              <w:t xml:space="preserve"> the </w:t>
            </w:r>
            <w:r w:rsidRPr="000F23D4">
              <w:rPr>
                <w:rFonts w:hint="eastAsia"/>
                <w:lang w:eastAsia="ja-JP"/>
              </w:rPr>
              <w:t>peak</w:t>
            </w:r>
            <w:r w:rsidRPr="000F23D4">
              <w:rPr>
                <w:lang w:eastAsia="ja-JP"/>
              </w:rPr>
              <w:t xml:space="preserve"> luminance level </w:t>
            </w:r>
            <w:r w:rsidRPr="000F23D4">
              <w:rPr>
                <w:rFonts w:hint="eastAsia"/>
                <w:lang w:eastAsia="ja-JP"/>
              </w:rPr>
              <w:t xml:space="preserve">of an EIDRTV display </w:t>
            </w:r>
            <w:r w:rsidRPr="000F23D4">
              <w:rPr>
                <w:lang w:eastAsia="ja-JP"/>
              </w:rPr>
              <w:t xml:space="preserve">is </w:t>
            </w:r>
            <w:r w:rsidRPr="000F23D4">
              <w:rPr>
                <w:rFonts w:hint="eastAsia"/>
                <w:lang w:eastAsia="ja-JP"/>
              </w:rPr>
              <w:t>about 2,000</w:t>
            </w:r>
            <w:r w:rsidRPr="000F23D4">
              <w:rPr>
                <w:lang w:eastAsia="ja-JP"/>
              </w:rPr>
              <w:t xml:space="preserve"> </w:t>
            </w:r>
            <w:proofErr w:type="spellStart"/>
            <w:r w:rsidRPr="000F23D4">
              <w:rPr>
                <w:lang w:eastAsia="ja-JP"/>
              </w:rPr>
              <w:t>cd</w:t>
            </w:r>
            <w:proofErr w:type="spellEnd"/>
            <w:r w:rsidRPr="000F23D4">
              <w:rPr>
                <w:lang w:eastAsia="ja-JP"/>
              </w:rPr>
              <w:t>/m</w:t>
            </w:r>
            <w:r w:rsidRPr="000F23D4">
              <w:rPr>
                <w:vertAlign w:val="superscript"/>
                <w:lang w:eastAsia="ja-JP"/>
              </w:rPr>
              <w:t>2</w:t>
            </w:r>
            <w:r w:rsidRPr="000F23D4">
              <w:rPr>
                <w:lang w:eastAsia="ja-JP"/>
              </w:rPr>
              <w:t>.</w:t>
            </w:r>
          </w:p>
          <w:p w:rsidR="00E77065" w:rsidRPr="000F23D4" w:rsidRDefault="00E77065" w:rsidP="000F4AE9">
            <w:pPr>
              <w:pStyle w:val="Tabletext"/>
              <w:ind w:left="176" w:hangingChars="88" w:hanging="176"/>
              <w:rPr>
                <w:lang w:val="en-US" w:eastAsia="ja-JP"/>
              </w:rPr>
            </w:pPr>
            <w:r w:rsidRPr="000F23D4">
              <w:rPr>
                <w:rFonts w:hint="eastAsia"/>
                <w:vertAlign w:val="superscript"/>
                <w:lang w:val="en-US" w:eastAsia="ja-JP"/>
              </w:rPr>
              <w:t>2</w:t>
            </w:r>
            <w:r w:rsidRPr="000F23D4">
              <w:rPr>
                <w:lang w:val="en-US" w:eastAsia="ja-JP"/>
              </w:rPr>
              <w:tab/>
            </w:r>
            <w:r w:rsidRPr="000F23D4">
              <w:rPr>
                <w:lang w:val="en-US"/>
              </w:rPr>
              <w:t>In typical production practice</w:t>
            </w:r>
            <w:r w:rsidRPr="000F23D4">
              <w:rPr>
                <w:rFonts w:hint="eastAsia"/>
                <w:lang w:val="en-US" w:eastAsia="ja-JP"/>
              </w:rPr>
              <w:t>,</w:t>
            </w:r>
            <w:r w:rsidRPr="000F23D4">
              <w:rPr>
                <w:lang w:val="en-US"/>
              </w:rPr>
              <w:t xml:space="preserve"> the encoding function of image sources is adjusted so that the final picture has the desired look</w:t>
            </w:r>
            <w:r w:rsidRPr="000F23D4">
              <w:rPr>
                <w:rFonts w:hint="eastAsia"/>
                <w:lang w:val="en-US" w:eastAsia="ja-JP"/>
              </w:rPr>
              <w:t xml:space="preserve"> </w:t>
            </w:r>
            <w:r w:rsidRPr="000F23D4">
              <w:rPr>
                <w:lang w:val="en-US"/>
              </w:rPr>
              <w:t>as viewed on a reference monitor having the reference decoding function of Recommendation ITU-R BT.1886 in the reference viewing environment defined in Recommendation ITU-R BT.2035.</w:t>
            </w:r>
          </w:p>
          <w:p w:rsidR="00E77065" w:rsidRPr="00773163" w:rsidRDefault="00E77065" w:rsidP="000F4AE9">
            <w:pPr>
              <w:pStyle w:val="Tabletext"/>
              <w:ind w:left="176" w:hangingChars="88" w:hanging="176"/>
              <w:rPr>
                <w:position w:val="-58"/>
                <w:lang w:eastAsia="ja-JP"/>
              </w:rPr>
            </w:pPr>
            <w:r w:rsidRPr="000F23D4">
              <w:rPr>
                <w:rFonts w:hint="eastAsia"/>
                <w:vertAlign w:val="superscript"/>
                <w:lang w:eastAsia="ja-JP"/>
              </w:rPr>
              <w:t>3</w:t>
            </w:r>
            <w:r w:rsidRPr="000F23D4">
              <w:rPr>
                <w:lang w:eastAsia="ja-JP"/>
              </w:rPr>
              <w:tab/>
            </w:r>
            <w:r w:rsidRPr="000F23D4">
              <w:rPr>
                <w:rFonts w:hint="eastAsia"/>
                <w:lang w:eastAsia="ja-JP"/>
              </w:rPr>
              <w:t xml:space="preserve">In the region where </w:t>
            </w:r>
            <w:r w:rsidRPr="000F23D4">
              <w:rPr>
                <w:position w:val="-6"/>
              </w:rPr>
              <w:object w:dxaOrig="279" w:dyaOrig="240">
                <v:shape id="_x0000_i1030" type="#_x0000_t75" style="width:14.4pt;height:11.25pt" o:ole="">
                  <v:imagedata r:id="rId11" o:title=""/>
                </v:shape>
                <o:OLEObject Type="Embed" ProgID="Equation.DSMT4" ShapeID="_x0000_i1030" DrawAspect="Content" ObjectID="_1484069151" r:id="rId19"/>
              </w:object>
            </w:r>
            <w:r w:rsidRPr="000F23D4">
              <w:rPr>
                <w:rFonts w:hint="eastAsia"/>
                <w:lang w:eastAsia="ja-JP"/>
              </w:rPr>
              <w:t xml:space="preserve"> &gt; 1, the relative scene luminance can be compressed by using a </w:t>
            </w:r>
            <w:r w:rsidRPr="000F23D4">
              <w:rPr>
                <w:lang w:eastAsia="ja-JP"/>
              </w:rPr>
              <w:t>“</w:t>
            </w:r>
            <w:r w:rsidRPr="000F23D4">
              <w:rPr>
                <w:rFonts w:hint="eastAsia"/>
                <w:lang w:eastAsia="ja-JP"/>
              </w:rPr>
              <w:t>knee</w:t>
            </w:r>
            <w:r w:rsidRPr="000F23D4">
              <w:rPr>
                <w:lang w:eastAsia="ja-JP"/>
              </w:rPr>
              <w:t>”</w:t>
            </w:r>
            <w:r w:rsidRPr="000F23D4">
              <w:rPr>
                <w:rFonts w:hint="eastAsia"/>
                <w:lang w:eastAsia="ja-JP"/>
              </w:rPr>
              <w:t xml:space="preserve"> curve as used in conventional practice.</w:t>
            </w:r>
          </w:p>
        </w:tc>
      </w:tr>
    </w:tbl>
    <w:p w:rsidR="00E77065" w:rsidRPr="000D314C" w:rsidRDefault="00E77065" w:rsidP="00E77065">
      <w:pPr>
        <w:pStyle w:val="TableNo"/>
        <w:spacing w:before="240"/>
        <w:rPr>
          <w:b/>
        </w:rPr>
      </w:pPr>
      <w:r w:rsidRPr="000D314C">
        <w:t>TABLE 5</w:t>
      </w:r>
    </w:p>
    <w:p w:rsidR="00E77065" w:rsidRPr="00E77065" w:rsidRDefault="00E77065" w:rsidP="00E77065">
      <w:pPr>
        <w:pStyle w:val="Tabletitle"/>
      </w:pPr>
      <w:r w:rsidRPr="00E77065">
        <w:t>Digital representation</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750"/>
        <w:gridCol w:w="2192"/>
        <w:gridCol w:w="1174"/>
        <w:gridCol w:w="1174"/>
        <w:gridCol w:w="2349"/>
      </w:tblGrid>
      <w:tr w:rsidR="00E77065" w:rsidRPr="009312F0" w:rsidTr="000F4AE9">
        <w:trPr>
          <w:jc w:val="center"/>
        </w:trPr>
        <w:tc>
          <w:tcPr>
            <w:tcW w:w="2750" w:type="dxa"/>
            <w:vAlign w:val="center"/>
          </w:tcPr>
          <w:p w:rsidR="00E77065" w:rsidRPr="00773163" w:rsidRDefault="00E77065" w:rsidP="000F4AE9">
            <w:pPr>
              <w:pStyle w:val="Tablehead"/>
              <w:rPr>
                <w:rFonts w:ascii="Times New Roman" w:hAnsi="Times New Roman"/>
                <w:sz w:val="22"/>
                <w:szCs w:val="22"/>
                <w:lang w:eastAsia="ko-KR"/>
              </w:rPr>
            </w:pPr>
            <w:r w:rsidRPr="00773163">
              <w:rPr>
                <w:rFonts w:ascii="Times New Roman" w:hAnsi="Times New Roman"/>
                <w:sz w:val="22"/>
                <w:szCs w:val="22"/>
                <w:lang w:eastAsia="ko-KR"/>
              </w:rPr>
              <w:t>Parameters</w:t>
            </w:r>
          </w:p>
        </w:tc>
        <w:tc>
          <w:tcPr>
            <w:tcW w:w="6889" w:type="dxa"/>
            <w:gridSpan w:val="4"/>
            <w:vAlign w:val="center"/>
          </w:tcPr>
          <w:p w:rsidR="00E77065" w:rsidRPr="00773163" w:rsidRDefault="00E77065" w:rsidP="000F4AE9">
            <w:pPr>
              <w:pStyle w:val="Tablehead"/>
              <w:rPr>
                <w:rFonts w:ascii="Times New Roman" w:hAnsi="Times New Roman"/>
                <w:sz w:val="22"/>
                <w:szCs w:val="22"/>
                <w:lang w:eastAsia="ko-KR"/>
              </w:rPr>
            </w:pPr>
            <w:r w:rsidRPr="00773163">
              <w:rPr>
                <w:rFonts w:ascii="Times New Roman" w:hAnsi="Times New Roman"/>
                <w:sz w:val="22"/>
                <w:szCs w:val="22"/>
                <w:lang w:eastAsia="ko-KR"/>
              </w:rPr>
              <w:t>Values</w:t>
            </w:r>
          </w:p>
        </w:tc>
      </w:tr>
      <w:tr w:rsidR="00E77065" w:rsidRPr="009312F0" w:rsidTr="000F4AE9">
        <w:trPr>
          <w:jc w:val="center"/>
        </w:trPr>
        <w:tc>
          <w:tcPr>
            <w:tcW w:w="2750" w:type="dxa"/>
            <w:vAlign w:val="center"/>
          </w:tcPr>
          <w:p w:rsidR="00E77065" w:rsidRPr="00773163" w:rsidRDefault="00E77065" w:rsidP="000F4AE9">
            <w:pPr>
              <w:pStyle w:val="Tabletext"/>
              <w:spacing w:before="0" w:after="0"/>
              <w:rPr>
                <w:sz w:val="22"/>
                <w:szCs w:val="22"/>
                <w:lang w:eastAsia="ko-KR"/>
              </w:rPr>
            </w:pPr>
            <w:r w:rsidRPr="00773163">
              <w:rPr>
                <w:sz w:val="22"/>
                <w:szCs w:val="22"/>
                <w:lang w:eastAsia="ko-KR"/>
              </w:rPr>
              <w:t>Coded signal</w:t>
            </w:r>
          </w:p>
        </w:tc>
        <w:tc>
          <w:tcPr>
            <w:tcW w:w="6889" w:type="dxa"/>
            <w:gridSpan w:val="4"/>
            <w:vAlign w:val="center"/>
          </w:tcPr>
          <w:p w:rsidR="00E77065" w:rsidRPr="00773163" w:rsidRDefault="00E77065" w:rsidP="000F4AE9">
            <w:pPr>
              <w:pStyle w:val="Tabletext"/>
              <w:spacing w:before="0" w:after="0"/>
              <w:jc w:val="center"/>
              <w:rPr>
                <w:i/>
                <w:sz w:val="22"/>
                <w:szCs w:val="22"/>
                <w:lang w:eastAsia="ko-KR"/>
              </w:rPr>
            </w:pPr>
            <w:r w:rsidRPr="00773163">
              <w:rPr>
                <w:i/>
                <w:sz w:val="22"/>
                <w:szCs w:val="22"/>
                <w:lang w:eastAsia="ko-KR"/>
              </w:rPr>
              <w:t>R',</w:t>
            </w:r>
            <w:r w:rsidRPr="00773163">
              <w:rPr>
                <w:i/>
                <w:sz w:val="22"/>
                <w:szCs w:val="22"/>
                <w:lang w:eastAsia="ja-JP"/>
              </w:rPr>
              <w:t xml:space="preserve"> </w:t>
            </w:r>
            <w:r w:rsidRPr="00773163">
              <w:rPr>
                <w:i/>
                <w:sz w:val="22"/>
                <w:szCs w:val="22"/>
                <w:lang w:eastAsia="ko-KR"/>
              </w:rPr>
              <w:t xml:space="preserve">G', B' </w:t>
            </w:r>
            <w:r w:rsidRPr="00773163">
              <w:rPr>
                <w:sz w:val="22"/>
                <w:szCs w:val="22"/>
                <w:lang w:eastAsia="ko-KR"/>
              </w:rPr>
              <w:t>or</w:t>
            </w:r>
            <w:r w:rsidRPr="00773163">
              <w:rPr>
                <w:i/>
                <w:sz w:val="22"/>
                <w:szCs w:val="22"/>
                <w:lang w:eastAsia="ko-KR"/>
              </w:rPr>
              <w:t xml:space="preserve"> Y', C'</w:t>
            </w:r>
            <w:r w:rsidRPr="00773163">
              <w:rPr>
                <w:i/>
                <w:sz w:val="22"/>
                <w:szCs w:val="22"/>
                <w:vertAlign w:val="subscript"/>
                <w:lang w:eastAsia="ko-KR"/>
              </w:rPr>
              <w:t>B</w:t>
            </w:r>
            <w:r w:rsidRPr="00773163">
              <w:rPr>
                <w:i/>
                <w:sz w:val="22"/>
                <w:szCs w:val="22"/>
                <w:lang w:eastAsia="ko-KR"/>
              </w:rPr>
              <w:t>, C'</w:t>
            </w:r>
            <w:r w:rsidRPr="00773163">
              <w:rPr>
                <w:i/>
                <w:sz w:val="22"/>
                <w:szCs w:val="22"/>
                <w:vertAlign w:val="subscript"/>
                <w:lang w:eastAsia="ko-KR"/>
              </w:rPr>
              <w:t>R</w:t>
            </w:r>
          </w:p>
        </w:tc>
      </w:tr>
      <w:tr w:rsidR="00E77065" w:rsidRPr="009312F0" w:rsidTr="000F4AE9">
        <w:trPr>
          <w:jc w:val="center"/>
        </w:trPr>
        <w:tc>
          <w:tcPr>
            <w:tcW w:w="2750" w:type="dxa"/>
            <w:vAlign w:val="center"/>
          </w:tcPr>
          <w:p w:rsidR="00E77065" w:rsidRPr="00773163" w:rsidRDefault="00E77065" w:rsidP="000F4AE9">
            <w:pPr>
              <w:pStyle w:val="Tabletext"/>
              <w:spacing w:before="0" w:after="0"/>
              <w:rPr>
                <w:sz w:val="22"/>
                <w:szCs w:val="22"/>
                <w:lang w:eastAsia="ko-KR"/>
              </w:rPr>
            </w:pPr>
            <w:r w:rsidRPr="00773163">
              <w:rPr>
                <w:sz w:val="22"/>
                <w:szCs w:val="22"/>
                <w:lang w:eastAsia="ko-KR"/>
              </w:rPr>
              <w:t>Sampling lattice</w:t>
            </w:r>
          </w:p>
          <w:p w:rsidR="00E77065" w:rsidRPr="00773163" w:rsidRDefault="00E77065" w:rsidP="000F4AE9">
            <w:pPr>
              <w:pStyle w:val="Tabletext"/>
              <w:spacing w:before="0" w:after="0"/>
              <w:rPr>
                <w:sz w:val="22"/>
                <w:szCs w:val="22"/>
                <w:lang w:eastAsia="ja-JP"/>
              </w:rPr>
            </w:pPr>
            <w:r w:rsidRPr="00773163">
              <w:rPr>
                <w:sz w:val="22"/>
                <w:szCs w:val="22"/>
                <w:lang w:eastAsia="ko-KR"/>
              </w:rPr>
              <w:t>–</w:t>
            </w:r>
            <w:r w:rsidRPr="00773163">
              <w:rPr>
                <w:i/>
                <w:sz w:val="22"/>
                <w:szCs w:val="22"/>
                <w:lang w:eastAsia="ko-KR"/>
              </w:rPr>
              <w:t xml:space="preserve"> R',</w:t>
            </w:r>
            <w:r w:rsidRPr="00773163">
              <w:rPr>
                <w:i/>
                <w:sz w:val="22"/>
                <w:szCs w:val="22"/>
                <w:lang w:eastAsia="ja-JP"/>
              </w:rPr>
              <w:t xml:space="preserve"> </w:t>
            </w:r>
            <w:r w:rsidRPr="00773163">
              <w:rPr>
                <w:i/>
                <w:sz w:val="22"/>
                <w:szCs w:val="22"/>
                <w:lang w:eastAsia="ko-KR"/>
              </w:rPr>
              <w:t>G', B', Y'</w:t>
            </w:r>
          </w:p>
        </w:tc>
        <w:tc>
          <w:tcPr>
            <w:tcW w:w="6889" w:type="dxa"/>
            <w:gridSpan w:val="4"/>
            <w:vAlign w:val="center"/>
          </w:tcPr>
          <w:p w:rsidR="00E77065" w:rsidRPr="00773163" w:rsidRDefault="00E77065" w:rsidP="000F4AE9">
            <w:pPr>
              <w:pStyle w:val="Tabletext"/>
              <w:spacing w:before="0" w:after="0"/>
              <w:jc w:val="center"/>
              <w:rPr>
                <w:sz w:val="22"/>
                <w:szCs w:val="22"/>
                <w:lang w:eastAsia="ko-KR"/>
              </w:rPr>
            </w:pPr>
            <w:r w:rsidRPr="00773163">
              <w:rPr>
                <w:sz w:val="22"/>
                <w:szCs w:val="22"/>
                <w:lang w:eastAsia="ko-KR"/>
              </w:rPr>
              <w:t>Orthogonal, line and picture repetitive co-sited</w:t>
            </w:r>
          </w:p>
        </w:tc>
      </w:tr>
      <w:tr w:rsidR="00E77065" w:rsidRPr="009312F0" w:rsidTr="000F4AE9">
        <w:trPr>
          <w:jc w:val="center"/>
        </w:trPr>
        <w:tc>
          <w:tcPr>
            <w:tcW w:w="2750" w:type="dxa"/>
            <w:vMerge w:val="restart"/>
            <w:vAlign w:val="center"/>
          </w:tcPr>
          <w:p w:rsidR="00E77065" w:rsidRPr="00773163" w:rsidRDefault="00E77065" w:rsidP="000F4AE9">
            <w:pPr>
              <w:pStyle w:val="Tabletext"/>
              <w:spacing w:before="0" w:after="0"/>
              <w:rPr>
                <w:sz w:val="22"/>
                <w:szCs w:val="22"/>
                <w:lang w:eastAsia="ko-KR"/>
              </w:rPr>
            </w:pPr>
            <w:r w:rsidRPr="00773163">
              <w:rPr>
                <w:sz w:val="22"/>
                <w:szCs w:val="22"/>
                <w:lang w:eastAsia="ko-KR"/>
              </w:rPr>
              <w:t>Sampling lattice</w:t>
            </w:r>
          </w:p>
          <w:p w:rsidR="00E77065" w:rsidRPr="00773163" w:rsidRDefault="00E77065" w:rsidP="000F4AE9">
            <w:pPr>
              <w:pStyle w:val="Tabletext"/>
              <w:spacing w:before="0" w:after="0"/>
              <w:rPr>
                <w:sz w:val="22"/>
                <w:szCs w:val="22"/>
                <w:lang w:eastAsia="ja-JP"/>
              </w:rPr>
            </w:pPr>
            <w:r w:rsidRPr="00773163">
              <w:rPr>
                <w:sz w:val="22"/>
                <w:szCs w:val="22"/>
                <w:lang w:eastAsia="ko-KR"/>
              </w:rPr>
              <w:t xml:space="preserve">– </w:t>
            </w:r>
            <w:r w:rsidRPr="00773163">
              <w:rPr>
                <w:i/>
                <w:sz w:val="22"/>
                <w:szCs w:val="22"/>
                <w:lang w:eastAsia="ko-KR"/>
              </w:rPr>
              <w:t>C'</w:t>
            </w:r>
            <w:r w:rsidRPr="00773163">
              <w:rPr>
                <w:i/>
                <w:sz w:val="22"/>
                <w:szCs w:val="22"/>
                <w:vertAlign w:val="subscript"/>
                <w:lang w:eastAsia="ko-KR"/>
              </w:rPr>
              <w:t>B</w:t>
            </w:r>
            <w:r w:rsidRPr="00773163">
              <w:rPr>
                <w:i/>
                <w:sz w:val="22"/>
                <w:szCs w:val="22"/>
                <w:lang w:eastAsia="ko-KR"/>
              </w:rPr>
              <w:t>, C'</w:t>
            </w:r>
            <w:r w:rsidRPr="00773163">
              <w:rPr>
                <w:i/>
                <w:sz w:val="22"/>
                <w:szCs w:val="22"/>
                <w:vertAlign w:val="subscript"/>
                <w:lang w:eastAsia="ko-KR"/>
              </w:rPr>
              <w:t>R</w:t>
            </w:r>
          </w:p>
        </w:tc>
        <w:tc>
          <w:tcPr>
            <w:tcW w:w="6889" w:type="dxa"/>
            <w:gridSpan w:val="4"/>
            <w:vAlign w:val="center"/>
          </w:tcPr>
          <w:p w:rsidR="00E77065" w:rsidRPr="00773163" w:rsidRDefault="00E77065" w:rsidP="000F4AE9">
            <w:pPr>
              <w:pStyle w:val="Tabletext"/>
              <w:spacing w:before="0" w:after="0"/>
              <w:jc w:val="center"/>
              <w:rPr>
                <w:sz w:val="22"/>
                <w:szCs w:val="22"/>
                <w:lang w:eastAsia="ja-JP"/>
              </w:rPr>
            </w:pPr>
            <w:r w:rsidRPr="00773163">
              <w:rPr>
                <w:sz w:val="22"/>
                <w:szCs w:val="22"/>
                <w:lang w:eastAsia="ko-KR"/>
              </w:rPr>
              <w:t>Orthogonal, line and picture repetitive co-sited with each other</w:t>
            </w:r>
            <w:r w:rsidRPr="00773163">
              <w:rPr>
                <w:sz w:val="22"/>
                <w:szCs w:val="22"/>
                <w:lang w:eastAsia="ja-JP"/>
              </w:rPr>
              <w:t>.</w:t>
            </w:r>
          </w:p>
          <w:p w:rsidR="00E77065" w:rsidRPr="00773163" w:rsidRDefault="00E77065" w:rsidP="000F4AE9">
            <w:pPr>
              <w:pStyle w:val="Tabletext"/>
              <w:spacing w:before="0" w:after="0"/>
              <w:jc w:val="center"/>
              <w:rPr>
                <w:sz w:val="22"/>
                <w:szCs w:val="22"/>
                <w:lang w:eastAsia="ja-JP"/>
              </w:rPr>
            </w:pPr>
            <w:r w:rsidRPr="00773163">
              <w:rPr>
                <w:sz w:val="22"/>
                <w:szCs w:val="22"/>
                <w:lang w:eastAsia="ko-KR"/>
              </w:rPr>
              <w:t>The first (top-left) sample is co-sited with the first</w:t>
            </w:r>
            <w:r w:rsidRPr="00773163">
              <w:rPr>
                <w:i/>
                <w:sz w:val="22"/>
                <w:szCs w:val="22"/>
                <w:lang w:eastAsia="ko-KR"/>
              </w:rPr>
              <w:t xml:space="preserve"> Y’</w:t>
            </w:r>
            <w:r w:rsidRPr="00773163">
              <w:rPr>
                <w:sz w:val="22"/>
                <w:szCs w:val="22"/>
                <w:lang w:eastAsia="ko-KR"/>
              </w:rPr>
              <w:t xml:space="preserve"> samples</w:t>
            </w:r>
            <w:r w:rsidRPr="00773163">
              <w:rPr>
                <w:sz w:val="22"/>
                <w:szCs w:val="22"/>
                <w:lang w:eastAsia="ja-JP"/>
              </w:rPr>
              <w:t>.</w:t>
            </w:r>
          </w:p>
        </w:tc>
      </w:tr>
      <w:tr w:rsidR="00E77065" w:rsidRPr="009312F0" w:rsidTr="000F4AE9">
        <w:trPr>
          <w:jc w:val="center"/>
        </w:trPr>
        <w:tc>
          <w:tcPr>
            <w:tcW w:w="2750" w:type="dxa"/>
            <w:vMerge/>
            <w:vAlign w:val="center"/>
          </w:tcPr>
          <w:p w:rsidR="00E77065" w:rsidRPr="00773163" w:rsidRDefault="00E77065" w:rsidP="000F4AE9">
            <w:pPr>
              <w:pStyle w:val="Tabletext"/>
              <w:spacing w:before="0" w:after="0"/>
              <w:rPr>
                <w:sz w:val="22"/>
                <w:szCs w:val="22"/>
                <w:lang w:eastAsia="ko-KR"/>
              </w:rPr>
            </w:pPr>
          </w:p>
        </w:tc>
        <w:tc>
          <w:tcPr>
            <w:tcW w:w="2192" w:type="dxa"/>
            <w:vAlign w:val="center"/>
          </w:tcPr>
          <w:p w:rsidR="00E77065" w:rsidRPr="00773163" w:rsidRDefault="00E77065" w:rsidP="000F4AE9">
            <w:pPr>
              <w:pStyle w:val="Tabletext"/>
              <w:spacing w:before="0" w:after="0"/>
              <w:jc w:val="center"/>
              <w:rPr>
                <w:sz w:val="22"/>
                <w:szCs w:val="22"/>
                <w:lang w:eastAsia="ko-KR"/>
              </w:rPr>
            </w:pPr>
            <w:r w:rsidRPr="00773163">
              <w:rPr>
                <w:sz w:val="22"/>
                <w:szCs w:val="22"/>
                <w:lang w:eastAsia="ja-JP"/>
              </w:rPr>
              <w:t>4:4:4 system</w:t>
            </w:r>
          </w:p>
        </w:tc>
        <w:tc>
          <w:tcPr>
            <w:tcW w:w="2348" w:type="dxa"/>
            <w:gridSpan w:val="2"/>
            <w:vAlign w:val="center"/>
          </w:tcPr>
          <w:p w:rsidR="00E77065" w:rsidRPr="00773163" w:rsidRDefault="00E77065" w:rsidP="000F4AE9">
            <w:pPr>
              <w:pStyle w:val="Tabletext"/>
              <w:spacing w:before="0" w:after="0"/>
              <w:jc w:val="center"/>
              <w:rPr>
                <w:sz w:val="22"/>
                <w:szCs w:val="22"/>
                <w:lang w:eastAsia="ja-JP"/>
              </w:rPr>
            </w:pPr>
            <w:r w:rsidRPr="00773163">
              <w:rPr>
                <w:sz w:val="22"/>
                <w:szCs w:val="22"/>
                <w:lang w:eastAsia="ja-JP"/>
              </w:rPr>
              <w:t>4:2:2 system</w:t>
            </w:r>
          </w:p>
        </w:tc>
        <w:tc>
          <w:tcPr>
            <w:tcW w:w="2349" w:type="dxa"/>
            <w:vAlign w:val="center"/>
          </w:tcPr>
          <w:p w:rsidR="00E77065" w:rsidRPr="00773163" w:rsidRDefault="00E77065" w:rsidP="000F4AE9">
            <w:pPr>
              <w:pStyle w:val="Tabletext"/>
              <w:spacing w:before="0" w:after="0"/>
              <w:jc w:val="center"/>
              <w:rPr>
                <w:sz w:val="22"/>
                <w:szCs w:val="22"/>
                <w:lang w:eastAsia="ko-KR"/>
              </w:rPr>
            </w:pPr>
            <w:r w:rsidRPr="00773163">
              <w:rPr>
                <w:sz w:val="22"/>
                <w:szCs w:val="22"/>
                <w:lang w:eastAsia="ja-JP"/>
              </w:rPr>
              <w:t>4:2:0 system</w:t>
            </w:r>
          </w:p>
        </w:tc>
      </w:tr>
      <w:tr w:rsidR="00E77065" w:rsidRPr="009312F0" w:rsidTr="000F4AE9">
        <w:trPr>
          <w:jc w:val="center"/>
        </w:trPr>
        <w:tc>
          <w:tcPr>
            <w:tcW w:w="2750" w:type="dxa"/>
            <w:vMerge/>
            <w:vAlign w:val="center"/>
          </w:tcPr>
          <w:p w:rsidR="00E77065" w:rsidRPr="00773163" w:rsidRDefault="00E77065" w:rsidP="000F4AE9">
            <w:pPr>
              <w:pStyle w:val="Tabletext"/>
              <w:spacing w:before="0" w:after="0"/>
              <w:rPr>
                <w:sz w:val="22"/>
                <w:szCs w:val="22"/>
                <w:lang w:eastAsia="ko-KR"/>
              </w:rPr>
            </w:pPr>
          </w:p>
        </w:tc>
        <w:tc>
          <w:tcPr>
            <w:tcW w:w="2192" w:type="dxa"/>
            <w:vAlign w:val="center"/>
          </w:tcPr>
          <w:p w:rsidR="00E77065" w:rsidRPr="00773163" w:rsidRDefault="00E77065" w:rsidP="000F4AE9">
            <w:pPr>
              <w:pStyle w:val="Tabletext"/>
              <w:spacing w:before="0" w:after="0"/>
              <w:jc w:val="center"/>
              <w:rPr>
                <w:sz w:val="22"/>
                <w:szCs w:val="22"/>
                <w:lang w:eastAsia="ko-KR"/>
              </w:rPr>
            </w:pPr>
            <w:r w:rsidRPr="00773163">
              <w:rPr>
                <w:sz w:val="22"/>
                <w:szCs w:val="22"/>
                <w:lang w:eastAsia="ja-JP"/>
              </w:rPr>
              <w:t xml:space="preserve">Each has the same number of horizontal samples as the </w:t>
            </w:r>
            <w:r w:rsidRPr="00773163">
              <w:rPr>
                <w:i/>
                <w:sz w:val="22"/>
                <w:szCs w:val="22"/>
                <w:lang w:eastAsia="ko-KR"/>
              </w:rPr>
              <w:t>Y'</w:t>
            </w:r>
            <w:r w:rsidRPr="00773163" w:rsidDel="00A74A34">
              <w:rPr>
                <w:i/>
                <w:sz w:val="22"/>
                <w:szCs w:val="22"/>
                <w:lang w:eastAsia="ko-KR"/>
              </w:rPr>
              <w:t xml:space="preserve"> </w:t>
            </w:r>
            <w:r w:rsidRPr="00773163">
              <w:rPr>
                <w:sz w:val="22"/>
                <w:szCs w:val="22"/>
                <w:lang w:eastAsia="ja-JP"/>
              </w:rPr>
              <w:t>component.</w:t>
            </w:r>
          </w:p>
        </w:tc>
        <w:tc>
          <w:tcPr>
            <w:tcW w:w="2348" w:type="dxa"/>
            <w:gridSpan w:val="2"/>
            <w:vAlign w:val="center"/>
          </w:tcPr>
          <w:p w:rsidR="00E77065" w:rsidRPr="00773163" w:rsidRDefault="00E77065" w:rsidP="000F4AE9">
            <w:pPr>
              <w:pStyle w:val="Tabletext"/>
              <w:spacing w:before="0" w:after="0"/>
              <w:jc w:val="center"/>
              <w:rPr>
                <w:sz w:val="22"/>
                <w:szCs w:val="22"/>
                <w:lang w:eastAsia="ja-JP"/>
              </w:rPr>
            </w:pPr>
            <w:r w:rsidRPr="00773163">
              <w:rPr>
                <w:sz w:val="22"/>
                <w:szCs w:val="22"/>
                <w:lang w:eastAsia="ja-JP"/>
              </w:rPr>
              <w:t xml:space="preserve">Horizontally </w:t>
            </w:r>
            <w:r w:rsidRPr="00773163">
              <w:rPr>
                <w:sz w:val="22"/>
                <w:szCs w:val="22"/>
                <w:lang w:eastAsia="ko-KR"/>
              </w:rPr>
              <w:br/>
            </w:r>
            <w:proofErr w:type="spellStart"/>
            <w:r w:rsidRPr="00773163">
              <w:rPr>
                <w:sz w:val="22"/>
                <w:szCs w:val="22"/>
                <w:lang w:eastAsia="ja-JP"/>
              </w:rPr>
              <w:t>subsampled</w:t>
            </w:r>
            <w:proofErr w:type="spellEnd"/>
            <w:r w:rsidRPr="00773163">
              <w:rPr>
                <w:sz w:val="22"/>
                <w:szCs w:val="22"/>
                <w:lang w:eastAsia="ja-JP"/>
              </w:rPr>
              <w:t xml:space="preserve"> by a factor of two with respect to </w:t>
            </w:r>
            <w:r w:rsidRPr="00773163">
              <w:rPr>
                <w:sz w:val="22"/>
                <w:szCs w:val="22"/>
                <w:lang w:eastAsia="ko-KR"/>
              </w:rPr>
              <w:br/>
            </w:r>
            <w:r w:rsidRPr="00773163">
              <w:rPr>
                <w:sz w:val="22"/>
                <w:szCs w:val="22"/>
                <w:lang w:eastAsia="ja-JP"/>
              </w:rPr>
              <w:t xml:space="preserve">the </w:t>
            </w:r>
            <w:r w:rsidRPr="00773163">
              <w:rPr>
                <w:i/>
                <w:sz w:val="22"/>
                <w:szCs w:val="22"/>
                <w:lang w:eastAsia="ko-KR"/>
              </w:rPr>
              <w:t>Y'</w:t>
            </w:r>
            <w:r w:rsidRPr="00773163" w:rsidDel="00A74A34">
              <w:rPr>
                <w:i/>
                <w:sz w:val="22"/>
                <w:szCs w:val="22"/>
                <w:lang w:eastAsia="ko-KR"/>
              </w:rPr>
              <w:t xml:space="preserve"> </w:t>
            </w:r>
            <w:r w:rsidRPr="00773163">
              <w:rPr>
                <w:sz w:val="22"/>
                <w:szCs w:val="22"/>
                <w:lang w:eastAsia="ja-JP"/>
              </w:rPr>
              <w:t>component.</w:t>
            </w:r>
          </w:p>
        </w:tc>
        <w:tc>
          <w:tcPr>
            <w:tcW w:w="2349" w:type="dxa"/>
            <w:vAlign w:val="center"/>
          </w:tcPr>
          <w:p w:rsidR="00E77065" w:rsidRPr="00773163" w:rsidRDefault="00E77065" w:rsidP="000F4AE9">
            <w:pPr>
              <w:pStyle w:val="Tabletext"/>
              <w:spacing w:before="0" w:after="0"/>
              <w:jc w:val="center"/>
              <w:rPr>
                <w:sz w:val="22"/>
                <w:szCs w:val="22"/>
                <w:lang w:eastAsia="ko-KR"/>
              </w:rPr>
            </w:pPr>
            <w:r w:rsidRPr="00773163">
              <w:rPr>
                <w:sz w:val="22"/>
                <w:szCs w:val="22"/>
                <w:lang w:eastAsia="ja-JP"/>
              </w:rPr>
              <w:t xml:space="preserve">Horizontally and vertically </w:t>
            </w:r>
            <w:proofErr w:type="spellStart"/>
            <w:r w:rsidRPr="00773163">
              <w:rPr>
                <w:sz w:val="22"/>
                <w:szCs w:val="22"/>
                <w:lang w:eastAsia="ja-JP"/>
              </w:rPr>
              <w:t>subsampled</w:t>
            </w:r>
            <w:proofErr w:type="spellEnd"/>
            <w:r w:rsidRPr="00773163">
              <w:rPr>
                <w:sz w:val="22"/>
                <w:szCs w:val="22"/>
                <w:lang w:eastAsia="ja-JP"/>
              </w:rPr>
              <w:t xml:space="preserve"> by a factor of two with respect to the</w:t>
            </w:r>
            <w:r w:rsidRPr="00773163">
              <w:rPr>
                <w:sz w:val="22"/>
                <w:szCs w:val="22"/>
                <w:lang w:eastAsia="ko-KR"/>
              </w:rPr>
              <w:t xml:space="preserve"> </w:t>
            </w:r>
            <w:r w:rsidRPr="00773163">
              <w:rPr>
                <w:i/>
                <w:sz w:val="22"/>
                <w:szCs w:val="22"/>
                <w:lang w:eastAsia="ko-KR"/>
              </w:rPr>
              <w:t>Y'</w:t>
            </w:r>
            <w:r w:rsidRPr="00773163" w:rsidDel="00A74A34">
              <w:rPr>
                <w:i/>
                <w:sz w:val="22"/>
                <w:szCs w:val="22"/>
                <w:lang w:eastAsia="ko-KR"/>
              </w:rPr>
              <w:t xml:space="preserve"> </w:t>
            </w:r>
            <w:r w:rsidRPr="00773163">
              <w:rPr>
                <w:sz w:val="22"/>
                <w:szCs w:val="22"/>
                <w:lang w:eastAsia="ja-JP"/>
              </w:rPr>
              <w:t>component.</w:t>
            </w:r>
          </w:p>
        </w:tc>
      </w:tr>
      <w:tr w:rsidR="00E77065" w:rsidRPr="009312F0" w:rsidTr="000F4AE9">
        <w:trPr>
          <w:jc w:val="center"/>
        </w:trPr>
        <w:tc>
          <w:tcPr>
            <w:tcW w:w="2750" w:type="dxa"/>
            <w:vAlign w:val="center"/>
          </w:tcPr>
          <w:p w:rsidR="00E77065" w:rsidRPr="00773163" w:rsidRDefault="00E77065" w:rsidP="000F4AE9">
            <w:pPr>
              <w:pStyle w:val="Tabletext"/>
              <w:spacing w:before="0" w:after="0"/>
              <w:rPr>
                <w:sz w:val="22"/>
                <w:szCs w:val="22"/>
                <w:lang w:eastAsia="ja-JP"/>
              </w:rPr>
            </w:pPr>
            <w:r w:rsidRPr="00773163">
              <w:rPr>
                <w:sz w:val="22"/>
                <w:szCs w:val="22"/>
                <w:lang w:eastAsia="ko-KR"/>
              </w:rPr>
              <w:t>Coding format</w:t>
            </w:r>
            <w:r w:rsidRPr="00384C11">
              <w:rPr>
                <w:rFonts w:hint="eastAsia"/>
                <w:sz w:val="22"/>
                <w:szCs w:val="22"/>
                <w:vertAlign w:val="superscript"/>
                <w:lang w:eastAsia="ja-JP"/>
              </w:rPr>
              <w:t xml:space="preserve"> 1</w:t>
            </w:r>
          </w:p>
        </w:tc>
        <w:tc>
          <w:tcPr>
            <w:tcW w:w="6889" w:type="dxa"/>
            <w:gridSpan w:val="4"/>
            <w:vAlign w:val="center"/>
          </w:tcPr>
          <w:p w:rsidR="00E77065" w:rsidRPr="00773163" w:rsidRDefault="00E77065" w:rsidP="000F4AE9">
            <w:pPr>
              <w:pStyle w:val="Tabletext"/>
              <w:spacing w:before="0" w:after="0"/>
              <w:jc w:val="center"/>
              <w:rPr>
                <w:sz w:val="22"/>
                <w:szCs w:val="22"/>
                <w:lang w:eastAsia="ko-KR"/>
              </w:rPr>
            </w:pPr>
            <w:r w:rsidRPr="00773163">
              <w:rPr>
                <w:sz w:val="22"/>
                <w:szCs w:val="22"/>
                <w:lang w:eastAsia="ko-KR"/>
              </w:rPr>
              <w:t>10</w:t>
            </w:r>
            <w:r>
              <w:rPr>
                <w:rFonts w:hint="eastAsia"/>
                <w:sz w:val="22"/>
                <w:szCs w:val="22"/>
                <w:lang w:eastAsia="ja-JP"/>
              </w:rPr>
              <w:t xml:space="preserve"> or</w:t>
            </w:r>
            <w:r w:rsidRPr="00773163">
              <w:rPr>
                <w:sz w:val="22"/>
                <w:szCs w:val="22"/>
                <w:lang w:eastAsia="ko-KR"/>
              </w:rPr>
              <w:t xml:space="preserve"> 12 </w:t>
            </w:r>
            <w:r>
              <w:rPr>
                <w:rFonts w:hint="eastAsia"/>
                <w:sz w:val="22"/>
                <w:szCs w:val="22"/>
                <w:lang w:eastAsia="ja-JP"/>
              </w:rPr>
              <w:t xml:space="preserve">bits </w:t>
            </w:r>
            <w:r w:rsidRPr="00773163">
              <w:rPr>
                <w:sz w:val="22"/>
                <w:szCs w:val="22"/>
                <w:lang w:eastAsia="ko-KR"/>
              </w:rPr>
              <w:t>per component</w:t>
            </w:r>
          </w:p>
        </w:tc>
      </w:tr>
      <w:tr w:rsidR="00E77065" w:rsidRPr="009312F0" w:rsidTr="000F4AE9">
        <w:trPr>
          <w:jc w:val="center"/>
        </w:trPr>
        <w:tc>
          <w:tcPr>
            <w:tcW w:w="2750" w:type="dxa"/>
            <w:vAlign w:val="center"/>
          </w:tcPr>
          <w:p w:rsidR="00E77065" w:rsidRPr="00773163" w:rsidRDefault="00E77065" w:rsidP="000F4AE9">
            <w:pPr>
              <w:pStyle w:val="Tabletext"/>
              <w:spacing w:before="20" w:after="20"/>
              <w:rPr>
                <w:sz w:val="22"/>
                <w:szCs w:val="22"/>
                <w:lang w:eastAsia="ja-JP"/>
              </w:rPr>
            </w:pPr>
            <w:r w:rsidRPr="00773163">
              <w:rPr>
                <w:sz w:val="22"/>
                <w:szCs w:val="22"/>
                <w:lang w:eastAsia="ko-KR"/>
              </w:rPr>
              <w:t xml:space="preserve">Quantization of </w:t>
            </w:r>
            <w:r w:rsidRPr="00773163">
              <w:rPr>
                <w:i/>
                <w:sz w:val="22"/>
                <w:szCs w:val="22"/>
                <w:lang w:eastAsia="ko-KR"/>
              </w:rPr>
              <w:t>R',</w:t>
            </w:r>
            <w:r w:rsidRPr="00773163">
              <w:rPr>
                <w:i/>
                <w:sz w:val="22"/>
                <w:szCs w:val="22"/>
                <w:lang w:eastAsia="ja-JP"/>
              </w:rPr>
              <w:t xml:space="preserve"> </w:t>
            </w:r>
            <w:r w:rsidRPr="00773163">
              <w:rPr>
                <w:i/>
                <w:sz w:val="22"/>
                <w:szCs w:val="22"/>
                <w:lang w:eastAsia="ko-KR"/>
              </w:rPr>
              <w:t>G', B', Y',</w:t>
            </w:r>
            <w:r w:rsidR="00D41FC7">
              <w:rPr>
                <w:rFonts w:hint="eastAsia"/>
                <w:i/>
                <w:strike/>
                <w:sz w:val="22"/>
                <w:szCs w:val="22"/>
                <w:lang w:eastAsia="ja-JP"/>
              </w:rPr>
              <w:t xml:space="preserve"> </w:t>
            </w:r>
            <w:r w:rsidRPr="00773163">
              <w:rPr>
                <w:i/>
                <w:sz w:val="22"/>
                <w:szCs w:val="22"/>
                <w:lang w:eastAsia="ko-KR"/>
              </w:rPr>
              <w:t>C'</w:t>
            </w:r>
            <w:r w:rsidRPr="00773163">
              <w:rPr>
                <w:i/>
                <w:sz w:val="22"/>
                <w:szCs w:val="22"/>
                <w:vertAlign w:val="subscript"/>
                <w:lang w:eastAsia="ko-KR"/>
              </w:rPr>
              <w:t>B</w:t>
            </w:r>
            <w:r w:rsidRPr="00773163">
              <w:rPr>
                <w:i/>
                <w:sz w:val="22"/>
                <w:szCs w:val="22"/>
                <w:lang w:eastAsia="ko-KR"/>
              </w:rPr>
              <w:t>, C'</w:t>
            </w:r>
            <w:r w:rsidRPr="00773163">
              <w:rPr>
                <w:i/>
                <w:sz w:val="22"/>
                <w:szCs w:val="22"/>
                <w:vertAlign w:val="subscript"/>
                <w:lang w:eastAsia="ko-KR"/>
              </w:rPr>
              <w:t>R</w:t>
            </w:r>
          </w:p>
        </w:tc>
        <w:tc>
          <w:tcPr>
            <w:tcW w:w="6889" w:type="dxa"/>
            <w:gridSpan w:val="4"/>
            <w:vAlign w:val="center"/>
          </w:tcPr>
          <w:p w:rsidR="00E77065" w:rsidRPr="00773163" w:rsidRDefault="00D41FC7" w:rsidP="00D41FC7">
            <w:pPr>
              <w:spacing w:before="0"/>
              <w:jc w:val="center"/>
              <w:rPr>
                <w:position w:val="-10"/>
                <w:szCs w:val="22"/>
                <w:lang w:eastAsia="ko-KR"/>
              </w:rPr>
            </w:pPr>
            <w:r w:rsidRPr="00D41FC7">
              <w:rPr>
                <w:position w:val="-24"/>
                <w:szCs w:val="22"/>
                <w:lang w:eastAsia="ja-JP"/>
              </w:rPr>
              <w:object w:dxaOrig="3480" w:dyaOrig="600">
                <v:shape id="_x0000_i1031" type="#_x0000_t75" style="width:174.7pt;height:35.05pt" o:ole="">
                  <v:imagedata r:id="rId20" o:title=""/>
                </v:shape>
                <o:OLEObject Type="Embed" ProgID="Equation.3" ShapeID="_x0000_i1031" DrawAspect="Content" ObjectID="_1484069152" r:id="rId21"/>
              </w:object>
            </w:r>
          </w:p>
          <w:p w:rsidR="00E77065" w:rsidRPr="00773163" w:rsidRDefault="00D41FC7" w:rsidP="00D41FC7">
            <w:pPr>
              <w:spacing w:before="0"/>
              <w:jc w:val="center"/>
              <w:rPr>
                <w:position w:val="-10"/>
                <w:szCs w:val="22"/>
                <w:lang w:eastAsia="ko-KR"/>
              </w:rPr>
            </w:pPr>
            <w:r w:rsidRPr="00D41FC7">
              <w:rPr>
                <w:position w:val="-24"/>
                <w:szCs w:val="22"/>
                <w:lang w:eastAsia="ja-JP"/>
              </w:rPr>
              <w:object w:dxaOrig="3519" w:dyaOrig="600">
                <v:shape id="_x0000_i1032" type="#_x0000_t75" style="width:174.7pt;height:32.55pt" o:ole="">
                  <v:imagedata r:id="rId22" o:title=""/>
                </v:shape>
                <o:OLEObject Type="Embed" ProgID="Equation.3" ShapeID="_x0000_i1032" DrawAspect="Content" ObjectID="_1484069153" r:id="rId23"/>
              </w:object>
            </w:r>
          </w:p>
          <w:p w:rsidR="00E77065" w:rsidRPr="00773163" w:rsidRDefault="00D41FC7" w:rsidP="00D41FC7">
            <w:pPr>
              <w:spacing w:before="0"/>
              <w:jc w:val="center"/>
              <w:rPr>
                <w:position w:val="-10"/>
                <w:szCs w:val="22"/>
                <w:lang w:eastAsia="ko-KR"/>
              </w:rPr>
            </w:pPr>
            <w:r w:rsidRPr="00D41FC7">
              <w:rPr>
                <w:position w:val="-24"/>
                <w:szCs w:val="22"/>
                <w:lang w:eastAsia="ja-JP"/>
              </w:rPr>
              <w:object w:dxaOrig="3460" w:dyaOrig="600">
                <v:shape id="_x0000_i1033" type="#_x0000_t75" style="width:174.05pt;height:32.55pt" o:ole="">
                  <v:imagedata r:id="rId24" o:title=""/>
                </v:shape>
                <o:OLEObject Type="Embed" ProgID="Equation.3" ShapeID="_x0000_i1033" DrawAspect="Content" ObjectID="_1484069154" r:id="rId25"/>
              </w:object>
            </w:r>
          </w:p>
          <w:p w:rsidR="00E77065" w:rsidRPr="00773163" w:rsidRDefault="00D41FC7" w:rsidP="00D41FC7">
            <w:pPr>
              <w:spacing w:before="0"/>
              <w:jc w:val="center"/>
              <w:rPr>
                <w:position w:val="-10"/>
                <w:szCs w:val="22"/>
                <w:lang w:eastAsia="ko-KR"/>
              </w:rPr>
            </w:pPr>
            <w:r w:rsidRPr="00D41FC7">
              <w:rPr>
                <w:position w:val="-24"/>
                <w:szCs w:val="22"/>
                <w:lang w:eastAsia="ja-JP"/>
              </w:rPr>
              <w:object w:dxaOrig="3480" w:dyaOrig="600">
                <v:shape id="_x0000_i1034" type="#_x0000_t75" style="width:174.7pt;height:35.05pt" o:ole="">
                  <v:imagedata r:id="rId26" o:title=""/>
                </v:shape>
                <o:OLEObject Type="Embed" ProgID="Equation.3" ShapeID="_x0000_i1034" DrawAspect="Content" ObjectID="_1484069155" r:id="rId27"/>
              </w:object>
            </w:r>
          </w:p>
          <w:p w:rsidR="00E77065" w:rsidRPr="00773163" w:rsidRDefault="00D41FC7" w:rsidP="00D41FC7">
            <w:pPr>
              <w:spacing w:before="0"/>
              <w:jc w:val="center"/>
              <w:rPr>
                <w:position w:val="-150"/>
                <w:szCs w:val="22"/>
                <w:lang w:eastAsia="ko-KR"/>
              </w:rPr>
            </w:pPr>
            <w:r w:rsidRPr="00D41FC7">
              <w:rPr>
                <w:position w:val="-24"/>
                <w:szCs w:val="22"/>
                <w:lang w:eastAsia="ja-JP"/>
              </w:rPr>
              <w:object w:dxaOrig="3739" w:dyaOrig="600">
                <v:shape id="_x0000_i1035" type="#_x0000_t75" style="width:187.2pt;height:35.05pt" o:ole="">
                  <v:imagedata r:id="rId28" o:title=""/>
                </v:shape>
                <o:OLEObject Type="Embed" ProgID="Equation.3" ShapeID="_x0000_i1035" DrawAspect="Content" ObjectID="_1484069156" r:id="rId29"/>
              </w:object>
            </w:r>
          </w:p>
          <w:p w:rsidR="00E77065" w:rsidRPr="00773163" w:rsidRDefault="00D41FC7" w:rsidP="00D41FC7">
            <w:pPr>
              <w:spacing w:before="0"/>
              <w:jc w:val="center"/>
              <w:rPr>
                <w:position w:val="-46"/>
                <w:szCs w:val="22"/>
                <w:lang w:eastAsia="ko-KR"/>
              </w:rPr>
            </w:pPr>
            <w:r w:rsidRPr="00D41FC7">
              <w:rPr>
                <w:position w:val="-24"/>
                <w:szCs w:val="22"/>
                <w:lang w:eastAsia="ja-JP"/>
              </w:rPr>
              <w:object w:dxaOrig="3739" w:dyaOrig="600">
                <v:shape id="_x0000_i1036" type="#_x0000_t75" style="width:187.2pt;height:35.05pt" o:ole="">
                  <v:imagedata r:id="rId30" o:title=""/>
                </v:shape>
                <o:OLEObject Type="Embed" ProgID="Equation.3" ShapeID="_x0000_i1036" DrawAspect="Content" ObjectID="_1484069157" r:id="rId31"/>
              </w:object>
            </w:r>
          </w:p>
        </w:tc>
      </w:tr>
      <w:tr w:rsidR="00E77065" w:rsidRPr="009312F0" w:rsidTr="000F4AE9">
        <w:trPr>
          <w:trHeight w:val="188"/>
          <w:jc w:val="center"/>
        </w:trPr>
        <w:tc>
          <w:tcPr>
            <w:tcW w:w="2750" w:type="dxa"/>
            <w:vAlign w:val="center"/>
          </w:tcPr>
          <w:p w:rsidR="00E77065" w:rsidRPr="00773163" w:rsidRDefault="00E77065" w:rsidP="000F4AE9">
            <w:pPr>
              <w:pStyle w:val="Tabletext"/>
              <w:spacing w:before="20" w:after="20"/>
              <w:rPr>
                <w:sz w:val="22"/>
                <w:szCs w:val="22"/>
                <w:lang w:eastAsia="ko-KR"/>
              </w:rPr>
            </w:pPr>
            <w:r w:rsidRPr="00773163">
              <w:rPr>
                <w:sz w:val="22"/>
                <w:szCs w:val="22"/>
                <w:lang w:eastAsia="ko-KR"/>
              </w:rPr>
              <w:t>Quantization levels</w:t>
            </w:r>
          </w:p>
        </w:tc>
        <w:tc>
          <w:tcPr>
            <w:tcW w:w="3366" w:type="dxa"/>
            <w:gridSpan w:val="2"/>
            <w:vAlign w:val="center"/>
          </w:tcPr>
          <w:p w:rsidR="00E77065" w:rsidRPr="00773163" w:rsidRDefault="00E77065" w:rsidP="000F4AE9">
            <w:pPr>
              <w:pStyle w:val="Tabletext"/>
              <w:spacing w:before="20" w:after="20"/>
              <w:jc w:val="center"/>
              <w:rPr>
                <w:sz w:val="22"/>
                <w:szCs w:val="22"/>
                <w:lang w:eastAsia="ko-KR"/>
              </w:rPr>
            </w:pPr>
            <w:r w:rsidRPr="00773163">
              <w:rPr>
                <w:sz w:val="22"/>
                <w:szCs w:val="22"/>
                <w:lang w:eastAsia="ko-KR"/>
              </w:rPr>
              <w:t>10-bit coding</w:t>
            </w:r>
          </w:p>
        </w:tc>
        <w:tc>
          <w:tcPr>
            <w:tcW w:w="3523" w:type="dxa"/>
            <w:gridSpan w:val="2"/>
            <w:vAlign w:val="center"/>
          </w:tcPr>
          <w:p w:rsidR="00E77065" w:rsidRPr="00773163" w:rsidRDefault="00E77065" w:rsidP="000F4AE9">
            <w:pPr>
              <w:pStyle w:val="Tabletext"/>
              <w:spacing w:before="20" w:after="20"/>
              <w:jc w:val="center"/>
              <w:rPr>
                <w:sz w:val="22"/>
                <w:szCs w:val="22"/>
                <w:lang w:eastAsia="ko-KR"/>
              </w:rPr>
            </w:pPr>
            <w:r w:rsidRPr="00773163">
              <w:rPr>
                <w:sz w:val="22"/>
                <w:szCs w:val="22"/>
                <w:lang w:eastAsia="ko-KR"/>
              </w:rPr>
              <w:t>12-bit coding</w:t>
            </w:r>
          </w:p>
        </w:tc>
      </w:tr>
      <w:tr w:rsidR="00E77065" w:rsidRPr="009312F0" w:rsidTr="000F4AE9">
        <w:trPr>
          <w:trHeight w:val="188"/>
          <w:jc w:val="center"/>
        </w:trPr>
        <w:tc>
          <w:tcPr>
            <w:tcW w:w="2750" w:type="dxa"/>
            <w:vAlign w:val="center"/>
          </w:tcPr>
          <w:p w:rsidR="00E77065" w:rsidRPr="00773163" w:rsidRDefault="00E77065" w:rsidP="000F4AE9">
            <w:pPr>
              <w:pStyle w:val="Tabletext"/>
              <w:tabs>
                <w:tab w:val="clear" w:pos="1701"/>
                <w:tab w:val="clear" w:pos="1985"/>
                <w:tab w:val="clear" w:pos="2268"/>
                <w:tab w:val="clear" w:pos="2552"/>
                <w:tab w:val="clear" w:pos="2835"/>
                <w:tab w:val="clear" w:pos="3119"/>
                <w:tab w:val="clear" w:pos="3402"/>
                <w:tab w:val="clear" w:pos="3686"/>
                <w:tab w:val="clear" w:pos="3969"/>
              </w:tabs>
              <w:spacing w:before="20" w:after="20"/>
              <w:rPr>
                <w:sz w:val="22"/>
                <w:szCs w:val="22"/>
                <w:lang w:eastAsia="ko-KR"/>
              </w:rPr>
            </w:pPr>
            <w:r w:rsidRPr="00773163">
              <w:rPr>
                <w:sz w:val="22"/>
                <w:szCs w:val="22"/>
                <w:lang w:eastAsia="ko-KR"/>
              </w:rPr>
              <w:t xml:space="preserve">Black </w:t>
            </w:r>
          </w:p>
          <w:p w:rsidR="00E77065" w:rsidRPr="00773163" w:rsidRDefault="00E77065" w:rsidP="000F4AE9">
            <w:pPr>
              <w:pStyle w:val="Tabletext"/>
              <w:spacing w:before="20" w:after="20"/>
              <w:ind w:left="284" w:hanging="284"/>
              <w:rPr>
                <w:i/>
                <w:sz w:val="22"/>
                <w:szCs w:val="22"/>
                <w:lang w:eastAsia="ko-KR"/>
              </w:rPr>
            </w:pPr>
            <w:r w:rsidRPr="00773163">
              <w:rPr>
                <w:sz w:val="22"/>
                <w:szCs w:val="22"/>
                <w:lang w:eastAsia="ko-KR"/>
              </w:rPr>
              <w:tab/>
            </w:r>
            <w:r w:rsidRPr="00773163">
              <w:rPr>
                <w:i/>
                <w:sz w:val="22"/>
                <w:szCs w:val="22"/>
                <w:lang w:eastAsia="ko-KR"/>
              </w:rPr>
              <w:t>DR', DG', DB', DY'</w:t>
            </w:r>
          </w:p>
        </w:tc>
        <w:tc>
          <w:tcPr>
            <w:tcW w:w="3366" w:type="dxa"/>
            <w:gridSpan w:val="2"/>
            <w:vAlign w:val="center"/>
          </w:tcPr>
          <w:p w:rsidR="00E77065" w:rsidRPr="00773163" w:rsidRDefault="00E77065" w:rsidP="000F4AE9">
            <w:pPr>
              <w:spacing w:after="120"/>
              <w:jc w:val="center"/>
              <w:rPr>
                <w:szCs w:val="22"/>
                <w:lang w:eastAsia="ja-JP"/>
              </w:rPr>
            </w:pPr>
            <w:r w:rsidRPr="00773163">
              <w:rPr>
                <w:rFonts w:hint="eastAsia"/>
                <w:szCs w:val="22"/>
                <w:lang w:eastAsia="ja-JP"/>
              </w:rPr>
              <w:t>64</w:t>
            </w:r>
          </w:p>
        </w:tc>
        <w:tc>
          <w:tcPr>
            <w:tcW w:w="3523" w:type="dxa"/>
            <w:gridSpan w:val="2"/>
            <w:vAlign w:val="center"/>
          </w:tcPr>
          <w:p w:rsidR="00E77065" w:rsidRPr="00773163" w:rsidRDefault="00E77065" w:rsidP="000F4AE9">
            <w:pPr>
              <w:spacing w:after="120"/>
              <w:jc w:val="center"/>
              <w:rPr>
                <w:szCs w:val="22"/>
                <w:lang w:eastAsia="ja-JP"/>
              </w:rPr>
            </w:pPr>
            <w:r w:rsidRPr="00773163">
              <w:rPr>
                <w:rFonts w:hint="eastAsia"/>
                <w:szCs w:val="22"/>
                <w:lang w:eastAsia="ja-JP"/>
              </w:rPr>
              <w:t>256</w:t>
            </w:r>
          </w:p>
        </w:tc>
      </w:tr>
      <w:tr w:rsidR="00E77065" w:rsidRPr="009312F0" w:rsidTr="000F4AE9">
        <w:trPr>
          <w:trHeight w:val="188"/>
          <w:jc w:val="center"/>
        </w:trPr>
        <w:tc>
          <w:tcPr>
            <w:tcW w:w="2750" w:type="dxa"/>
            <w:vAlign w:val="center"/>
          </w:tcPr>
          <w:p w:rsidR="00E77065" w:rsidRPr="00773163" w:rsidRDefault="00E77065" w:rsidP="000F4AE9">
            <w:pPr>
              <w:pStyle w:val="Tabletext"/>
              <w:spacing w:before="20" w:after="20"/>
              <w:rPr>
                <w:sz w:val="22"/>
                <w:szCs w:val="22"/>
                <w:lang w:eastAsia="ko-KR"/>
              </w:rPr>
            </w:pPr>
            <w:r w:rsidRPr="00773163">
              <w:rPr>
                <w:sz w:val="22"/>
                <w:szCs w:val="22"/>
                <w:lang w:eastAsia="ko-KR"/>
              </w:rPr>
              <w:t>Achromatic</w:t>
            </w:r>
          </w:p>
          <w:p w:rsidR="00E77065" w:rsidRPr="00773163" w:rsidRDefault="00E77065" w:rsidP="000F4AE9">
            <w:pPr>
              <w:pStyle w:val="Tabletext"/>
              <w:spacing w:before="20" w:after="20"/>
              <w:ind w:left="284" w:hanging="284"/>
              <w:rPr>
                <w:sz w:val="22"/>
                <w:szCs w:val="22"/>
                <w:lang w:eastAsia="ko-KR"/>
              </w:rPr>
            </w:pPr>
            <w:r w:rsidRPr="00773163">
              <w:rPr>
                <w:sz w:val="22"/>
                <w:szCs w:val="22"/>
                <w:lang w:eastAsia="ko-KR"/>
              </w:rPr>
              <w:tab/>
            </w:r>
            <w:r w:rsidRPr="00773163">
              <w:rPr>
                <w:i/>
                <w:sz w:val="22"/>
                <w:szCs w:val="22"/>
                <w:lang w:eastAsia="ko-KR"/>
              </w:rPr>
              <w:t>DC'</w:t>
            </w:r>
            <w:r w:rsidRPr="00773163">
              <w:rPr>
                <w:i/>
                <w:sz w:val="22"/>
                <w:szCs w:val="22"/>
                <w:vertAlign w:val="subscript"/>
                <w:lang w:eastAsia="ko-KR"/>
              </w:rPr>
              <w:t>B</w:t>
            </w:r>
            <w:r w:rsidRPr="00773163">
              <w:rPr>
                <w:i/>
                <w:sz w:val="22"/>
                <w:szCs w:val="22"/>
                <w:lang w:eastAsia="ko-KR"/>
              </w:rPr>
              <w:t>, DC'</w:t>
            </w:r>
            <w:r w:rsidRPr="00773163">
              <w:rPr>
                <w:i/>
                <w:sz w:val="22"/>
                <w:szCs w:val="22"/>
                <w:vertAlign w:val="subscript"/>
                <w:lang w:eastAsia="ko-KR"/>
              </w:rPr>
              <w:t xml:space="preserve">R </w:t>
            </w:r>
          </w:p>
        </w:tc>
        <w:tc>
          <w:tcPr>
            <w:tcW w:w="3366" w:type="dxa"/>
            <w:gridSpan w:val="2"/>
            <w:vAlign w:val="center"/>
          </w:tcPr>
          <w:p w:rsidR="00E77065" w:rsidRPr="00773163" w:rsidRDefault="00E77065" w:rsidP="000F4AE9">
            <w:pPr>
              <w:spacing w:after="120"/>
              <w:jc w:val="center"/>
              <w:rPr>
                <w:szCs w:val="22"/>
                <w:lang w:eastAsia="ja-JP"/>
              </w:rPr>
            </w:pPr>
            <w:r w:rsidRPr="00773163">
              <w:rPr>
                <w:rFonts w:hint="eastAsia"/>
                <w:szCs w:val="22"/>
                <w:lang w:eastAsia="ja-JP"/>
              </w:rPr>
              <w:t>512</w:t>
            </w:r>
          </w:p>
        </w:tc>
        <w:tc>
          <w:tcPr>
            <w:tcW w:w="3523" w:type="dxa"/>
            <w:gridSpan w:val="2"/>
            <w:vAlign w:val="center"/>
          </w:tcPr>
          <w:p w:rsidR="00E77065" w:rsidRPr="00773163" w:rsidRDefault="00E77065" w:rsidP="000F4AE9">
            <w:pPr>
              <w:spacing w:after="120"/>
              <w:jc w:val="center"/>
              <w:rPr>
                <w:szCs w:val="22"/>
                <w:lang w:eastAsia="ja-JP"/>
              </w:rPr>
            </w:pPr>
            <w:r w:rsidRPr="00773163">
              <w:rPr>
                <w:rFonts w:hint="eastAsia"/>
                <w:szCs w:val="22"/>
                <w:lang w:eastAsia="ja-JP"/>
              </w:rPr>
              <w:t>2 048</w:t>
            </w:r>
          </w:p>
        </w:tc>
      </w:tr>
      <w:tr w:rsidR="00E77065" w:rsidRPr="009312F0" w:rsidTr="000F4AE9">
        <w:trPr>
          <w:trHeight w:val="320"/>
          <w:jc w:val="center"/>
        </w:trPr>
        <w:tc>
          <w:tcPr>
            <w:tcW w:w="2750" w:type="dxa"/>
            <w:vAlign w:val="center"/>
          </w:tcPr>
          <w:p w:rsidR="00E77065" w:rsidRPr="00773163" w:rsidRDefault="00E77065" w:rsidP="00D41FC7">
            <w:pPr>
              <w:pStyle w:val="Tabletext"/>
              <w:keepNext/>
              <w:tabs>
                <w:tab w:val="clear" w:pos="1701"/>
                <w:tab w:val="clear" w:pos="1985"/>
                <w:tab w:val="clear" w:pos="2268"/>
                <w:tab w:val="clear" w:pos="2552"/>
                <w:tab w:val="clear" w:pos="2835"/>
                <w:tab w:val="clear" w:pos="3119"/>
                <w:tab w:val="clear" w:pos="3402"/>
                <w:tab w:val="clear" w:pos="3686"/>
                <w:tab w:val="clear" w:pos="3969"/>
              </w:tabs>
              <w:spacing w:before="20" w:after="20"/>
              <w:rPr>
                <w:sz w:val="22"/>
                <w:szCs w:val="22"/>
                <w:lang w:eastAsia="ja-JP"/>
              </w:rPr>
            </w:pPr>
            <w:r w:rsidRPr="00773163">
              <w:rPr>
                <w:rFonts w:hint="eastAsia"/>
                <w:sz w:val="22"/>
                <w:szCs w:val="22"/>
                <w:lang w:eastAsia="ja-JP"/>
              </w:rPr>
              <w:lastRenderedPageBreak/>
              <w:t>White</w:t>
            </w:r>
          </w:p>
          <w:p w:rsidR="00E77065" w:rsidRPr="00773163" w:rsidRDefault="00E77065" w:rsidP="00D41FC7">
            <w:pPr>
              <w:pStyle w:val="Tabletext"/>
              <w:keepNext/>
              <w:spacing w:before="20" w:after="20"/>
              <w:rPr>
                <w:sz w:val="22"/>
                <w:szCs w:val="22"/>
                <w:lang w:eastAsia="ko-KR"/>
              </w:rPr>
            </w:pPr>
            <w:r w:rsidRPr="00773163">
              <w:rPr>
                <w:sz w:val="22"/>
                <w:szCs w:val="22"/>
                <w:lang w:eastAsia="ko-KR"/>
              </w:rPr>
              <w:tab/>
            </w:r>
            <w:r w:rsidRPr="00773163">
              <w:rPr>
                <w:i/>
                <w:sz w:val="22"/>
                <w:szCs w:val="22"/>
                <w:lang w:eastAsia="ko-KR"/>
              </w:rPr>
              <w:t>DR', DG', DB', DY'</w:t>
            </w:r>
          </w:p>
        </w:tc>
        <w:tc>
          <w:tcPr>
            <w:tcW w:w="3366" w:type="dxa"/>
            <w:gridSpan w:val="2"/>
            <w:vAlign w:val="center"/>
          </w:tcPr>
          <w:p w:rsidR="00E77065" w:rsidRPr="00773163" w:rsidDel="00F83826" w:rsidRDefault="00E77065" w:rsidP="00D41FC7">
            <w:pPr>
              <w:keepNext/>
              <w:spacing w:after="120"/>
              <w:jc w:val="center"/>
              <w:rPr>
                <w:szCs w:val="22"/>
                <w:lang w:eastAsia="ja-JP"/>
              </w:rPr>
            </w:pPr>
            <w:r>
              <w:rPr>
                <w:rFonts w:hint="eastAsia"/>
                <w:szCs w:val="22"/>
                <w:lang w:eastAsia="ja-JP"/>
              </w:rPr>
              <w:t>[</w:t>
            </w:r>
            <w:r w:rsidRPr="00773163">
              <w:rPr>
                <w:rFonts w:hint="eastAsia"/>
                <w:szCs w:val="22"/>
                <w:lang w:eastAsia="ja-JP"/>
              </w:rPr>
              <w:t>502</w:t>
            </w:r>
            <w:r>
              <w:rPr>
                <w:rFonts w:hint="eastAsia"/>
                <w:szCs w:val="22"/>
                <w:lang w:eastAsia="ja-JP"/>
              </w:rPr>
              <w:t>]</w:t>
            </w:r>
          </w:p>
        </w:tc>
        <w:tc>
          <w:tcPr>
            <w:tcW w:w="3523" w:type="dxa"/>
            <w:gridSpan w:val="2"/>
            <w:vAlign w:val="center"/>
          </w:tcPr>
          <w:p w:rsidR="00E77065" w:rsidRPr="00773163" w:rsidDel="00F83826" w:rsidRDefault="00E77065" w:rsidP="00D41FC7">
            <w:pPr>
              <w:keepNext/>
              <w:spacing w:after="120"/>
              <w:jc w:val="center"/>
              <w:rPr>
                <w:szCs w:val="22"/>
                <w:lang w:eastAsia="ja-JP"/>
              </w:rPr>
            </w:pPr>
            <w:r>
              <w:rPr>
                <w:rFonts w:hint="eastAsia"/>
                <w:szCs w:val="22"/>
                <w:lang w:eastAsia="ja-JP"/>
              </w:rPr>
              <w:t>[</w:t>
            </w:r>
            <w:r w:rsidRPr="00773163">
              <w:rPr>
                <w:rFonts w:hint="eastAsia"/>
                <w:szCs w:val="22"/>
                <w:lang w:eastAsia="ja-JP"/>
              </w:rPr>
              <w:t>2 008</w:t>
            </w:r>
            <w:r>
              <w:rPr>
                <w:rFonts w:hint="eastAsia"/>
                <w:szCs w:val="22"/>
                <w:lang w:eastAsia="ja-JP"/>
              </w:rPr>
              <w:t>]</w:t>
            </w:r>
          </w:p>
        </w:tc>
      </w:tr>
      <w:tr w:rsidR="00E77065" w:rsidRPr="009312F0" w:rsidTr="000F4AE9">
        <w:trPr>
          <w:trHeight w:val="320"/>
          <w:jc w:val="center"/>
        </w:trPr>
        <w:tc>
          <w:tcPr>
            <w:tcW w:w="2750" w:type="dxa"/>
            <w:vAlign w:val="center"/>
          </w:tcPr>
          <w:p w:rsidR="00E77065" w:rsidRPr="00773163" w:rsidRDefault="00E77065" w:rsidP="000F4AE9">
            <w:pPr>
              <w:pStyle w:val="Tabletext"/>
              <w:spacing w:before="20" w:after="20"/>
              <w:rPr>
                <w:sz w:val="22"/>
                <w:szCs w:val="22"/>
                <w:lang w:eastAsia="ko-KR"/>
              </w:rPr>
            </w:pPr>
            <w:r w:rsidRPr="00773163">
              <w:rPr>
                <w:sz w:val="22"/>
                <w:szCs w:val="22"/>
                <w:lang w:eastAsia="ko-KR"/>
              </w:rPr>
              <w:t xml:space="preserve">Nominal Peak </w:t>
            </w:r>
          </w:p>
          <w:p w:rsidR="00E77065" w:rsidRPr="00773163" w:rsidRDefault="00E77065" w:rsidP="000F4AE9">
            <w:pPr>
              <w:pStyle w:val="Tabletext"/>
              <w:spacing w:before="20" w:after="20"/>
              <w:ind w:left="284" w:hanging="284"/>
              <w:rPr>
                <w:b/>
                <w:i/>
                <w:sz w:val="22"/>
                <w:szCs w:val="22"/>
                <w:lang w:eastAsia="ja-JP"/>
              </w:rPr>
            </w:pPr>
            <w:r w:rsidRPr="00773163">
              <w:rPr>
                <w:i/>
                <w:sz w:val="22"/>
                <w:szCs w:val="22"/>
                <w:lang w:eastAsia="ko-KR"/>
              </w:rPr>
              <w:tab/>
              <w:t>DR', DG', DB', DY'</w:t>
            </w:r>
          </w:p>
        </w:tc>
        <w:tc>
          <w:tcPr>
            <w:tcW w:w="3366" w:type="dxa"/>
            <w:gridSpan w:val="2"/>
            <w:vAlign w:val="center"/>
          </w:tcPr>
          <w:p w:rsidR="00E77065" w:rsidRPr="00773163" w:rsidRDefault="00E77065" w:rsidP="000F4AE9">
            <w:pPr>
              <w:spacing w:after="120"/>
              <w:jc w:val="center"/>
              <w:rPr>
                <w:szCs w:val="22"/>
                <w:lang w:eastAsia="ja-JP"/>
              </w:rPr>
            </w:pPr>
            <w:r w:rsidRPr="00773163">
              <w:rPr>
                <w:szCs w:val="22"/>
                <w:lang w:eastAsia="ja-JP"/>
              </w:rPr>
              <w:t>940</w:t>
            </w:r>
          </w:p>
        </w:tc>
        <w:tc>
          <w:tcPr>
            <w:tcW w:w="3523" w:type="dxa"/>
            <w:gridSpan w:val="2"/>
            <w:vAlign w:val="center"/>
          </w:tcPr>
          <w:p w:rsidR="00E77065" w:rsidRPr="00773163" w:rsidRDefault="00E77065" w:rsidP="000F4AE9">
            <w:pPr>
              <w:spacing w:after="120"/>
              <w:jc w:val="center"/>
              <w:rPr>
                <w:szCs w:val="22"/>
                <w:lang w:eastAsia="ja-JP"/>
              </w:rPr>
            </w:pPr>
            <w:r w:rsidRPr="00773163">
              <w:rPr>
                <w:rFonts w:hint="eastAsia"/>
                <w:szCs w:val="22"/>
                <w:lang w:eastAsia="ja-JP"/>
              </w:rPr>
              <w:t xml:space="preserve">3 </w:t>
            </w:r>
            <w:r>
              <w:rPr>
                <w:rFonts w:hint="eastAsia"/>
                <w:szCs w:val="22"/>
                <w:lang w:eastAsia="ja-JP"/>
              </w:rPr>
              <w:t>76</w:t>
            </w:r>
            <w:r w:rsidRPr="00773163">
              <w:rPr>
                <w:rFonts w:hint="eastAsia"/>
                <w:szCs w:val="22"/>
                <w:lang w:eastAsia="ja-JP"/>
              </w:rPr>
              <w:t>0</w:t>
            </w:r>
          </w:p>
        </w:tc>
      </w:tr>
      <w:tr w:rsidR="00E77065" w:rsidRPr="009312F0" w:rsidTr="000F4AE9">
        <w:trPr>
          <w:trHeight w:val="319"/>
          <w:jc w:val="center"/>
        </w:trPr>
        <w:tc>
          <w:tcPr>
            <w:tcW w:w="2750" w:type="dxa"/>
            <w:vAlign w:val="center"/>
          </w:tcPr>
          <w:p w:rsidR="00E77065" w:rsidRPr="00773163" w:rsidRDefault="00E77065" w:rsidP="000F4AE9">
            <w:pPr>
              <w:pStyle w:val="Tabletext"/>
              <w:spacing w:before="20" w:after="20"/>
              <w:rPr>
                <w:sz w:val="22"/>
                <w:szCs w:val="22"/>
                <w:lang w:eastAsia="ko-KR"/>
              </w:rPr>
            </w:pPr>
            <w:r w:rsidRPr="00773163">
              <w:rPr>
                <w:sz w:val="22"/>
                <w:szCs w:val="22"/>
                <w:lang w:eastAsia="ko-KR"/>
              </w:rPr>
              <w:t>Nominal Peak</w:t>
            </w:r>
          </w:p>
          <w:p w:rsidR="00E77065" w:rsidRPr="00773163" w:rsidRDefault="00E77065" w:rsidP="000F4AE9">
            <w:pPr>
              <w:pStyle w:val="Tabletext"/>
              <w:spacing w:before="20" w:after="20"/>
              <w:ind w:firstLineChars="100" w:firstLine="220"/>
              <w:rPr>
                <w:sz w:val="22"/>
                <w:szCs w:val="22"/>
                <w:lang w:eastAsia="ko-KR"/>
              </w:rPr>
            </w:pPr>
            <w:r w:rsidRPr="00773163">
              <w:rPr>
                <w:i/>
                <w:sz w:val="22"/>
                <w:szCs w:val="22"/>
                <w:lang w:eastAsia="ko-KR"/>
              </w:rPr>
              <w:t>DC'</w:t>
            </w:r>
            <w:r w:rsidRPr="00773163">
              <w:rPr>
                <w:i/>
                <w:sz w:val="22"/>
                <w:szCs w:val="22"/>
                <w:vertAlign w:val="subscript"/>
                <w:lang w:eastAsia="ko-KR"/>
              </w:rPr>
              <w:t>B</w:t>
            </w:r>
            <w:r w:rsidRPr="00773163">
              <w:rPr>
                <w:i/>
                <w:sz w:val="22"/>
                <w:szCs w:val="22"/>
                <w:lang w:eastAsia="ko-KR"/>
              </w:rPr>
              <w:t>, DC'</w:t>
            </w:r>
            <w:r w:rsidRPr="00773163">
              <w:rPr>
                <w:i/>
                <w:sz w:val="22"/>
                <w:szCs w:val="22"/>
                <w:vertAlign w:val="subscript"/>
                <w:lang w:eastAsia="ko-KR"/>
              </w:rPr>
              <w:t>R</w:t>
            </w:r>
          </w:p>
        </w:tc>
        <w:tc>
          <w:tcPr>
            <w:tcW w:w="3366" w:type="dxa"/>
            <w:gridSpan w:val="2"/>
            <w:vAlign w:val="center"/>
          </w:tcPr>
          <w:p w:rsidR="00E77065" w:rsidRPr="00773163" w:rsidRDefault="00E77065" w:rsidP="000F4AE9">
            <w:pPr>
              <w:spacing w:after="120"/>
              <w:jc w:val="center"/>
              <w:rPr>
                <w:szCs w:val="22"/>
                <w:lang w:eastAsia="ja-JP"/>
              </w:rPr>
            </w:pPr>
            <w:r w:rsidRPr="00773163">
              <w:rPr>
                <w:szCs w:val="22"/>
                <w:lang w:eastAsia="ja-JP"/>
              </w:rPr>
              <w:t>64 and 960</w:t>
            </w:r>
          </w:p>
        </w:tc>
        <w:tc>
          <w:tcPr>
            <w:tcW w:w="3523" w:type="dxa"/>
            <w:gridSpan w:val="2"/>
            <w:vAlign w:val="center"/>
          </w:tcPr>
          <w:p w:rsidR="00E77065" w:rsidRPr="00773163" w:rsidRDefault="00E77065" w:rsidP="000F4AE9">
            <w:pPr>
              <w:spacing w:after="120"/>
              <w:jc w:val="center"/>
              <w:rPr>
                <w:szCs w:val="22"/>
                <w:lang w:eastAsia="ja-JP"/>
              </w:rPr>
            </w:pPr>
            <w:r w:rsidRPr="00773163">
              <w:rPr>
                <w:szCs w:val="22"/>
                <w:lang w:eastAsia="ja-JP"/>
              </w:rPr>
              <w:t>256 and 3 840</w:t>
            </w:r>
          </w:p>
        </w:tc>
      </w:tr>
      <w:tr w:rsidR="00E77065" w:rsidRPr="009312F0" w:rsidTr="000F4AE9">
        <w:trPr>
          <w:trHeight w:val="188"/>
          <w:jc w:val="center"/>
        </w:trPr>
        <w:tc>
          <w:tcPr>
            <w:tcW w:w="2750" w:type="dxa"/>
            <w:vAlign w:val="center"/>
          </w:tcPr>
          <w:p w:rsidR="00E77065" w:rsidRPr="00773163" w:rsidRDefault="00E77065" w:rsidP="000F4AE9">
            <w:pPr>
              <w:pStyle w:val="Tabletext"/>
              <w:spacing w:before="20" w:after="20"/>
              <w:rPr>
                <w:sz w:val="22"/>
                <w:szCs w:val="22"/>
                <w:lang w:eastAsia="ko-KR"/>
              </w:rPr>
            </w:pPr>
            <w:r w:rsidRPr="00773163">
              <w:rPr>
                <w:sz w:val="22"/>
                <w:szCs w:val="22"/>
                <w:lang w:eastAsia="ko-KR"/>
              </w:rPr>
              <w:t>Video data</w:t>
            </w:r>
          </w:p>
        </w:tc>
        <w:tc>
          <w:tcPr>
            <w:tcW w:w="3366" w:type="dxa"/>
            <w:gridSpan w:val="2"/>
            <w:vAlign w:val="center"/>
          </w:tcPr>
          <w:p w:rsidR="00E77065" w:rsidRPr="00773163" w:rsidRDefault="00E77065" w:rsidP="000F4AE9">
            <w:pPr>
              <w:spacing w:after="120"/>
              <w:jc w:val="center"/>
              <w:rPr>
                <w:szCs w:val="22"/>
                <w:lang w:eastAsia="ja-JP"/>
              </w:rPr>
            </w:pPr>
            <w:r w:rsidRPr="00773163">
              <w:rPr>
                <w:szCs w:val="22"/>
                <w:lang w:eastAsia="ja-JP"/>
              </w:rPr>
              <w:t>4 through 1</w:t>
            </w:r>
            <w:r w:rsidRPr="00773163">
              <w:rPr>
                <w:rFonts w:hint="eastAsia"/>
                <w:szCs w:val="22"/>
                <w:lang w:eastAsia="ja-JP"/>
              </w:rPr>
              <w:t xml:space="preserve"> </w:t>
            </w:r>
            <w:r w:rsidRPr="00773163">
              <w:rPr>
                <w:szCs w:val="22"/>
                <w:lang w:eastAsia="ja-JP"/>
              </w:rPr>
              <w:t>019</w:t>
            </w:r>
          </w:p>
        </w:tc>
        <w:tc>
          <w:tcPr>
            <w:tcW w:w="3523" w:type="dxa"/>
            <w:gridSpan w:val="2"/>
            <w:vAlign w:val="center"/>
          </w:tcPr>
          <w:p w:rsidR="00E77065" w:rsidRPr="00773163" w:rsidRDefault="00E77065" w:rsidP="000F4AE9">
            <w:pPr>
              <w:spacing w:after="120"/>
              <w:jc w:val="center"/>
              <w:rPr>
                <w:szCs w:val="22"/>
                <w:lang w:eastAsia="ja-JP"/>
              </w:rPr>
            </w:pPr>
            <w:r w:rsidRPr="00773163">
              <w:rPr>
                <w:szCs w:val="22"/>
                <w:lang w:eastAsia="ja-JP"/>
              </w:rPr>
              <w:t>16 through 4</w:t>
            </w:r>
            <w:r w:rsidRPr="00773163">
              <w:rPr>
                <w:rFonts w:hint="eastAsia"/>
                <w:szCs w:val="22"/>
                <w:lang w:eastAsia="ja-JP"/>
              </w:rPr>
              <w:t xml:space="preserve"> </w:t>
            </w:r>
            <w:r w:rsidRPr="00773163">
              <w:rPr>
                <w:szCs w:val="22"/>
                <w:lang w:eastAsia="ja-JP"/>
              </w:rPr>
              <w:t>079</w:t>
            </w:r>
          </w:p>
        </w:tc>
      </w:tr>
      <w:tr w:rsidR="00E77065" w:rsidRPr="009312F0" w:rsidTr="000F4AE9">
        <w:trPr>
          <w:trHeight w:val="188"/>
          <w:jc w:val="center"/>
        </w:trPr>
        <w:tc>
          <w:tcPr>
            <w:tcW w:w="2750" w:type="dxa"/>
            <w:tcBorders>
              <w:bottom w:val="single" w:sz="4" w:space="0" w:color="000000"/>
            </w:tcBorders>
            <w:vAlign w:val="center"/>
          </w:tcPr>
          <w:p w:rsidR="00E77065" w:rsidRPr="00773163" w:rsidRDefault="00E77065" w:rsidP="000F4AE9">
            <w:pPr>
              <w:pStyle w:val="Tabletext"/>
              <w:spacing w:before="20" w:after="20"/>
              <w:rPr>
                <w:sz w:val="22"/>
                <w:szCs w:val="22"/>
                <w:lang w:eastAsia="ko-KR"/>
              </w:rPr>
            </w:pPr>
            <w:r w:rsidRPr="00773163">
              <w:rPr>
                <w:sz w:val="22"/>
                <w:szCs w:val="22"/>
                <w:lang w:eastAsia="ko-KR"/>
              </w:rPr>
              <w:t>Timing Reference</w:t>
            </w:r>
          </w:p>
        </w:tc>
        <w:tc>
          <w:tcPr>
            <w:tcW w:w="3366" w:type="dxa"/>
            <w:gridSpan w:val="2"/>
            <w:tcBorders>
              <w:bottom w:val="single" w:sz="4" w:space="0" w:color="000000"/>
            </w:tcBorders>
            <w:vAlign w:val="center"/>
          </w:tcPr>
          <w:p w:rsidR="00E77065" w:rsidRPr="00773163" w:rsidRDefault="00E77065" w:rsidP="000F4AE9">
            <w:pPr>
              <w:spacing w:after="120"/>
              <w:jc w:val="center"/>
              <w:rPr>
                <w:szCs w:val="22"/>
                <w:lang w:eastAsia="ja-JP"/>
              </w:rPr>
            </w:pPr>
            <w:r w:rsidRPr="00773163">
              <w:rPr>
                <w:szCs w:val="22"/>
                <w:lang w:eastAsia="ja-JP"/>
              </w:rPr>
              <w:t>0 - 3 and 1 020 – 1 023</w:t>
            </w:r>
          </w:p>
        </w:tc>
        <w:tc>
          <w:tcPr>
            <w:tcW w:w="3523" w:type="dxa"/>
            <w:gridSpan w:val="2"/>
            <w:tcBorders>
              <w:bottom w:val="single" w:sz="4" w:space="0" w:color="000000"/>
            </w:tcBorders>
            <w:vAlign w:val="center"/>
          </w:tcPr>
          <w:p w:rsidR="00E77065" w:rsidRPr="00773163" w:rsidRDefault="00E77065" w:rsidP="000F4AE9">
            <w:pPr>
              <w:spacing w:after="120"/>
              <w:jc w:val="center"/>
              <w:rPr>
                <w:szCs w:val="22"/>
                <w:lang w:eastAsia="ja-JP"/>
              </w:rPr>
            </w:pPr>
            <w:r w:rsidRPr="00773163">
              <w:rPr>
                <w:szCs w:val="22"/>
                <w:lang w:eastAsia="ja-JP"/>
              </w:rPr>
              <w:t>0 - 15 and 4 080 – 4 095</w:t>
            </w:r>
          </w:p>
        </w:tc>
      </w:tr>
      <w:tr w:rsidR="00E77065" w:rsidRPr="009312F0" w:rsidTr="000F4AE9">
        <w:trPr>
          <w:trHeight w:val="188"/>
          <w:jc w:val="center"/>
        </w:trPr>
        <w:tc>
          <w:tcPr>
            <w:tcW w:w="9639" w:type="dxa"/>
            <w:gridSpan w:val="5"/>
            <w:tcBorders>
              <w:left w:val="nil"/>
              <w:bottom w:val="nil"/>
              <w:right w:val="nil"/>
            </w:tcBorders>
            <w:vAlign w:val="center"/>
          </w:tcPr>
          <w:p w:rsidR="00E77065" w:rsidRPr="00384C11" w:rsidRDefault="00E77065" w:rsidP="000F4AE9">
            <w:pPr>
              <w:spacing w:after="120"/>
              <w:ind w:left="176" w:hangingChars="88" w:hanging="176"/>
              <w:rPr>
                <w:sz w:val="20"/>
                <w:lang w:eastAsia="ja-JP"/>
              </w:rPr>
            </w:pPr>
            <w:r w:rsidRPr="00384C11">
              <w:rPr>
                <w:rFonts w:hint="eastAsia"/>
                <w:sz w:val="20"/>
                <w:vertAlign w:val="superscript"/>
                <w:lang w:eastAsia="ja-JP"/>
              </w:rPr>
              <w:t>1</w:t>
            </w:r>
            <w:r>
              <w:rPr>
                <w:sz w:val="20"/>
                <w:lang w:eastAsia="ja-JP"/>
              </w:rPr>
              <w:tab/>
            </w:r>
            <w:r w:rsidRPr="00384C11">
              <w:rPr>
                <w:rFonts w:hint="eastAsia"/>
                <w:sz w:val="20"/>
                <w:lang w:eastAsia="ja-JP"/>
              </w:rPr>
              <w:t>T</w:t>
            </w:r>
            <w:r w:rsidRPr="00384C11">
              <w:rPr>
                <w:sz w:val="20"/>
              </w:rPr>
              <w:t>o avoid visual contouring o</w:t>
            </w:r>
            <w:r w:rsidRPr="00384C11">
              <w:rPr>
                <w:rFonts w:hint="eastAsia"/>
                <w:sz w:val="20"/>
                <w:lang w:eastAsia="ja-JP"/>
              </w:rPr>
              <w:t>f</w:t>
            </w:r>
            <w:r w:rsidRPr="00384C11">
              <w:rPr>
                <w:sz w:val="20"/>
              </w:rPr>
              <w:t xml:space="preserve"> worst-case signals, content should be created and delivered using at least 12 bits. However, in some situations, 10-bit interfaces may need to be </w:t>
            </w:r>
            <w:r w:rsidRPr="00384C11">
              <w:rPr>
                <w:rFonts w:hint="eastAsia"/>
                <w:sz w:val="20"/>
                <w:lang w:eastAsia="ja-JP"/>
              </w:rPr>
              <w:t>used</w:t>
            </w:r>
            <w:r w:rsidRPr="00384C11">
              <w:rPr>
                <w:sz w:val="20"/>
              </w:rPr>
              <w:t>. Production at 14 or more bits provides additional headroom. The digital code values shown in the table may be scaled up proportionately (i.e.</w:t>
            </w:r>
            <w:r w:rsidRPr="00384C11">
              <w:rPr>
                <w:rFonts w:hint="eastAsia"/>
                <w:sz w:val="20"/>
                <w:lang w:eastAsia="ja-JP"/>
              </w:rPr>
              <w:t>,</w:t>
            </w:r>
            <w:r w:rsidRPr="00384C11">
              <w:rPr>
                <w:sz w:val="20"/>
              </w:rPr>
              <w:t xml:space="preserve"> ×4 for 14 bits, ×16 for 16 bits).</w:t>
            </w:r>
          </w:p>
        </w:tc>
      </w:tr>
    </w:tbl>
    <w:p w:rsidR="00A17122" w:rsidRPr="00A17122" w:rsidRDefault="00A17122" w:rsidP="00A17122">
      <w:pPr>
        <w:pStyle w:val="3"/>
        <w:rPr>
          <w:lang w:eastAsia="ja-JP"/>
        </w:rPr>
      </w:pPr>
      <w:r w:rsidRPr="00A17122">
        <w:rPr>
          <w:lang w:eastAsia="ja-JP"/>
        </w:rPr>
        <w:t>Relative representation of luminance</w:t>
      </w:r>
    </w:p>
    <w:p w:rsidR="00A17122" w:rsidRPr="00A17122" w:rsidRDefault="00A17122" w:rsidP="00A17122">
      <w:pPr>
        <w:rPr>
          <w:lang w:val="en-GB" w:eastAsia="ja-JP"/>
        </w:rPr>
      </w:pPr>
      <w:r w:rsidRPr="00A17122">
        <w:rPr>
          <w:lang w:val="en-GB" w:eastAsia="ja-JP"/>
        </w:rPr>
        <w:t>Current television signals represent relative luminance of the images finally presented on the display screen although the viewing environment including the screen luminance for production and quality evaluation of video programmes are standardized. This make it possible for viewers to watch the same television programmes with different and appropriate screen luminance under various circumstances, such as in-door/outdoor, and day/night. This is a quite natural practice in broadcasting and should also be retained in EIDRTV to satisfy Requirements 2 and 3.</w:t>
      </w:r>
    </w:p>
    <w:p w:rsidR="00A17122" w:rsidRPr="00A17122" w:rsidRDefault="00A17122" w:rsidP="00A17122">
      <w:pPr>
        <w:pStyle w:val="3"/>
        <w:rPr>
          <w:lang w:eastAsia="ja-JP"/>
        </w:rPr>
      </w:pPr>
      <w:r w:rsidRPr="00A17122">
        <w:rPr>
          <w:lang w:eastAsia="ja-JP"/>
        </w:rPr>
        <w:t>Non-linear transfer functions</w:t>
      </w:r>
    </w:p>
    <w:p w:rsidR="00A17122" w:rsidRPr="00A17122" w:rsidRDefault="00A17122" w:rsidP="00A17122">
      <w:pPr>
        <w:rPr>
          <w:lang w:val="en-GB" w:eastAsia="ja-JP"/>
        </w:rPr>
      </w:pPr>
      <w:r w:rsidRPr="00A17122">
        <w:rPr>
          <w:lang w:val="en-GB" w:eastAsia="ja-JP"/>
        </w:rPr>
        <w:t>Non-linear transfer functions in modern television systems have three major roles although they were originally introduced to compensate for the non-linear transfer characteristics of cathode ray tube displays. The first role is to define the end-to-end transfer characteristics that greatly affect the picture look. Using a combination of current OETF and EOTF provides an end-to-end gamma of around 1.2 and level compression in dark areas. We believe this practice should be retained to satisfy Requirements 2 and 3.The second role of non-linear transfer functions is to reduce the bit rate of digital signals by changing the quantization steps so that the viewer perceives the quantization error as little as possible. This is related to Requirement 1. The required bit rate reduction depends on the dynamic range of displayed images, i.e., the range between the maximum and minimum luminance. Our investigation suggests that current practice as specified in Recommendation BT.1886 is sufficient. The third role is to make the signal magnitude distribution uniform against the perceptual luminance. The tone scale of the encoded signal with a power function is perceived as linear. This enables the encoded signals to be manipulated in a look-based manner. This practice has made the work flow of usual television programme production simple and should be retained to satisfy Requirement 2.</w:t>
      </w:r>
    </w:p>
    <w:p w:rsidR="00A17122" w:rsidRPr="00A17122" w:rsidRDefault="00A17122" w:rsidP="00A17122">
      <w:pPr>
        <w:rPr>
          <w:lang w:val="en-GB" w:eastAsia="ja-JP"/>
        </w:rPr>
      </w:pPr>
      <w:r w:rsidRPr="00A17122">
        <w:rPr>
          <w:lang w:val="en-GB" w:eastAsia="ja-JP"/>
        </w:rPr>
        <w:t>Consequently, we conclude that non-linear encoding of the signals at origination and decoding at presentation should be used, and the current practice should be retained. The non-linear encoding for highlight parts above 100% video level has not been specified in the current practice. A combination of non-linear and higher compression functions may be applied to the highlight parts as used in the current practice.</w:t>
      </w:r>
    </w:p>
    <w:p w:rsidR="00A17122" w:rsidRPr="00A17122" w:rsidRDefault="00A17122" w:rsidP="00A17122">
      <w:pPr>
        <w:rPr>
          <w:lang w:val="en-GB" w:eastAsia="ja-JP"/>
        </w:rPr>
      </w:pPr>
      <w:r w:rsidRPr="00A17122">
        <w:rPr>
          <w:lang w:val="en-GB" w:eastAsia="ja-JP"/>
        </w:rPr>
        <w:t>The nonlinear transfer function (OETF) specified in Table 4 is depicted in Figure 1, where video level for reference white level is set to 0.5. Figure 2 shows the EOTF for a reference monitor specified in Recommendation ITU-R BT.1866. With these OETF and EOTF, the overall transfer characteristic is as shown in Figure 3.</w:t>
      </w:r>
    </w:p>
    <w:p w:rsidR="00A17122" w:rsidRDefault="00A17122" w:rsidP="00A17122">
      <w:pPr>
        <w:pStyle w:val="FigureNo"/>
        <w:spacing w:before="240"/>
        <w:rPr>
          <w:lang w:eastAsia="ja-JP"/>
        </w:rPr>
      </w:pPr>
      <w:r>
        <w:rPr>
          <w:rFonts w:hint="eastAsia"/>
          <w:lang w:eastAsia="ja-JP"/>
        </w:rPr>
        <w:lastRenderedPageBreak/>
        <w:t>Figure 1</w:t>
      </w:r>
    </w:p>
    <w:p w:rsidR="00A17122" w:rsidRDefault="00A17122" w:rsidP="00A17122">
      <w:pPr>
        <w:pStyle w:val="Figuretitle"/>
        <w:spacing w:after="240"/>
        <w:rPr>
          <w:lang w:eastAsia="ja-JP"/>
        </w:rPr>
      </w:pPr>
      <w:r>
        <w:rPr>
          <w:rFonts w:hint="eastAsia"/>
          <w:lang w:eastAsia="ja-JP"/>
        </w:rPr>
        <w:t>Transfer function for relative scene luminance to video (as per Table 4)</w:t>
      </w:r>
    </w:p>
    <w:p w:rsidR="00A17122" w:rsidRDefault="0061512E" w:rsidP="00A17122">
      <w:pPr>
        <w:jc w:val="center"/>
        <w:rPr>
          <w:lang w:eastAsia="ja-JP"/>
        </w:rPr>
      </w:pPr>
      <w:r>
        <w:rPr>
          <w:noProof/>
          <w:lang w:eastAsia="ja-JP"/>
        </w:rPr>
        <w:pict>
          <v:shape id="図 1" o:spid="_x0000_i1037" type="#_x0000_t75" style="width:289.9pt;height:174.7pt;visibility:visible;mso-wrap-style:square">
            <v:imagedata r:id="rId32" o:title=""/>
          </v:shape>
        </w:pict>
      </w:r>
    </w:p>
    <w:p w:rsidR="00A17122" w:rsidRDefault="00A17122" w:rsidP="00A17122">
      <w:pPr>
        <w:pStyle w:val="FigureNo"/>
        <w:spacing w:before="240"/>
        <w:rPr>
          <w:lang w:eastAsia="ja-JP"/>
        </w:rPr>
      </w:pPr>
      <w:r>
        <w:rPr>
          <w:rFonts w:hint="eastAsia"/>
          <w:lang w:eastAsia="ja-JP"/>
        </w:rPr>
        <w:t>Figure 2</w:t>
      </w:r>
    </w:p>
    <w:p w:rsidR="00A17122" w:rsidRDefault="00A17122" w:rsidP="00A17122">
      <w:pPr>
        <w:pStyle w:val="Figuretitle"/>
        <w:spacing w:after="240"/>
        <w:rPr>
          <w:lang w:eastAsia="ja-JP"/>
        </w:rPr>
      </w:pPr>
      <w:r>
        <w:rPr>
          <w:rFonts w:hint="eastAsia"/>
          <w:lang w:eastAsia="ja-JP"/>
        </w:rPr>
        <w:t>Transfer function for video to relative display luminance (as per Rec. ITU-R BT.1866)</w:t>
      </w:r>
    </w:p>
    <w:p w:rsidR="00A17122" w:rsidRDefault="0061512E" w:rsidP="00A17122">
      <w:pPr>
        <w:jc w:val="center"/>
        <w:rPr>
          <w:lang w:eastAsia="ja-JP"/>
        </w:rPr>
      </w:pPr>
      <w:r>
        <w:rPr>
          <w:noProof/>
          <w:lang w:eastAsia="ja-JP"/>
        </w:rPr>
        <w:pict>
          <v:shape id="図 2" o:spid="_x0000_i1038" type="#_x0000_t75" style="width:201.6pt;height:174.7pt;visibility:visible;mso-wrap-style:square">
            <v:imagedata r:id="rId33" o:title=""/>
          </v:shape>
        </w:pict>
      </w:r>
    </w:p>
    <w:p w:rsidR="00A17122" w:rsidRDefault="00A17122" w:rsidP="00A17122">
      <w:pPr>
        <w:pStyle w:val="FigureNo"/>
        <w:spacing w:before="240"/>
        <w:rPr>
          <w:lang w:eastAsia="ja-JP"/>
        </w:rPr>
      </w:pPr>
      <w:r>
        <w:rPr>
          <w:rFonts w:hint="eastAsia"/>
          <w:lang w:eastAsia="ja-JP"/>
        </w:rPr>
        <w:t>Figure 3</w:t>
      </w:r>
    </w:p>
    <w:p w:rsidR="00A17122" w:rsidRDefault="00A17122" w:rsidP="00A17122">
      <w:pPr>
        <w:pStyle w:val="Figuretitle"/>
        <w:spacing w:after="240"/>
        <w:rPr>
          <w:lang w:eastAsia="ja-JP"/>
        </w:rPr>
      </w:pPr>
      <w:r>
        <w:rPr>
          <w:rFonts w:hint="eastAsia"/>
          <w:lang w:eastAsia="ja-JP"/>
        </w:rPr>
        <w:t>Overall transfer characteristics for scene to display</w:t>
      </w:r>
    </w:p>
    <w:p w:rsidR="00A17122" w:rsidRDefault="0061512E" w:rsidP="00A17122">
      <w:pPr>
        <w:jc w:val="center"/>
        <w:rPr>
          <w:lang w:eastAsia="ja-JP"/>
        </w:rPr>
      </w:pPr>
      <w:r>
        <w:rPr>
          <w:noProof/>
          <w:lang w:eastAsia="ja-JP"/>
        </w:rPr>
        <w:pict>
          <v:shape id="図 3" o:spid="_x0000_i1039" type="#_x0000_t75" style="width:289.9pt;height:174.7pt;visibility:visible;mso-wrap-style:square">
            <v:imagedata r:id="rId34" o:title=""/>
          </v:shape>
        </w:pict>
      </w:r>
    </w:p>
    <w:p w:rsidR="00A17122" w:rsidRPr="00A17122" w:rsidRDefault="00A17122" w:rsidP="00A17122">
      <w:pPr>
        <w:pStyle w:val="3"/>
        <w:rPr>
          <w:lang w:eastAsia="ja-JP"/>
        </w:rPr>
      </w:pPr>
      <w:r w:rsidRPr="00A17122">
        <w:rPr>
          <w:lang w:eastAsia="ja-JP"/>
        </w:rPr>
        <w:lastRenderedPageBreak/>
        <w:t>Guideline for scene to video tone mapping</w:t>
      </w:r>
    </w:p>
    <w:p w:rsidR="00A17122" w:rsidRPr="00A17122" w:rsidRDefault="00A17122" w:rsidP="00A17122">
      <w:pPr>
        <w:jc w:val="both"/>
        <w:rPr>
          <w:szCs w:val="22"/>
          <w:lang w:val="en-GB" w:eastAsia="ja-JP"/>
        </w:rPr>
      </w:pPr>
      <w:r w:rsidRPr="00A17122">
        <w:rPr>
          <w:szCs w:val="22"/>
          <w:lang w:val="en-GB" w:eastAsia="ja-JP"/>
        </w:rPr>
        <w:t>Programmes of current television services are exchanged between broadcasters without difficulty in terms of tone mapping although there is no written practice for scene to video tone mapping in programme production. This is because all programme producers have similar understandings on how to map the scene from 0 to 100% video level. A typical example is to identify which object in a scene should be mapped to 100% video level, which is called the “reference white level”. This practice would be invalid when operat</w:t>
      </w:r>
      <w:r w:rsidR="00E2139B">
        <w:rPr>
          <w:szCs w:val="22"/>
          <w:lang w:val="en-GB" w:eastAsia="ja-JP"/>
        </w:rPr>
        <w:t>ing within a high dynamic range</w:t>
      </w:r>
      <w:r w:rsidRPr="00A17122">
        <w:rPr>
          <w:szCs w:val="22"/>
          <w:lang w:val="en-GB" w:eastAsia="ja-JP"/>
        </w:rPr>
        <w:t xml:space="preserve"> and a new practical guideline is needed to satisfy Requirement 4. One possible way is to define the video level for the scene corresponding to the reference white level in the current practice. In this way, setting the video level for the reference white 50 %, for example, provides the luminance ratio of about 6 times between the reference white and the peak. Our experience shows that a value for maximum luminance several times higher than that of the reference white level provides a "step-change" improvement in viewer experience and satisfies the Requirement 1.</w:t>
      </w:r>
    </w:p>
    <w:p w:rsidR="00A17122" w:rsidRPr="00A17122" w:rsidRDefault="00A17122" w:rsidP="00A17122">
      <w:pPr>
        <w:pStyle w:val="2"/>
        <w:rPr>
          <w:lang w:eastAsia="ja-JP"/>
        </w:rPr>
      </w:pPr>
      <w:r w:rsidRPr="00A17122">
        <w:rPr>
          <w:lang w:eastAsia="ja-JP"/>
        </w:rPr>
        <w:t>Proposed addition to VUI parameter value</w:t>
      </w:r>
      <w:r w:rsidR="00B763D4">
        <w:rPr>
          <w:rFonts w:hint="eastAsia"/>
          <w:lang w:eastAsia="ja-JP"/>
        </w:rPr>
        <w:t>s</w:t>
      </w:r>
    </w:p>
    <w:p w:rsidR="00A17122" w:rsidRDefault="00A17122" w:rsidP="00A17122">
      <w:pPr>
        <w:jc w:val="both"/>
        <w:rPr>
          <w:szCs w:val="22"/>
          <w:lang w:val="en-GB" w:eastAsia="ja-JP"/>
        </w:rPr>
      </w:pPr>
      <w:r w:rsidRPr="00A17122">
        <w:rPr>
          <w:szCs w:val="22"/>
          <w:lang w:val="en-GB" w:eastAsia="ja-JP"/>
        </w:rPr>
        <w:t>The proposed EIDRTV can be signalled with the existing VUI parameter values except for the transfer characteristics. We propose that a new entry corresponding to our proposal be included in Table E 4 – Transfer characteristics of the HEVC standard as a matter of urgency.</w:t>
      </w:r>
      <w:r w:rsidR="00567935">
        <w:rPr>
          <w:rFonts w:hint="eastAsia"/>
          <w:szCs w:val="22"/>
          <w:lang w:val="en-GB" w:eastAsia="ja-JP"/>
        </w:rPr>
        <w:t xml:space="preserve"> </w:t>
      </w:r>
      <w:r w:rsidR="00567935" w:rsidRPr="00567935">
        <w:rPr>
          <w:szCs w:val="22"/>
          <w:lang w:val="en-GB" w:eastAsia="ja-JP"/>
        </w:rPr>
        <w:t>A suggested delta document (</w:t>
      </w:r>
      <w:r w:rsidR="00567935" w:rsidRPr="0061512E">
        <w:rPr>
          <w:szCs w:val="22"/>
          <w:lang w:val="en-GB" w:eastAsia="ja-JP"/>
        </w:rPr>
        <w:t>JCTVC-</w:t>
      </w:r>
      <w:r w:rsidR="00EA7A23" w:rsidRPr="0061512E">
        <w:rPr>
          <w:rFonts w:hint="eastAsia"/>
          <w:szCs w:val="22"/>
          <w:lang w:val="en-GB" w:eastAsia="ja-JP"/>
        </w:rPr>
        <w:t>T</w:t>
      </w:r>
      <w:r w:rsidR="0061512E" w:rsidRPr="0061512E">
        <w:rPr>
          <w:rFonts w:hint="eastAsia"/>
          <w:szCs w:val="22"/>
          <w:lang w:val="en-GB" w:eastAsia="ja-JP"/>
        </w:rPr>
        <w:t>0035</w:t>
      </w:r>
      <w:r w:rsidR="00567935" w:rsidRPr="00567935">
        <w:rPr>
          <w:szCs w:val="22"/>
          <w:lang w:val="en-GB" w:eastAsia="ja-JP"/>
        </w:rPr>
        <w:t>_</w:t>
      </w:r>
      <w:r w:rsidR="0061512E">
        <w:rPr>
          <w:rFonts w:hint="eastAsia"/>
          <w:szCs w:val="22"/>
          <w:lang w:val="en-GB" w:eastAsia="ja-JP"/>
        </w:rPr>
        <w:t>delta_</w:t>
      </w:r>
      <w:r w:rsidR="00567935">
        <w:rPr>
          <w:rFonts w:hint="eastAsia"/>
          <w:szCs w:val="22"/>
          <w:lang w:val="en-GB" w:eastAsia="ja-JP"/>
        </w:rPr>
        <w:t>Table_E4</w:t>
      </w:r>
      <w:r w:rsidR="00567935" w:rsidRPr="00567935">
        <w:rPr>
          <w:szCs w:val="22"/>
          <w:lang w:val="en-GB" w:eastAsia="ja-JP"/>
        </w:rPr>
        <w:t>_</w:t>
      </w:r>
      <w:r w:rsidR="00EA7A23">
        <w:rPr>
          <w:szCs w:val="22"/>
          <w:lang w:val="en-GB" w:eastAsia="ja-JP"/>
        </w:rPr>
        <w:t>changes</w:t>
      </w:r>
      <w:r w:rsidR="00567935" w:rsidRPr="00567935">
        <w:rPr>
          <w:szCs w:val="22"/>
          <w:lang w:val="en-GB" w:eastAsia="ja-JP"/>
        </w:rPr>
        <w:t xml:space="preserve">.docx) for </w:t>
      </w:r>
      <w:r w:rsidR="00567935">
        <w:rPr>
          <w:rFonts w:hint="eastAsia"/>
          <w:szCs w:val="22"/>
          <w:lang w:val="en-GB" w:eastAsia="ja-JP"/>
        </w:rPr>
        <w:t>Table E4</w:t>
      </w:r>
      <w:r w:rsidR="00567935" w:rsidRPr="00567935">
        <w:rPr>
          <w:szCs w:val="22"/>
          <w:lang w:val="en-GB" w:eastAsia="ja-JP"/>
        </w:rPr>
        <w:t xml:space="preserve"> </w:t>
      </w:r>
      <w:r w:rsidR="00EA7A23">
        <w:rPr>
          <w:rFonts w:hint="eastAsia"/>
          <w:szCs w:val="22"/>
          <w:lang w:val="en-GB" w:eastAsia="ja-JP"/>
        </w:rPr>
        <w:t xml:space="preserve">and the relevant text </w:t>
      </w:r>
      <w:r w:rsidR="00567935" w:rsidRPr="00567935">
        <w:rPr>
          <w:szCs w:val="22"/>
          <w:lang w:val="en-GB" w:eastAsia="ja-JP"/>
        </w:rPr>
        <w:t>is attached to the .zip archive of this proposal.</w:t>
      </w:r>
    </w:p>
    <w:p w:rsidR="00A17122" w:rsidRPr="00A17122" w:rsidRDefault="00A17122" w:rsidP="00A17122">
      <w:pPr>
        <w:pStyle w:val="1"/>
        <w:rPr>
          <w:lang w:val="en-GB" w:eastAsia="ja-JP"/>
        </w:rPr>
      </w:pPr>
      <w:r w:rsidRPr="00A17122">
        <w:rPr>
          <w:lang w:val="en-GB" w:eastAsia="ja-JP"/>
        </w:rPr>
        <w:t>Conclusion</w:t>
      </w:r>
    </w:p>
    <w:p w:rsidR="00A17122" w:rsidRPr="00A17122" w:rsidRDefault="00A17122" w:rsidP="00A17122">
      <w:pPr>
        <w:jc w:val="both"/>
        <w:rPr>
          <w:szCs w:val="22"/>
          <w:lang w:val="en-GB" w:eastAsia="ja-JP"/>
        </w:rPr>
      </w:pPr>
      <w:r w:rsidRPr="00A17122">
        <w:rPr>
          <w:szCs w:val="22"/>
          <w:lang w:val="en-GB" w:eastAsia="ja-JP"/>
        </w:rPr>
        <w:t xml:space="preserve">A set of parameter values for EIDRTV systems is proposed. The proposal </w:t>
      </w:r>
      <w:r w:rsidR="00E2139B" w:rsidRPr="00A17122">
        <w:rPr>
          <w:szCs w:val="22"/>
          <w:lang w:val="en-GB" w:eastAsia="ja-JP"/>
        </w:rPr>
        <w:t xml:space="preserve">meets the requirements for EIDRTV identified by ITU-R Working Party 6C </w:t>
      </w:r>
      <w:r w:rsidR="00E2139B">
        <w:rPr>
          <w:rFonts w:hint="eastAsia"/>
          <w:szCs w:val="22"/>
          <w:lang w:val="en-GB" w:eastAsia="ja-JP"/>
        </w:rPr>
        <w:t xml:space="preserve">and </w:t>
      </w:r>
      <w:r w:rsidRPr="00A17122">
        <w:rPr>
          <w:szCs w:val="22"/>
          <w:lang w:val="en-GB" w:eastAsia="ja-JP"/>
        </w:rPr>
        <w:t xml:space="preserve">can be regarded as a simple extension to the UHDTV systems specified in Recommendation ITU-R BT.2020. It is also proposed that </w:t>
      </w:r>
      <w:r w:rsidR="00E2139B">
        <w:rPr>
          <w:rFonts w:hint="eastAsia"/>
          <w:szCs w:val="22"/>
          <w:lang w:val="en-GB" w:eastAsia="ja-JP"/>
        </w:rPr>
        <w:t xml:space="preserve">a </w:t>
      </w:r>
      <w:r w:rsidRPr="00A17122">
        <w:rPr>
          <w:szCs w:val="22"/>
          <w:lang w:val="en-GB" w:eastAsia="ja-JP"/>
        </w:rPr>
        <w:t xml:space="preserve">VUI parameter value for transfer characteristics be added </w:t>
      </w:r>
      <w:r w:rsidR="00B763D4">
        <w:rPr>
          <w:rFonts w:hint="eastAsia"/>
          <w:szCs w:val="22"/>
          <w:lang w:val="en-GB" w:eastAsia="ja-JP"/>
        </w:rPr>
        <w:t xml:space="preserve">to signal </w:t>
      </w:r>
      <w:r w:rsidRPr="00A17122">
        <w:rPr>
          <w:szCs w:val="22"/>
          <w:lang w:val="en-GB" w:eastAsia="ja-JP"/>
        </w:rPr>
        <w:t xml:space="preserve">the proposed </w:t>
      </w:r>
      <w:r w:rsidR="002A5D5F">
        <w:rPr>
          <w:rFonts w:hint="eastAsia"/>
          <w:szCs w:val="22"/>
          <w:lang w:val="en-GB" w:eastAsia="ja-JP"/>
        </w:rPr>
        <w:t xml:space="preserve">EIDRTV </w:t>
      </w:r>
      <w:r w:rsidRPr="00A17122">
        <w:rPr>
          <w:szCs w:val="22"/>
          <w:lang w:val="en-GB" w:eastAsia="ja-JP"/>
        </w:rPr>
        <w:t>system.</w:t>
      </w:r>
    </w:p>
    <w:p w:rsidR="001F2594" w:rsidRPr="005B217D" w:rsidRDefault="001F2594" w:rsidP="00E11923">
      <w:pPr>
        <w:pStyle w:val="1"/>
        <w:rPr>
          <w:lang w:val="en-CA"/>
        </w:rPr>
      </w:pPr>
      <w:r w:rsidRPr="005B217D">
        <w:rPr>
          <w:lang w:val="en-CA"/>
        </w:rPr>
        <w:t>Patent rights declaration</w:t>
      </w:r>
      <w:r w:rsidR="00B94B06" w:rsidRPr="005B217D">
        <w:rPr>
          <w:lang w:val="en-CA"/>
        </w:rPr>
        <w:t>(s)</w:t>
      </w:r>
    </w:p>
    <w:p w:rsidR="005801A2" w:rsidRPr="00B763D4" w:rsidRDefault="00E77065" w:rsidP="005801A2">
      <w:pPr>
        <w:jc w:val="both"/>
        <w:rPr>
          <w:b/>
          <w:szCs w:val="22"/>
          <w:lang w:val="en-CA"/>
        </w:rPr>
      </w:pPr>
      <w:r w:rsidRPr="00B763D4">
        <w:rPr>
          <w:rFonts w:hint="eastAsia"/>
          <w:b/>
          <w:szCs w:val="22"/>
          <w:lang w:val="en-CA" w:eastAsia="ja-JP"/>
        </w:rPr>
        <w:t>NHK</w:t>
      </w:r>
      <w:r w:rsidR="005801A2" w:rsidRPr="00B763D4">
        <w:rPr>
          <w:b/>
          <w:szCs w:val="22"/>
          <w:lang w:val="en-CA"/>
        </w:rPr>
        <w:t xml:space="preserve"> does not have any current or pending patent rights relating to the technology described in this contribution.</w:t>
      </w:r>
    </w:p>
    <w:p w:rsidR="007F1F8B" w:rsidRPr="005B217D" w:rsidRDefault="007F1F8B" w:rsidP="009234A5">
      <w:pPr>
        <w:jc w:val="both"/>
        <w:rPr>
          <w:szCs w:val="22"/>
          <w:lang w:val="en-CA"/>
        </w:rPr>
      </w:pPr>
    </w:p>
    <w:sectPr w:rsidR="007F1F8B" w:rsidRPr="005B217D" w:rsidSect="00A01439">
      <w:footerReference w:type="default" r:id="rId35"/>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6C21" w:rsidRDefault="00FB6C21">
      <w:r>
        <w:separator/>
      </w:r>
    </w:p>
  </w:endnote>
  <w:endnote w:type="continuationSeparator" w:id="0">
    <w:p w:rsidR="00FB6C21" w:rsidRDefault="00FB6C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Arial Unicode MS"/>
    <w:panose1 w:val="020B0503020000020004"/>
    <w:charset w:val="81"/>
    <w:family w:val="swiss"/>
    <w:pitch w:val="variable"/>
    <w:sig w:usb0="900002AF" w:usb1="09D77CFB" w:usb2="00000012" w:usb3="00000000" w:csb0="00080001" w:csb1="00000000"/>
  </w:font>
  <w:font w:name="GulimChe">
    <w:panose1 w:val="020B0609000101010101"/>
    <w:charset w:val="81"/>
    <w:family w:val="modern"/>
    <w:pitch w:val="fixed"/>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Default="000B4FF9"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D5566C">
      <w:rPr>
        <w:rStyle w:val="a5"/>
      </w:rPr>
      <w:fldChar w:fldCharType="begin"/>
    </w:r>
    <w:r>
      <w:rPr>
        <w:rStyle w:val="a5"/>
      </w:rPr>
      <w:instrText xml:space="preserve"> PAGE </w:instrText>
    </w:r>
    <w:r w:rsidR="00D5566C">
      <w:rPr>
        <w:rStyle w:val="a5"/>
      </w:rPr>
      <w:fldChar w:fldCharType="separate"/>
    </w:r>
    <w:r w:rsidR="0061512E">
      <w:rPr>
        <w:rStyle w:val="a5"/>
        <w:noProof/>
      </w:rPr>
      <w:t>7</w:t>
    </w:r>
    <w:r w:rsidR="00D5566C">
      <w:rPr>
        <w:rStyle w:val="a5"/>
      </w:rPr>
      <w:fldChar w:fldCharType="end"/>
    </w:r>
    <w:r>
      <w:rPr>
        <w:rStyle w:val="a5"/>
      </w:rPr>
      <w:tab/>
      <w:t xml:space="preserve">Date Saved: </w:t>
    </w:r>
    <w:r w:rsidR="00D5566C">
      <w:rPr>
        <w:rStyle w:val="a5"/>
      </w:rPr>
      <w:fldChar w:fldCharType="begin"/>
    </w:r>
    <w:r>
      <w:rPr>
        <w:rStyle w:val="a5"/>
      </w:rPr>
      <w:instrText xml:space="preserve"> SAVEDATE  \@ "yyyy-MM-dd"  \* MERGEFORMAT </w:instrText>
    </w:r>
    <w:r w:rsidR="00D5566C">
      <w:rPr>
        <w:rStyle w:val="a5"/>
      </w:rPr>
      <w:fldChar w:fldCharType="separate"/>
    </w:r>
    <w:r w:rsidR="0061512E">
      <w:rPr>
        <w:rStyle w:val="a5"/>
        <w:noProof/>
      </w:rPr>
      <w:t>2015-01-29</w:t>
    </w:r>
    <w:r w:rsidR="00D5566C">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6C21" w:rsidRDefault="00FB6C21">
      <w:r>
        <w:separator/>
      </w:r>
    </w:p>
  </w:footnote>
  <w:footnote w:type="continuationSeparator" w:id="0">
    <w:p w:rsidR="00FB6C21" w:rsidRDefault="00FB6C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1EAAC178"/>
    <w:lvl w:ilvl="0">
      <w:start w:val="1"/>
      <w:numFmt w:val="decimal"/>
      <w:pStyle w:val="1"/>
      <w:lvlText w:val="%1"/>
      <w:lvlJc w:val="left"/>
      <w:pPr>
        <w:ind w:left="432" w:hanging="432"/>
      </w:pPr>
      <w:rPr>
        <w:lang w:val="en-GB"/>
      </w:r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stylePaneFormatFilter w:val="3F01"/>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457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5D39"/>
    <w:rsid w:val="000308A3"/>
    <w:rsid w:val="000458BC"/>
    <w:rsid w:val="00045C41"/>
    <w:rsid w:val="00046C03"/>
    <w:rsid w:val="00065039"/>
    <w:rsid w:val="0007614F"/>
    <w:rsid w:val="000B0C0F"/>
    <w:rsid w:val="000B1C6B"/>
    <w:rsid w:val="000B4FF9"/>
    <w:rsid w:val="000C09AC"/>
    <w:rsid w:val="000E00F3"/>
    <w:rsid w:val="000E4B52"/>
    <w:rsid w:val="000F158C"/>
    <w:rsid w:val="00102F3D"/>
    <w:rsid w:val="00124E38"/>
    <w:rsid w:val="0012580B"/>
    <w:rsid w:val="00131F90"/>
    <w:rsid w:val="0013526E"/>
    <w:rsid w:val="00146152"/>
    <w:rsid w:val="00147999"/>
    <w:rsid w:val="0015488F"/>
    <w:rsid w:val="00171371"/>
    <w:rsid w:val="00175A24"/>
    <w:rsid w:val="00187E58"/>
    <w:rsid w:val="001A297E"/>
    <w:rsid w:val="001A368E"/>
    <w:rsid w:val="001A3DF3"/>
    <w:rsid w:val="001A7329"/>
    <w:rsid w:val="001A792F"/>
    <w:rsid w:val="001B0529"/>
    <w:rsid w:val="001B4E28"/>
    <w:rsid w:val="001C3525"/>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75BCF"/>
    <w:rsid w:val="00291E36"/>
    <w:rsid w:val="00292257"/>
    <w:rsid w:val="002A54E0"/>
    <w:rsid w:val="002A5D5F"/>
    <w:rsid w:val="002B1595"/>
    <w:rsid w:val="002B191D"/>
    <w:rsid w:val="002D0AF6"/>
    <w:rsid w:val="002F164D"/>
    <w:rsid w:val="00306206"/>
    <w:rsid w:val="00314DE1"/>
    <w:rsid w:val="00317D85"/>
    <w:rsid w:val="00327C56"/>
    <w:rsid w:val="003315A1"/>
    <w:rsid w:val="003373EC"/>
    <w:rsid w:val="00342FF4"/>
    <w:rsid w:val="00346148"/>
    <w:rsid w:val="003669EA"/>
    <w:rsid w:val="003706CC"/>
    <w:rsid w:val="00377710"/>
    <w:rsid w:val="003A2D8E"/>
    <w:rsid w:val="003A7CE6"/>
    <w:rsid w:val="003C20E4"/>
    <w:rsid w:val="003E6F90"/>
    <w:rsid w:val="003F5D0F"/>
    <w:rsid w:val="00414101"/>
    <w:rsid w:val="004234F0"/>
    <w:rsid w:val="00433DDB"/>
    <w:rsid w:val="00437619"/>
    <w:rsid w:val="00465A1E"/>
    <w:rsid w:val="004751A0"/>
    <w:rsid w:val="004A2A63"/>
    <w:rsid w:val="004B210C"/>
    <w:rsid w:val="004C29E3"/>
    <w:rsid w:val="004D405F"/>
    <w:rsid w:val="004E4F4F"/>
    <w:rsid w:val="004E6789"/>
    <w:rsid w:val="004F61E3"/>
    <w:rsid w:val="00502E10"/>
    <w:rsid w:val="0051015C"/>
    <w:rsid w:val="00516CF1"/>
    <w:rsid w:val="00531AE9"/>
    <w:rsid w:val="00550A66"/>
    <w:rsid w:val="00567935"/>
    <w:rsid w:val="00567EC7"/>
    <w:rsid w:val="00570013"/>
    <w:rsid w:val="005801A2"/>
    <w:rsid w:val="00586534"/>
    <w:rsid w:val="005952A5"/>
    <w:rsid w:val="005A33A1"/>
    <w:rsid w:val="005B217D"/>
    <w:rsid w:val="005C385F"/>
    <w:rsid w:val="005D3437"/>
    <w:rsid w:val="005E1AC6"/>
    <w:rsid w:val="005F6F1B"/>
    <w:rsid w:val="0061512E"/>
    <w:rsid w:val="00624B33"/>
    <w:rsid w:val="0063041A"/>
    <w:rsid w:val="00630AA2"/>
    <w:rsid w:val="00646707"/>
    <w:rsid w:val="00662E58"/>
    <w:rsid w:val="00664DCF"/>
    <w:rsid w:val="00677305"/>
    <w:rsid w:val="00697FE6"/>
    <w:rsid w:val="006C5D39"/>
    <w:rsid w:val="006D6D9B"/>
    <w:rsid w:val="006E2810"/>
    <w:rsid w:val="006E5417"/>
    <w:rsid w:val="007023DE"/>
    <w:rsid w:val="00712F60"/>
    <w:rsid w:val="00720E3B"/>
    <w:rsid w:val="0074393F"/>
    <w:rsid w:val="00745F6B"/>
    <w:rsid w:val="00751EC1"/>
    <w:rsid w:val="0075585E"/>
    <w:rsid w:val="00770571"/>
    <w:rsid w:val="007768FF"/>
    <w:rsid w:val="007824D3"/>
    <w:rsid w:val="00796EE3"/>
    <w:rsid w:val="007A7D29"/>
    <w:rsid w:val="007B4AB8"/>
    <w:rsid w:val="007C5187"/>
    <w:rsid w:val="007D1181"/>
    <w:rsid w:val="007E01A3"/>
    <w:rsid w:val="007F1F8B"/>
    <w:rsid w:val="007F67A1"/>
    <w:rsid w:val="00811C05"/>
    <w:rsid w:val="008206C8"/>
    <w:rsid w:val="0086387C"/>
    <w:rsid w:val="00874A6C"/>
    <w:rsid w:val="00876C65"/>
    <w:rsid w:val="008A4B4C"/>
    <w:rsid w:val="008C239F"/>
    <w:rsid w:val="008E480C"/>
    <w:rsid w:val="008F7DFA"/>
    <w:rsid w:val="00907757"/>
    <w:rsid w:val="009212B0"/>
    <w:rsid w:val="00921FA1"/>
    <w:rsid w:val="009234A5"/>
    <w:rsid w:val="00933453"/>
    <w:rsid w:val="009336F7"/>
    <w:rsid w:val="0093636C"/>
    <w:rsid w:val="009374A7"/>
    <w:rsid w:val="00942D70"/>
    <w:rsid w:val="00955F6D"/>
    <w:rsid w:val="00973956"/>
    <w:rsid w:val="0098551D"/>
    <w:rsid w:val="0099518F"/>
    <w:rsid w:val="009A523D"/>
    <w:rsid w:val="009B02A1"/>
    <w:rsid w:val="009F496B"/>
    <w:rsid w:val="00A01439"/>
    <w:rsid w:val="00A02E61"/>
    <w:rsid w:val="00A05CFF"/>
    <w:rsid w:val="00A11E7F"/>
    <w:rsid w:val="00A13048"/>
    <w:rsid w:val="00A17122"/>
    <w:rsid w:val="00A56B97"/>
    <w:rsid w:val="00A6093D"/>
    <w:rsid w:val="00A767DC"/>
    <w:rsid w:val="00A76A6D"/>
    <w:rsid w:val="00A83253"/>
    <w:rsid w:val="00A9161A"/>
    <w:rsid w:val="00AA6E84"/>
    <w:rsid w:val="00AE341B"/>
    <w:rsid w:val="00B07CA7"/>
    <w:rsid w:val="00B1279A"/>
    <w:rsid w:val="00B4194A"/>
    <w:rsid w:val="00B5222E"/>
    <w:rsid w:val="00B53179"/>
    <w:rsid w:val="00B600CD"/>
    <w:rsid w:val="00B61C96"/>
    <w:rsid w:val="00B65D75"/>
    <w:rsid w:val="00B73A2A"/>
    <w:rsid w:val="00B763D4"/>
    <w:rsid w:val="00B803FD"/>
    <w:rsid w:val="00B94B06"/>
    <w:rsid w:val="00B94C28"/>
    <w:rsid w:val="00BC10BA"/>
    <w:rsid w:val="00BC5AFD"/>
    <w:rsid w:val="00C04F43"/>
    <w:rsid w:val="00C0609D"/>
    <w:rsid w:val="00C115AB"/>
    <w:rsid w:val="00C26CCB"/>
    <w:rsid w:val="00C30249"/>
    <w:rsid w:val="00C3723B"/>
    <w:rsid w:val="00C42466"/>
    <w:rsid w:val="00C43F6F"/>
    <w:rsid w:val="00C606C9"/>
    <w:rsid w:val="00C76EDB"/>
    <w:rsid w:val="00C80288"/>
    <w:rsid w:val="00C84003"/>
    <w:rsid w:val="00C90650"/>
    <w:rsid w:val="00C97D78"/>
    <w:rsid w:val="00CC2AAE"/>
    <w:rsid w:val="00CC5A42"/>
    <w:rsid w:val="00CD0EAB"/>
    <w:rsid w:val="00CE5E02"/>
    <w:rsid w:val="00CF0CFD"/>
    <w:rsid w:val="00CF34DB"/>
    <w:rsid w:val="00CF558F"/>
    <w:rsid w:val="00D073E2"/>
    <w:rsid w:val="00D41FC7"/>
    <w:rsid w:val="00D446EC"/>
    <w:rsid w:val="00D51BF0"/>
    <w:rsid w:val="00D5566C"/>
    <w:rsid w:val="00D55942"/>
    <w:rsid w:val="00D807BF"/>
    <w:rsid w:val="00D82FCC"/>
    <w:rsid w:val="00DA17FC"/>
    <w:rsid w:val="00DA7887"/>
    <w:rsid w:val="00DB2C26"/>
    <w:rsid w:val="00DE269C"/>
    <w:rsid w:val="00DE6B43"/>
    <w:rsid w:val="00E11923"/>
    <w:rsid w:val="00E2139B"/>
    <w:rsid w:val="00E262D4"/>
    <w:rsid w:val="00E36250"/>
    <w:rsid w:val="00E54511"/>
    <w:rsid w:val="00E61DAC"/>
    <w:rsid w:val="00E61F6A"/>
    <w:rsid w:val="00E72B80"/>
    <w:rsid w:val="00E75FE3"/>
    <w:rsid w:val="00E77065"/>
    <w:rsid w:val="00E86C4C"/>
    <w:rsid w:val="00E907A3"/>
    <w:rsid w:val="00EA5AE0"/>
    <w:rsid w:val="00EA7A23"/>
    <w:rsid w:val="00EB7AB1"/>
    <w:rsid w:val="00EE7CD8"/>
    <w:rsid w:val="00EF48CC"/>
    <w:rsid w:val="00F00801"/>
    <w:rsid w:val="00F51FCE"/>
    <w:rsid w:val="00F60B7C"/>
    <w:rsid w:val="00F73032"/>
    <w:rsid w:val="00F848FC"/>
    <w:rsid w:val="00F9282A"/>
    <w:rsid w:val="00F95220"/>
    <w:rsid w:val="00F96BAD"/>
    <w:rsid w:val="00FA139D"/>
    <w:rsid w:val="00FB0E84"/>
    <w:rsid w:val="00FB6C21"/>
    <w:rsid w:val="00FD01C2"/>
    <w:rsid w:val="00FF0CE3"/>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lang/>
    </w:rPr>
  </w:style>
  <w:style w:type="paragraph" w:styleId="3">
    <w:name w:val="heading 3"/>
    <w:basedOn w:val="a"/>
    <w:next w:val="a"/>
    <w:link w:val="30"/>
    <w:qFormat/>
    <w:rsid w:val="002B191D"/>
    <w:pPr>
      <w:keepNext/>
      <w:numPr>
        <w:ilvl w:val="2"/>
        <w:numId w:val="6"/>
      </w:numPr>
      <w:spacing w:before="240" w:after="60"/>
      <w:outlineLvl w:val="2"/>
    </w:pPr>
    <w:rPr>
      <w:b/>
      <w:bCs/>
      <w:sz w:val="26"/>
      <w:szCs w:val="26"/>
      <w:lang/>
    </w:rPr>
  </w:style>
  <w:style w:type="paragraph" w:styleId="4">
    <w:name w:val="heading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lang/>
    </w:rPr>
  </w:style>
  <w:style w:type="paragraph" w:styleId="5">
    <w:name w:val="heading 5"/>
    <w:basedOn w:val="a"/>
    <w:next w:val="a"/>
    <w:link w:val="50"/>
    <w:qFormat/>
    <w:rsid w:val="004234F0"/>
    <w:pPr>
      <w:keepNext/>
      <w:numPr>
        <w:ilvl w:val="4"/>
        <w:numId w:val="6"/>
      </w:numPr>
      <w:spacing w:before="240" w:after="60"/>
      <w:ind w:left="1080" w:hanging="1080"/>
      <w:outlineLvl w:val="4"/>
    </w:pPr>
    <w:rPr>
      <w:b/>
      <w:bCs/>
      <w:i/>
      <w:iCs/>
      <w:sz w:val="24"/>
      <w:szCs w:val="26"/>
      <w:lang/>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lang/>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lang/>
    </w:rPr>
  </w:style>
  <w:style w:type="paragraph" w:styleId="8">
    <w:name w:val="heading 8"/>
    <w:basedOn w:val="a"/>
    <w:next w:val="a"/>
    <w:link w:val="80"/>
    <w:qFormat/>
    <w:rsid w:val="004234F0"/>
    <w:pPr>
      <w:keepNext/>
      <w:numPr>
        <w:ilvl w:val="7"/>
        <w:numId w:val="6"/>
      </w:numPr>
      <w:tabs>
        <w:tab w:val="left" w:pos="1800"/>
      </w:tabs>
      <w:spacing w:before="240" w:after="60"/>
      <w:ind w:left="1800" w:hanging="1800"/>
      <w:outlineLvl w:val="7"/>
    </w:pPr>
    <w:rPr>
      <w:i/>
      <w:iCs/>
      <w:szCs w:val="24"/>
      <w:lang/>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77305"/>
    <w:pPr>
      <w:tabs>
        <w:tab w:val="center" w:pos="4320"/>
        <w:tab w:val="right" w:pos="8640"/>
      </w:tabs>
    </w:pPr>
  </w:style>
  <w:style w:type="paragraph" w:styleId="a4">
    <w:name w:val="footer"/>
    <w:basedOn w:val="a"/>
    <w:rsid w:val="00677305"/>
    <w:pPr>
      <w:tabs>
        <w:tab w:val="center" w:pos="4320"/>
        <w:tab w:val="right" w:pos="8640"/>
      </w:tabs>
    </w:pPr>
  </w:style>
  <w:style w:type="character" w:styleId="a5">
    <w:name w:val="page number"/>
    <w:basedOn w:val="a0"/>
    <w:rsid w:val="00677305"/>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E11923"/>
    <w:rPr>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link w:val="4"/>
    <w:rsid w:val="004234F0"/>
    <w:rPr>
      <w:rFonts w:ascii="Times New Roman Bold" w:hAnsi="Times New Roman Bold"/>
      <w:b/>
      <w:bCs/>
      <w:sz w:val="24"/>
      <w:szCs w:val="28"/>
    </w:rPr>
  </w:style>
  <w:style w:type="character" w:customStyle="1" w:styleId="50">
    <w:name w:val="見出し 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sz w:val="16"/>
      <w:szCs w:val="16"/>
      <w:lang/>
    </w:rPr>
  </w:style>
  <w:style w:type="character" w:customStyle="1" w:styleId="aa">
    <w:name w:val="見出しマップ (文字)"/>
    <w:link w:val="a9"/>
    <w:rsid w:val="00E11923"/>
    <w:rPr>
      <w:rFonts w:ascii="Tahoma" w:hAnsi="Tahoma" w:cs="Tahoma"/>
      <w:sz w:val="16"/>
      <w:szCs w:val="16"/>
      <w:lang w:eastAsia="en-US"/>
    </w:rPr>
  </w:style>
  <w:style w:type="paragraph" w:customStyle="1" w:styleId="Equation">
    <w:name w:val="Equation"/>
    <w:basedOn w:val="a"/>
    <w:rsid w:val="00E77065"/>
    <w:pPr>
      <w:tabs>
        <w:tab w:val="clear" w:pos="360"/>
        <w:tab w:val="clear" w:pos="720"/>
        <w:tab w:val="clear" w:pos="1080"/>
        <w:tab w:val="clear" w:pos="1440"/>
        <w:tab w:val="left" w:pos="1134"/>
        <w:tab w:val="center" w:pos="4820"/>
        <w:tab w:val="right" w:pos="9639"/>
      </w:tabs>
      <w:spacing w:before="120"/>
    </w:pPr>
    <w:rPr>
      <w:sz w:val="24"/>
      <w:lang w:val="en-GB"/>
    </w:rPr>
  </w:style>
  <w:style w:type="paragraph" w:customStyle="1" w:styleId="Tabletext">
    <w:name w:val="Table_text"/>
    <w:basedOn w:val="a"/>
    <w:link w:val="TabletextChar"/>
    <w:uiPriority w:val="99"/>
    <w:rsid w:val="00E77065"/>
    <w:pPr>
      <w:tabs>
        <w:tab w:val="clear" w:pos="360"/>
        <w:tab w:val="clear" w:pos="720"/>
        <w:tab w:val="clear" w:pos="1080"/>
        <w:tab w:val="clear" w:pos="144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pPr>
    <w:rPr>
      <w:sz w:val="20"/>
      <w:lang w:val="en-GB"/>
    </w:rPr>
  </w:style>
  <w:style w:type="paragraph" w:customStyle="1" w:styleId="Tablehead">
    <w:name w:val="Table_head"/>
    <w:basedOn w:val="Tabletext"/>
    <w:next w:val="Tabletext"/>
    <w:uiPriority w:val="99"/>
    <w:rsid w:val="00E77065"/>
    <w:pPr>
      <w:keepNext/>
      <w:spacing w:before="80" w:after="80"/>
      <w:jc w:val="center"/>
    </w:pPr>
    <w:rPr>
      <w:rFonts w:ascii="Times New Roman Bold" w:hAnsi="Times New Roman Bold"/>
      <w:b/>
    </w:rPr>
  </w:style>
  <w:style w:type="paragraph" w:customStyle="1" w:styleId="Tablelegend">
    <w:name w:val="Table_legend"/>
    <w:basedOn w:val="Tabletext"/>
    <w:rsid w:val="00E77065"/>
    <w:pPr>
      <w:tabs>
        <w:tab w:val="clear" w:pos="284"/>
      </w:tabs>
      <w:spacing w:before="120"/>
    </w:pPr>
  </w:style>
  <w:style w:type="paragraph" w:customStyle="1" w:styleId="TableNo">
    <w:name w:val="Table_No"/>
    <w:basedOn w:val="a"/>
    <w:next w:val="Tabletitle"/>
    <w:link w:val="TableNoChar"/>
    <w:rsid w:val="00E77065"/>
    <w:pPr>
      <w:keepNext/>
      <w:tabs>
        <w:tab w:val="clear" w:pos="360"/>
        <w:tab w:val="clear" w:pos="720"/>
        <w:tab w:val="clear" w:pos="1080"/>
        <w:tab w:val="clear" w:pos="1440"/>
        <w:tab w:val="left" w:pos="1134"/>
        <w:tab w:val="left" w:pos="1871"/>
        <w:tab w:val="left" w:pos="2268"/>
      </w:tabs>
      <w:spacing w:before="560" w:after="120"/>
      <w:jc w:val="center"/>
    </w:pPr>
    <w:rPr>
      <w:caps/>
      <w:sz w:val="20"/>
      <w:lang w:val="en-GB"/>
    </w:rPr>
  </w:style>
  <w:style w:type="paragraph" w:customStyle="1" w:styleId="Tabletitle">
    <w:name w:val="Table_title"/>
    <w:basedOn w:val="a"/>
    <w:next w:val="Tabletext"/>
    <w:link w:val="TabletitleChar"/>
    <w:rsid w:val="00E77065"/>
    <w:pPr>
      <w:keepNext/>
      <w:keepLines/>
      <w:tabs>
        <w:tab w:val="clear" w:pos="360"/>
        <w:tab w:val="clear" w:pos="720"/>
        <w:tab w:val="clear" w:pos="1080"/>
        <w:tab w:val="clear" w:pos="1440"/>
        <w:tab w:val="left" w:pos="1134"/>
        <w:tab w:val="left" w:pos="1871"/>
        <w:tab w:val="left" w:pos="2268"/>
      </w:tabs>
      <w:spacing w:before="0" w:after="120"/>
      <w:jc w:val="center"/>
    </w:pPr>
    <w:rPr>
      <w:rFonts w:ascii="Times New Roman Bold" w:hAnsi="Times New Roman Bold"/>
      <w:b/>
      <w:sz w:val="20"/>
      <w:lang w:val="en-GB"/>
    </w:rPr>
  </w:style>
  <w:style w:type="character" w:customStyle="1" w:styleId="TabletextChar">
    <w:name w:val="Table_text Char"/>
    <w:basedOn w:val="a0"/>
    <w:link w:val="Tabletext"/>
    <w:locked/>
    <w:rsid w:val="00E77065"/>
    <w:rPr>
      <w:lang w:val="en-GB" w:eastAsia="en-US"/>
    </w:rPr>
  </w:style>
  <w:style w:type="character" w:customStyle="1" w:styleId="TabletitleChar">
    <w:name w:val="Table_title Char"/>
    <w:link w:val="Tabletitle"/>
    <w:locked/>
    <w:rsid w:val="00E77065"/>
    <w:rPr>
      <w:rFonts w:ascii="Times New Roman Bold" w:hAnsi="Times New Roman Bold"/>
      <w:b/>
      <w:lang w:val="en-GB" w:eastAsia="en-US"/>
    </w:rPr>
  </w:style>
  <w:style w:type="character" w:customStyle="1" w:styleId="TableNoChar">
    <w:name w:val="Table_No Char"/>
    <w:link w:val="TableNo"/>
    <w:locked/>
    <w:rsid w:val="00E77065"/>
    <w:rPr>
      <w:caps/>
      <w:lang w:val="en-GB" w:eastAsia="en-US"/>
    </w:rPr>
  </w:style>
  <w:style w:type="paragraph" w:customStyle="1" w:styleId="Figuretitle">
    <w:name w:val="Figure_title"/>
    <w:basedOn w:val="Tabletitle"/>
    <w:next w:val="a"/>
    <w:uiPriority w:val="99"/>
    <w:rsid w:val="00A17122"/>
    <w:pPr>
      <w:spacing w:after="480"/>
    </w:pPr>
  </w:style>
  <w:style w:type="paragraph" w:customStyle="1" w:styleId="FigureNo">
    <w:name w:val="Figure_No"/>
    <w:basedOn w:val="a"/>
    <w:next w:val="Figuretitle"/>
    <w:uiPriority w:val="99"/>
    <w:rsid w:val="00A17122"/>
    <w:pPr>
      <w:keepNext/>
      <w:keepLines/>
      <w:tabs>
        <w:tab w:val="clear" w:pos="360"/>
        <w:tab w:val="clear" w:pos="720"/>
        <w:tab w:val="clear" w:pos="1080"/>
        <w:tab w:val="clear" w:pos="1440"/>
        <w:tab w:val="left" w:pos="1134"/>
        <w:tab w:val="left" w:pos="1871"/>
        <w:tab w:val="left" w:pos="2268"/>
      </w:tabs>
      <w:spacing w:before="480" w:after="120"/>
      <w:jc w:val="center"/>
    </w:pPr>
    <w:rPr>
      <w:caps/>
      <w:sz w:val="20"/>
      <w:lang w:val="en-GB"/>
    </w:rPr>
  </w:style>
  <w:style w:type="paragraph" w:styleId="ab">
    <w:name w:val="caption"/>
    <w:basedOn w:val="a"/>
    <w:next w:val="a"/>
    <w:link w:val="ac"/>
    <w:qFormat/>
    <w:rsid w:val="007C5187"/>
    <w:pPr>
      <w:keepNext/>
      <w:tabs>
        <w:tab w:val="clear" w:pos="360"/>
        <w:tab w:val="clear" w:pos="720"/>
        <w:tab w:val="clear" w:pos="1080"/>
        <w:tab w:val="clear" w:pos="1440"/>
      </w:tabs>
      <w:spacing w:before="240" w:after="113"/>
      <w:jc w:val="center"/>
    </w:pPr>
    <w:rPr>
      <w:rFonts w:eastAsia="Malgun Gothic"/>
      <w:b/>
      <w:bCs/>
      <w:sz w:val="20"/>
      <w:lang/>
    </w:rPr>
  </w:style>
  <w:style w:type="character" w:customStyle="1" w:styleId="ac">
    <w:name w:val="図表番号 (文字)"/>
    <w:link w:val="ab"/>
    <w:locked/>
    <w:rsid w:val="007C5187"/>
    <w:rPr>
      <w:rFonts w:eastAsia="Malgun Gothic"/>
      <w:b/>
      <w:bCs/>
      <w:lang w:eastAsia="en-US"/>
    </w:rPr>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wmf"/><Relationship Id="rId18" Type="http://schemas.openxmlformats.org/officeDocument/2006/relationships/oleObject" Target="embeddings/oleObject5.bin"/><Relationship Id="rId26" Type="http://schemas.openxmlformats.org/officeDocument/2006/relationships/image" Target="media/image11.wmf"/><Relationship Id="rId3" Type="http://schemas.openxmlformats.org/officeDocument/2006/relationships/settings" Target="settings.xml"/><Relationship Id="rId21" Type="http://schemas.openxmlformats.org/officeDocument/2006/relationships/oleObject" Target="embeddings/oleObject7.bin"/><Relationship Id="rId34" Type="http://schemas.openxmlformats.org/officeDocument/2006/relationships/image" Target="media/image16.emf"/><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image" Target="media/image7.wmf"/><Relationship Id="rId25" Type="http://schemas.openxmlformats.org/officeDocument/2006/relationships/oleObject" Target="embeddings/oleObject9.bin"/><Relationship Id="rId33" Type="http://schemas.openxmlformats.org/officeDocument/2006/relationships/image" Target="media/image15.e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image" Target="media/image8.wmf"/><Relationship Id="rId29" Type="http://schemas.openxmlformats.org/officeDocument/2006/relationships/oleObject" Target="embeddings/oleObject1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image" Target="media/image10.wmf"/><Relationship Id="rId32" Type="http://schemas.openxmlformats.org/officeDocument/2006/relationships/image" Target="media/image14.emf"/><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3.bin"/><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7</Pages>
  <Words>1950</Words>
  <Characters>11121</Characters>
  <Application>Microsoft Office Word</Application>
  <DocSecurity>0</DocSecurity>
  <Lines>92</Lines>
  <Paragraphs>26</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13045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nishida</cp:lastModifiedBy>
  <cp:revision>14</cp:revision>
  <cp:lastPrinted>2015-01-29T01:48:00Z</cp:lastPrinted>
  <dcterms:created xsi:type="dcterms:W3CDTF">2015-01-26T07:43:00Z</dcterms:created>
  <dcterms:modified xsi:type="dcterms:W3CDTF">2015-01-29T11:39:00Z</dcterms:modified>
</cp:coreProperties>
</file>