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B466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en-CA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7435AF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en-CA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en-C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A767DC" w:rsidP="000308A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1</w:t>
            </w:r>
            <w:r w:rsidR="000308A3">
              <w:t>9</w:t>
            </w:r>
            <w:r w:rsidRPr="00B648F1">
              <w:t xml:space="preserve">th Meeting: </w:t>
            </w:r>
            <w:r>
              <w:rPr>
                <w:lang w:val="en-CA"/>
              </w:rPr>
              <w:t>S</w:t>
            </w:r>
            <w:r w:rsidR="000308A3">
              <w:rPr>
                <w:lang w:val="en-CA"/>
              </w:rPr>
              <w:t>trasbourg</w:t>
            </w:r>
            <w:r>
              <w:rPr>
                <w:lang w:val="en-CA"/>
              </w:rPr>
              <w:t>,</w:t>
            </w:r>
            <w:r w:rsidRPr="00B648F1">
              <w:rPr>
                <w:lang w:val="en-CA"/>
              </w:rPr>
              <w:t xml:space="preserve"> </w:t>
            </w:r>
            <w:r w:rsidR="000308A3">
              <w:rPr>
                <w:lang w:val="en-CA"/>
              </w:rPr>
              <w:t>FR</w:t>
            </w:r>
            <w:r>
              <w:rPr>
                <w:lang w:val="en-CA"/>
              </w:rPr>
              <w:t xml:space="preserve">, </w:t>
            </w:r>
            <w:r w:rsidR="000308A3">
              <w:rPr>
                <w:lang w:val="en-CA"/>
              </w:rPr>
              <w:t>17</w:t>
            </w:r>
            <w:r w:rsidR="003A7CE6">
              <w:rPr>
                <w:lang w:val="en-CA"/>
              </w:rPr>
              <w:t>–</w:t>
            </w:r>
            <w:r w:rsidR="000308A3">
              <w:rPr>
                <w:lang w:val="en-CA"/>
              </w:rPr>
              <w:t>24</w:t>
            </w:r>
            <w:r w:rsidRPr="00B648F1">
              <w:rPr>
                <w:lang w:val="en-CA"/>
              </w:rPr>
              <w:t xml:space="preserve"> </w:t>
            </w:r>
            <w:r w:rsidR="000308A3">
              <w:rPr>
                <w:lang w:val="en-CA"/>
              </w:rPr>
              <w:t>Oct</w:t>
            </w:r>
            <w:r w:rsidR="001A792F">
              <w:rPr>
                <w:lang w:val="en-CA"/>
              </w:rPr>
              <w:t>.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8B2F1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308A3">
              <w:rPr>
                <w:lang w:val="en-CA"/>
              </w:rPr>
              <w:t>S</w:t>
            </w:r>
            <w:r w:rsidR="008B2F14" w:rsidRPr="008B2F14">
              <w:rPr>
                <w:lang w:val="en-CA"/>
              </w:rPr>
              <w:t>0075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6040D7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C</w:t>
            </w:r>
            <w:r w:rsidR="00BD5FF6">
              <w:rPr>
                <w:b/>
                <w:szCs w:val="22"/>
                <w:lang w:val="en-CA"/>
              </w:rPr>
              <w:t>opy Mode for S</w:t>
            </w:r>
            <w:r>
              <w:rPr>
                <w:b/>
                <w:szCs w:val="22"/>
                <w:lang w:val="en-CA"/>
              </w:rPr>
              <w:t>tatic Screen Content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6040D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B5C38" w:rsidRPr="008B2F14" w:rsidRDefault="00EB5C38" w:rsidP="00EB5C38">
            <w:pPr>
              <w:spacing w:before="60" w:after="60"/>
              <w:rPr>
                <w:szCs w:val="22"/>
                <w:lang w:val="de-DE"/>
              </w:rPr>
            </w:pPr>
            <w:r w:rsidRPr="008B2F14">
              <w:rPr>
                <w:szCs w:val="22"/>
                <w:lang w:val="de-DE"/>
              </w:rPr>
              <w:t xml:space="preserve">T. Laude (Leibniz </w:t>
            </w:r>
            <w:proofErr w:type="spellStart"/>
            <w:r w:rsidRPr="008B2F14">
              <w:rPr>
                <w:szCs w:val="22"/>
                <w:lang w:val="de-DE"/>
              </w:rPr>
              <w:t>Universitaet</w:t>
            </w:r>
            <w:proofErr w:type="spellEnd"/>
            <w:r w:rsidRPr="008B2F14">
              <w:rPr>
                <w:szCs w:val="22"/>
                <w:lang w:val="de-DE"/>
              </w:rPr>
              <w:t xml:space="preserve"> Hannover)</w:t>
            </w:r>
            <w:r w:rsidR="00E61DAC" w:rsidRPr="008B2F14">
              <w:rPr>
                <w:szCs w:val="22"/>
                <w:lang w:val="de-DE"/>
              </w:rPr>
              <w:br/>
            </w:r>
          </w:p>
          <w:p w:rsidR="00E61DAC" w:rsidRPr="008B2F14" w:rsidRDefault="00EB5C38" w:rsidP="00EB5C38">
            <w:pPr>
              <w:spacing w:before="60" w:after="60"/>
              <w:rPr>
                <w:szCs w:val="22"/>
                <w:lang w:val="de-DE"/>
              </w:rPr>
            </w:pPr>
            <w:r w:rsidRPr="008B2F14">
              <w:rPr>
                <w:szCs w:val="22"/>
                <w:lang w:val="de-DE"/>
              </w:rPr>
              <w:t xml:space="preserve">Institut </w:t>
            </w:r>
            <w:proofErr w:type="spellStart"/>
            <w:r w:rsidRPr="008B2F14">
              <w:rPr>
                <w:szCs w:val="22"/>
                <w:lang w:val="de-DE"/>
              </w:rPr>
              <w:t>fuer</w:t>
            </w:r>
            <w:proofErr w:type="spellEnd"/>
            <w:r w:rsidRPr="008B2F14">
              <w:rPr>
                <w:szCs w:val="22"/>
                <w:lang w:val="de-DE"/>
              </w:rPr>
              <w:t xml:space="preserve"> Informationsverarbeitung</w:t>
            </w:r>
            <w:r w:rsidR="00E61DAC" w:rsidRPr="008B2F14">
              <w:rPr>
                <w:szCs w:val="22"/>
                <w:lang w:val="de-DE"/>
              </w:rPr>
              <w:br/>
            </w:r>
            <w:r w:rsidRPr="008B2F14">
              <w:rPr>
                <w:szCs w:val="22"/>
                <w:lang w:val="de-DE"/>
              </w:rPr>
              <w:t xml:space="preserve">Leibniz </w:t>
            </w:r>
            <w:proofErr w:type="spellStart"/>
            <w:r w:rsidRPr="008B2F14">
              <w:rPr>
                <w:szCs w:val="22"/>
                <w:lang w:val="de-DE"/>
              </w:rPr>
              <w:t>Universitaet</w:t>
            </w:r>
            <w:proofErr w:type="spellEnd"/>
            <w:r w:rsidRPr="008B2F14">
              <w:rPr>
                <w:szCs w:val="22"/>
                <w:lang w:val="de-DE"/>
              </w:rPr>
              <w:t xml:space="preserve"> Hannover</w:t>
            </w:r>
            <w:r w:rsidR="00E61DAC" w:rsidRPr="008B2F14">
              <w:rPr>
                <w:szCs w:val="22"/>
                <w:lang w:val="de-DE"/>
              </w:rPr>
              <w:br/>
            </w:r>
            <w:proofErr w:type="spellStart"/>
            <w:r w:rsidRPr="008B2F14">
              <w:rPr>
                <w:szCs w:val="22"/>
                <w:lang w:val="de-DE"/>
              </w:rPr>
              <w:t>Appelstrasse</w:t>
            </w:r>
            <w:proofErr w:type="spellEnd"/>
            <w:r w:rsidRPr="008B2F14">
              <w:rPr>
                <w:szCs w:val="22"/>
                <w:lang w:val="de-DE"/>
              </w:rPr>
              <w:t xml:space="preserve"> 9a</w:t>
            </w:r>
          </w:p>
          <w:p w:rsidR="00EB5C38" w:rsidRDefault="00EB5C38" w:rsidP="00EB5C3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30167 Hannover</w:t>
            </w:r>
          </w:p>
          <w:p w:rsidR="00EB5C38" w:rsidRPr="005B217D" w:rsidRDefault="00EB5C38" w:rsidP="00EB5C3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Germany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5952A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EB5C38">
              <w:rPr>
                <w:szCs w:val="22"/>
                <w:lang w:val="en-CA"/>
              </w:rPr>
              <w:t>+49 511 762 19588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EB5C38" w:rsidRPr="007C7072">
                <w:rPr>
                  <w:rStyle w:val="Hyperlink"/>
                  <w:szCs w:val="22"/>
                  <w:lang w:val="en-CA"/>
                </w:rPr>
                <w:t>laude@tnt.uni-hannover.de</w:t>
              </w:r>
            </w:hyperlink>
          </w:p>
        </w:tc>
      </w:tr>
      <w:tr w:rsidR="00E61DAC" w:rsidRPr="008B2F14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B050E" w:rsidRDefault="006040D7">
            <w:pPr>
              <w:spacing w:before="60" w:after="60"/>
              <w:rPr>
                <w:szCs w:val="22"/>
                <w:lang w:val="de-DE"/>
              </w:rPr>
            </w:pPr>
            <w:r w:rsidRPr="00AB050E">
              <w:rPr>
                <w:szCs w:val="22"/>
                <w:lang w:val="de-DE"/>
              </w:rPr>
              <w:t xml:space="preserve">Institut </w:t>
            </w:r>
            <w:proofErr w:type="spellStart"/>
            <w:r w:rsidRPr="00AB050E">
              <w:rPr>
                <w:szCs w:val="22"/>
                <w:lang w:val="de-DE"/>
              </w:rPr>
              <w:t>fuer</w:t>
            </w:r>
            <w:proofErr w:type="spellEnd"/>
            <w:r w:rsidRPr="00AB050E">
              <w:rPr>
                <w:szCs w:val="22"/>
                <w:lang w:val="de-DE"/>
              </w:rPr>
              <w:t xml:space="preserve"> Informationsverarbeitung, Leibniz </w:t>
            </w:r>
            <w:proofErr w:type="spellStart"/>
            <w:r w:rsidRPr="00AB050E">
              <w:rPr>
                <w:szCs w:val="22"/>
                <w:lang w:val="de-DE"/>
              </w:rPr>
              <w:t>Universitaet</w:t>
            </w:r>
            <w:proofErr w:type="spellEnd"/>
            <w:r w:rsidRPr="00AB050E">
              <w:rPr>
                <w:szCs w:val="22"/>
                <w:lang w:val="de-DE"/>
              </w:rPr>
              <w:t xml:space="preserve"> Hannover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0F62B1" w:rsidP="009234A5">
      <w:pPr>
        <w:jc w:val="both"/>
        <w:rPr>
          <w:szCs w:val="22"/>
          <w:lang w:val="en-CA"/>
        </w:rPr>
      </w:pPr>
      <w:r>
        <w:rPr>
          <w:lang w:val="en-CA"/>
        </w:rPr>
        <w:t xml:space="preserve">This contribution presents a copy mode which reportedly aims at the coding of static screen content. In particular, it is reported that the sample values of a block coded with the copy mode are reconstructed by copying the sample values from the corresponding block at the same position </w:t>
      </w:r>
      <w:r w:rsidR="00DA3448">
        <w:rPr>
          <w:lang w:val="en-CA"/>
        </w:rPr>
        <w:t>in</w:t>
      </w:r>
      <w:r>
        <w:rPr>
          <w:lang w:val="en-CA"/>
        </w:rPr>
        <w:t xml:space="preserve"> the closest reference picture. Furthermore, it is asserted that the copy mode is only applied on CTU level. The contribution states that Y/G BD-rate changes of {</w:t>
      </w:r>
      <w:r w:rsidR="00AA72E1">
        <w:rPr>
          <w:lang w:val="en-CA"/>
        </w:rPr>
        <w:t>-0.2%, 0.0%, -0.5%, -0.6%, 0.0%, 0.0%, -0.2%, -0.3%, -0.6%, -1.0%, 0.1%, 0.0%</w:t>
      </w:r>
      <w:r>
        <w:rPr>
          <w:lang w:val="en-CA"/>
        </w:rPr>
        <w:t>} and {</w:t>
      </w:r>
      <w:r w:rsidR="00AA72E1">
        <w:rPr>
          <w:lang w:val="en-CA"/>
        </w:rPr>
        <w:t>0.0%, 0.0%, -0.2%, -0.1%, 0.0%, 0.0%, 0.0%, -0.1%, -0.1%, -0.1%, 0.1%, 0.0%</w:t>
      </w:r>
      <w:r>
        <w:rPr>
          <w:lang w:val="en-CA"/>
        </w:rPr>
        <w:t>} are achieved for LD and RA compared to SCM-2.0 under SCC comm</w:t>
      </w:r>
      <w:bookmarkStart w:id="0" w:name="_GoBack"/>
      <w:bookmarkEnd w:id="0"/>
      <w:r>
        <w:rPr>
          <w:lang w:val="en-CA"/>
        </w:rPr>
        <w:t>on test conditions.</w:t>
      </w:r>
    </w:p>
    <w:p w:rsidR="00745F6B" w:rsidRPr="005B217D" w:rsidRDefault="00AB050E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1F2594" w:rsidRDefault="00AF6E8C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A typical characteristic of screen content videos is the absence of changes between consecutive frames or parts of these frames. One possible scenario where such unchange</w:t>
      </w:r>
      <w:r w:rsidR="00320AC2">
        <w:rPr>
          <w:szCs w:val="22"/>
          <w:lang w:val="en-CA"/>
        </w:rPr>
        <w:t>d</w:t>
      </w:r>
      <w:r>
        <w:rPr>
          <w:szCs w:val="22"/>
          <w:lang w:val="en-CA"/>
        </w:rPr>
        <w:t xml:space="preserve"> areas may appear is static background in screen content. </w:t>
      </w:r>
    </w:p>
    <w:p w:rsidR="007E7E16" w:rsidRDefault="001F0EF7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Although the merge/s</w:t>
      </w:r>
      <w:r w:rsidR="007E7E16">
        <w:rPr>
          <w:szCs w:val="22"/>
          <w:lang w:val="en-CA"/>
        </w:rPr>
        <w:t>kip mode of HEVC can be used to describe these unchanged areas efficiently, the signaling overhead for e.g. a skip flag and a merge index may not be negligible considering the low bit rates achieved for screen content videos.</w:t>
      </w:r>
      <w:r>
        <w:rPr>
          <w:szCs w:val="22"/>
          <w:lang w:val="en-CA"/>
        </w:rPr>
        <w:t xml:space="preserve"> In order to reduce the signaling overhead, a coding mode called “copy mode” is proposed. The copy mode reconstructs the sample values of the current </w:t>
      </w:r>
      <w:r w:rsidR="00C721DA">
        <w:rPr>
          <w:szCs w:val="22"/>
          <w:lang w:val="en-CA"/>
        </w:rPr>
        <w:t>coding unit (CU)</w:t>
      </w:r>
      <w:r>
        <w:rPr>
          <w:szCs w:val="22"/>
          <w:lang w:val="en-CA"/>
        </w:rPr>
        <w:t xml:space="preserve"> by copying the sample values from the </w:t>
      </w:r>
      <w:r w:rsidR="00C721DA">
        <w:rPr>
          <w:szCs w:val="22"/>
          <w:lang w:val="en-CA"/>
        </w:rPr>
        <w:t>CU</w:t>
      </w:r>
      <w:r>
        <w:rPr>
          <w:szCs w:val="22"/>
          <w:lang w:val="en-CA"/>
        </w:rPr>
        <w:t xml:space="preserve"> located at the same position in the closest reference picture.</w:t>
      </w:r>
    </w:p>
    <w:p w:rsidR="001F0EF7" w:rsidRPr="00E85607" w:rsidRDefault="00E85607" w:rsidP="009234A5">
      <w:pPr>
        <w:jc w:val="both"/>
        <w:rPr>
          <w:szCs w:val="22"/>
          <w:lang w:val="en-CA"/>
        </w:rPr>
      </w:pPr>
      <w:r w:rsidRPr="00E85607">
        <w:rPr>
          <w:szCs w:val="22"/>
          <w:lang w:val="en-CA"/>
        </w:rPr>
        <w:t xml:space="preserve">The comparison between the skip mode and the copy mode in </w:t>
      </w:r>
      <w:r w:rsidRPr="00E85607">
        <w:rPr>
          <w:szCs w:val="22"/>
          <w:lang w:val="en-CA"/>
        </w:rPr>
        <w:fldChar w:fldCharType="begin"/>
      </w:r>
      <w:r w:rsidRPr="00E85607">
        <w:rPr>
          <w:szCs w:val="22"/>
          <w:lang w:val="en-CA"/>
        </w:rPr>
        <w:instrText xml:space="preserve"> REF _Ref400372906 \h  \* MERGEFORMAT </w:instrText>
      </w:r>
      <w:r w:rsidRPr="00E85607">
        <w:rPr>
          <w:szCs w:val="22"/>
          <w:lang w:val="en-CA"/>
        </w:rPr>
      </w:r>
      <w:r w:rsidRPr="00E85607">
        <w:rPr>
          <w:szCs w:val="22"/>
          <w:lang w:val="en-CA"/>
        </w:rPr>
        <w:fldChar w:fldCharType="separate"/>
      </w:r>
      <w:r w:rsidR="00BD5FF6" w:rsidRPr="00E85607">
        <w:t xml:space="preserve">Figure </w:t>
      </w:r>
      <w:r w:rsidR="00BD5FF6">
        <w:rPr>
          <w:noProof/>
        </w:rPr>
        <w:t>1</w:t>
      </w:r>
      <w:r w:rsidRPr="00E85607">
        <w:rPr>
          <w:szCs w:val="22"/>
          <w:lang w:val="en-CA"/>
        </w:rPr>
        <w:fldChar w:fldCharType="end"/>
      </w:r>
      <w:r w:rsidRPr="00E85607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shows that in contrast to the skip mode, where it is necessary to signal which of the merge candidates is used for the current </w:t>
      </w:r>
      <w:r w:rsidR="00C721DA">
        <w:rPr>
          <w:szCs w:val="22"/>
          <w:lang w:val="en-CA"/>
        </w:rPr>
        <w:t>CU</w:t>
      </w:r>
      <w:r>
        <w:rPr>
          <w:szCs w:val="22"/>
          <w:lang w:val="en-CA"/>
        </w:rPr>
        <w:t xml:space="preserve">, no side information </w:t>
      </w:r>
      <w:r w:rsidR="004A6739">
        <w:rPr>
          <w:szCs w:val="22"/>
          <w:lang w:val="en-CA"/>
        </w:rPr>
        <w:t xml:space="preserve">beside the copy mode usage itself </w:t>
      </w:r>
      <w:r>
        <w:rPr>
          <w:szCs w:val="22"/>
          <w:lang w:val="en-CA"/>
        </w:rPr>
        <w:t xml:space="preserve">is required for the copy mode since </w:t>
      </w:r>
      <w:r w:rsidR="00667EA9">
        <w:rPr>
          <w:szCs w:val="22"/>
          <w:lang w:val="en-CA"/>
        </w:rPr>
        <w:t xml:space="preserve">there is </w:t>
      </w:r>
      <w:r>
        <w:rPr>
          <w:szCs w:val="22"/>
          <w:lang w:val="en-CA"/>
        </w:rPr>
        <w:t>only one possible candidate, the zero motion vector to the closest reference frame.</w:t>
      </w:r>
      <w:r w:rsidR="00CF6316">
        <w:rPr>
          <w:szCs w:val="22"/>
          <w:lang w:val="en-CA"/>
        </w:rPr>
        <w:t xml:space="preserve"> Therefore, only one binary flag is needed to signal the copy mode usage, compared to two syntax elements (</w:t>
      </w:r>
      <w:proofErr w:type="spellStart"/>
      <w:r w:rsidR="00CF6316">
        <w:rPr>
          <w:szCs w:val="22"/>
          <w:lang w:val="en-CA"/>
        </w:rPr>
        <w:t>skip_flag</w:t>
      </w:r>
      <w:proofErr w:type="spellEnd"/>
      <w:r w:rsidR="00CF6316">
        <w:rPr>
          <w:szCs w:val="22"/>
          <w:lang w:val="en-CA"/>
        </w:rPr>
        <w:t xml:space="preserve"> and </w:t>
      </w:r>
      <w:proofErr w:type="spellStart"/>
      <w:r w:rsidR="00CF6316">
        <w:rPr>
          <w:szCs w:val="22"/>
          <w:lang w:val="en-CA"/>
        </w:rPr>
        <w:t>merge_index</w:t>
      </w:r>
      <w:proofErr w:type="spellEnd"/>
      <w:r w:rsidR="00CF6316">
        <w:rPr>
          <w:szCs w:val="22"/>
          <w:lang w:val="en-CA"/>
        </w:rPr>
        <w:t>) needed for the skip mode.</w:t>
      </w:r>
    </w:p>
    <w:p w:rsidR="00E85607" w:rsidRDefault="00E85607" w:rsidP="00E85607">
      <w:pPr>
        <w:keepNext/>
        <w:jc w:val="center"/>
      </w:pPr>
      <w:r>
        <w:object w:dxaOrig="12705" w:dyaOrig="3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133.6pt" o:ole="">
            <v:imagedata r:id="rId11" o:title=""/>
          </v:shape>
          <o:OLEObject Type="Embed" ProgID="Visio.Drawing.15" ShapeID="_x0000_i1025" DrawAspect="Content" ObjectID="_1474201254" r:id="rId12"/>
        </w:object>
      </w:r>
    </w:p>
    <w:p w:rsidR="007E7E16" w:rsidRDefault="00E85607" w:rsidP="004A6739">
      <w:pPr>
        <w:jc w:val="center"/>
      </w:pPr>
      <w:bookmarkStart w:id="1" w:name="_Ref400372906"/>
      <w:r w:rsidRPr="00E85607">
        <w:t xml:space="preserve">Figure </w:t>
      </w:r>
      <w:r w:rsidRPr="00E85607">
        <w:fldChar w:fldCharType="begin"/>
      </w:r>
      <w:r w:rsidRPr="00E85607">
        <w:instrText xml:space="preserve"> SEQ Figure \* ARABIC </w:instrText>
      </w:r>
      <w:r w:rsidRPr="00E85607">
        <w:fldChar w:fldCharType="separate"/>
      </w:r>
      <w:r w:rsidR="00BD5FF6">
        <w:rPr>
          <w:noProof/>
        </w:rPr>
        <w:t>1</w:t>
      </w:r>
      <w:r w:rsidRPr="00E85607">
        <w:fldChar w:fldCharType="end"/>
      </w:r>
      <w:bookmarkEnd w:id="1"/>
      <w:r w:rsidRPr="00E85607">
        <w:t>: Comparison between skip mode and copy mode</w:t>
      </w:r>
    </w:p>
    <w:p w:rsidR="00CF7CD5" w:rsidRPr="00CF7CD5" w:rsidRDefault="00390DDB" w:rsidP="000935BB">
      <w:pPr>
        <w:jc w:val="both"/>
      </w:pPr>
      <w:r>
        <w:t xml:space="preserve">Taking into account, that typically larger </w:t>
      </w:r>
      <w:r w:rsidR="00C721DA">
        <w:t>CUs</w:t>
      </w:r>
      <w:r>
        <w:t xml:space="preserve"> are used to code unchanged areas while smaller </w:t>
      </w:r>
      <w:r w:rsidR="00C721DA">
        <w:t>CU</w:t>
      </w:r>
      <w:r>
        <w:t xml:space="preserve"> sizes are used to code areas with lots of changes, the copy mode is only applied on coding tree unit (CTU) level</w:t>
      </w:r>
      <w:r w:rsidR="008D4AAB">
        <w:t xml:space="preserve"> for the </w:t>
      </w:r>
      <w:r w:rsidR="00C721DA">
        <w:t>experimental</w:t>
      </w:r>
      <w:r w:rsidR="008D4AAB">
        <w:t xml:space="preserve"> results of this proposal</w:t>
      </w:r>
      <w:r>
        <w:t xml:space="preserve">. </w:t>
      </w:r>
      <w:r w:rsidR="000935BB">
        <w:t xml:space="preserve">Thus, the copy mode can be applied to the large </w:t>
      </w:r>
      <w:r w:rsidR="00C721DA">
        <w:t>CTUs</w:t>
      </w:r>
      <w:r w:rsidR="000935BB">
        <w:t xml:space="preserve"> in unchanged areas while no unnecessary signaling overhead is caused for small CU sizes in areas where the copy mode cannot be applied efficiently anyway. </w:t>
      </w:r>
    </w:p>
    <w:p w:rsidR="00AB050E" w:rsidRDefault="00AB050E" w:rsidP="00AB050E">
      <w:pPr>
        <w:pStyle w:val="Heading1"/>
        <w:rPr>
          <w:lang w:val="en-CA"/>
        </w:rPr>
      </w:pPr>
      <w:r>
        <w:rPr>
          <w:lang w:val="en-CA"/>
        </w:rPr>
        <w:t>Text specification</w:t>
      </w:r>
    </w:p>
    <w:p w:rsidR="00456684" w:rsidRPr="00456684" w:rsidRDefault="00C721DA" w:rsidP="008259EC">
      <w:pPr>
        <w:jc w:val="both"/>
        <w:rPr>
          <w:lang w:val="en-CA"/>
        </w:rPr>
      </w:pPr>
      <w:r>
        <w:rPr>
          <w:lang w:val="en-CA"/>
        </w:rPr>
        <w:fldChar w:fldCharType="begin"/>
      </w:r>
      <w:r>
        <w:rPr>
          <w:lang w:val="en-CA"/>
        </w:rPr>
        <w:instrText xml:space="preserve"> REF _Ref400374398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BD5FF6">
        <w:t xml:space="preserve">Table </w:t>
      </w:r>
      <w:r w:rsidR="00BD5FF6">
        <w:rPr>
          <w:noProof/>
        </w:rPr>
        <w:t>1</w:t>
      </w:r>
      <w:r>
        <w:rPr>
          <w:lang w:val="en-CA"/>
        </w:rPr>
        <w:fldChar w:fldCharType="end"/>
      </w:r>
      <w:r>
        <w:rPr>
          <w:lang w:val="en-CA"/>
        </w:rPr>
        <w:t xml:space="preserve"> shows the signaling of the copy mode flag as part of the CU syntax</w:t>
      </w:r>
      <w:r w:rsidR="000A70CF">
        <w:rPr>
          <w:lang w:val="en-CA"/>
        </w:rPr>
        <w:t xml:space="preserve">. Changes relative to the latest SCC draft </w:t>
      </w:r>
      <w:r w:rsidR="000A70CF">
        <w:rPr>
          <w:lang w:val="en-CA"/>
        </w:rPr>
        <w:fldChar w:fldCharType="begin" w:fldLock="1"/>
      </w:r>
      <w:r w:rsidR="00FA5887">
        <w:rPr>
          <w:lang w:val="en-CA"/>
        </w:rPr>
        <w:instrText>ADDIN CSL_CITATION { "citationItems" : [ { "id" : "ITEM-1", "itemData" : { "author" : [ { "dropping-particle" : "", "family" : "Joshi", "given" : "Rajan", "non-dropping-particle" : "", "parse-names" : false, "suffix" : "" }, { "dropping-particle" : "", "family" : "Xu", "given" : "Jizheng", "non-dropping-particle" : "", "parse-names" : false, "suffix" : "" } ], "id" : "ITEM-1", "issued" : { "date-parts" : [ [ "2014" ] ] }, "title" : "JCT-VC R1005: High Efficiency Video Coding (HEVC) Screen Content Coding: Draft 1. 18th Meeting of the Joint Collaborative Team on Video Coding (JCT-VC), Sapporo, JP, 30 June - 9 July", "type" : "legislation" }, "uris" : [ "http://www.mendeley.com/documents/?uuid=ca219f7d-da97-4887-8b40-eb3757cfb035" ] } ], "mendeley" : { "previouslyFormattedCitation" : "[1]" }, "properties" : { "noteIndex" : 0 }, "schema" : "https://github.com/citation-style-language/schema/raw/master/csl-citation.json" }</w:instrText>
      </w:r>
      <w:r w:rsidR="000A70CF">
        <w:rPr>
          <w:lang w:val="en-CA"/>
        </w:rPr>
        <w:fldChar w:fldCharType="separate"/>
      </w:r>
      <w:r w:rsidR="000A70CF" w:rsidRPr="000A70CF">
        <w:rPr>
          <w:noProof/>
          <w:lang w:val="en-CA"/>
        </w:rPr>
        <w:t>[1]</w:t>
      </w:r>
      <w:r w:rsidR="000A70CF">
        <w:rPr>
          <w:lang w:val="en-CA"/>
        </w:rPr>
        <w:fldChar w:fldCharType="end"/>
      </w:r>
      <w:r w:rsidR="000A70CF">
        <w:rPr>
          <w:lang w:val="en-CA"/>
        </w:rPr>
        <w:t xml:space="preserve"> are highlighted in yellow.</w:t>
      </w:r>
      <w:r w:rsidR="0054380E">
        <w:rPr>
          <w:lang w:val="en-CA"/>
        </w:rPr>
        <w:t xml:space="preserve"> It is worth noting, that for the results of this contribution, the </w:t>
      </w:r>
      <w:proofErr w:type="spellStart"/>
      <w:r w:rsidR="0054380E">
        <w:rPr>
          <w:lang w:val="en-CA"/>
        </w:rPr>
        <w:t>cu_copy_flag</w:t>
      </w:r>
      <w:proofErr w:type="spellEnd"/>
      <w:r w:rsidR="0054380E">
        <w:rPr>
          <w:lang w:val="en-CA"/>
        </w:rPr>
        <w:t xml:space="preserve"> is only signaled on CTU level while the syntax element is not present for CUs of other depths where </w:t>
      </w:r>
      <w:proofErr w:type="spellStart"/>
      <w:r w:rsidR="0054380E">
        <w:rPr>
          <w:lang w:val="en-CA"/>
        </w:rPr>
        <w:t>cu_copy_flag</w:t>
      </w:r>
      <w:proofErr w:type="spellEnd"/>
      <w:r w:rsidR="0054380E">
        <w:rPr>
          <w:lang w:val="en-CA"/>
        </w:rPr>
        <w:t xml:space="preserve"> is inferred as </w:t>
      </w:r>
      <w:r w:rsidR="008259EC">
        <w:rPr>
          <w:lang w:val="en-CA"/>
        </w:rPr>
        <w:t xml:space="preserve">equal to </w:t>
      </w:r>
      <w:r w:rsidR="0054380E">
        <w:rPr>
          <w:lang w:val="en-CA"/>
        </w:rPr>
        <w:t>0</w:t>
      </w:r>
      <w:r w:rsidR="008259EC">
        <w:rPr>
          <w:lang w:val="en-CA"/>
        </w:rPr>
        <w:t xml:space="preserve"> instead</w:t>
      </w:r>
      <w:r w:rsidR="0054380E">
        <w:rPr>
          <w:lang w:val="en-CA"/>
        </w:rPr>
        <w:t xml:space="preserve">. </w:t>
      </w:r>
    </w:p>
    <w:p w:rsidR="00456684" w:rsidRDefault="00456684" w:rsidP="00456684">
      <w:pPr>
        <w:jc w:val="center"/>
      </w:pPr>
      <w:bookmarkStart w:id="2" w:name="_Ref400374398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BD5FF6">
        <w:rPr>
          <w:noProof/>
        </w:rPr>
        <w:t>1</w:t>
      </w:r>
      <w:r>
        <w:fldChar w:fldCharType="end"/>
      </w:r>
      <w:bookmarkEnd w:id="2"/>
      <w:r>
        <w:t>: Coding unit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456684" w:rsidRPr="001C01CF" w:rsidTr="00593D54">
        <w:trPr>
          <w:cantSplit/>
          <w:jc w:val="center"/>
        </w:trPr>
        <w:tc>
          <w:tcPr>
            <w:tcW w:w="7917" w:type="dxa"/>
          </w:tcPr>
          <w:p w:rsidR="00456684" w:rsidRPr="001C01CF" w:rsidRDefault="00456684" w:rsidP="00593D54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>coding_</w:t>
            </w:r>
            <w:r w:rsidRPr="001C01CF">
              <w:rPr>
                <w:rFonts w:ascii="Times New Roman" w:hAnsi="Times New Roman"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lang w:val="en-CA"/>
              </w:rPr>
              <w:t>( x0, y0, log2CbSize ) {</w:t>
            </w:r>
          </w:p>
        </w:tc>
        <w:tc>
          <w:tcPr>
            <w:tcW w:w="1152" w:type="dxa"/>
          </w:tcPr>
          <w:p w:rsidR="00456684" w:rsidRPr="001C01CF" w:rsidRDefault="00456684" w:rsidP="00593D54">
            <w:pPr>
              <w:pStyle w:val="tableheading"/>
              <w:spacing w:before="20" w:after="40"/>
              <w:rPr>
                <w:lang w:val="en-CA"/>
              </w:rPr>
            </w:pPr>
            <w:r w:rsidRPr="001C01CF">
              <w:rPr>
                <w:lang w:val="en-CA"/>
              </w:rPr>
              <w:t>Descriptor</w:t>
            </w:r>
          </w:p>
        </w:tc>
      </w:tr>
      <w:tr w:rsidR="00456684" w:rsidRPr="001C01CF" w:rsidTr="00593D54">
        <w:trPr>
          <w:cantSplit/>
          <w:jc w:val="center"/>
        </w:trPr>
        <w:tc>
          <w:tcPr>
            <w:tcW w:w="7917" w:type="dxa"/>
          </w:tcPr>
          <w:p w:rsidR="00456684" w:rsidRPr="001C01CF" w:rsidRDefault="00456684" w:rsidP="00456684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A2225E">
              <w:rPr>
                <w:rFonts w:ascii="Times New Roman" w:hAnsi="Times New Roman"/>
                <w:highlight w:val="yellow"/>
                <w:lang w:val="en-CA"/>
              </w:rPr>
              <w:tab/>
            </w:r>
            <w:r w:rsidRPr="00A2225E">
              <w:rPr>
                <w:rFonts w:ascii="Times New Roman" w:hAnsi="Times New Roman"/>
                <w:b/>
                <w:highlight w:val="yellow"/>
                <w:lang w:val="en-CA"/>
              </w:rPr>
              <w:t>cu_copy_flag</w:t>
            </w:r>
            <w:r w:rsidRPr="00A2225E">
              <w:rPr>
                <w:rFonts w:ascii="Times New Roman" w:hAnsi="Times New Roman"/>
                <w:highlight w:val="yellow"/>
                <w:lang w:val="en-CA"/>
              </w:rPr>
              <w:t>[ x0 ][y0]</w:t>
            </w:r>
          </w:p>
        </w:tc>
        <w:tc>
          <w:tcPr>
            <w:tcW w:w="1152" w:type="dxa"/>
          </w:tcPr>
          <w:p w:rsidR="00456684" w:rsidRPr="001C01CF" w:rsidRDefault="00456684" w:rsidP="00456684">
            <w:pPr>
              <w:pStyle w:val="tableheading"/>
              <w:spacing w:before="20" w:after="40"/>
              <w:rPr>
                <w:lang w:val="en-CA"/>
              </w:rPr>
            </w:pPr>
            <w:r w:rsidRPr="00A2225E">
              <w:rPr>
                <w:b w:val="0"/>
                <w:highlight w:val="yellow"/>
                <w:lang w:val="en-CA"/>
              </w:rPr>
              <w:t>ae(v)</w:t>
            </w:r>
          </w:p>
        </w:tc>
      </w:tr>
      <w:tr w:rsidR="00456684" w:rsidRPr="001C01CF" w:rsidTr="00593D54">
        <w:trPr>
          <w:cantSplit/>
          <w:jc w:val="center"/>
        </w:trPr>
        <w:tc>
          <w:tcPr>
            <w:tcW w:w="7917" w:type="dxa"/>
          </w:tcPr>
          <w:p w:rsidR="00456684" w:rsidRPr="001C01CF" w:rsidRDefault="00456684" w:rsidP="00456684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A2225E">
              <w:rPr>
                <w:rFonts w:ascii="Times New Roman" w:hAnsi="Times New Roman"/>
                <w:highlight w:val="yellow"/>
                <w:lang w:val="en-CA"/>
              </w:rPr>
              <w:tab/>
              <w:t>if ( !cu_copy_flag[ x0 ][ y0] ) {</w:t>
            </w:r>
          </w:p>
        </w:tc>
        <w:tc>
          <w:tcPr>
            <w:tcW w:w="1152" w:type="dxa"/>
          </w:tcPr>
          <w:p w:rsidR="00456684" w:rsidRPr="001C01CF" w:rsidRDefault="00456684" w:rsidP="00456684">
            <w:pPr>
              <w:pStyle w:val="tableheading"/>
              <w:spacing w:before="20" w:after="40"/>
              <w:rPr>
                <w:lang w:val="en-CA"/>
              </w:rPr>
            </w:pPr>
          </w:p>
        </w:tc>
      </w:tr>
      <w:tr w:rsidR="00456684" w:rsidRPr="001C01CF" w:rsidTr="00593D54">
        <w:trPr>
          <w:cantSplit/>
          <w:jc w:val="center"/>
        </w:trPr>
        <w:tc>
          <w:tcPr>
            <w:tcW w:w="7917" w:type="dxa"/>
          </w:tcPr>
          <w:p w:rsidR="00456684" w:rsidRPr="001C01CF" w:rsidRDefault="00456684" w:rsidP="00456684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if( transquant_bypass_enabled_flag )</w:t>
            </w:r>
          </w:p>
        </w:tc>
        <w:tc>
          <w:tcPr>
            <w:tcW w:w="1152" w:type="dxa"/>
          </w:tcPr>
          <w:p w:rsidR="00456684" w:rsidRPr="001C01CF" w:rsidRDefault="00456684" w:rsidP="00456684">
            <w:pPr>
              <w:pStyle w:val="tableheading"/>
              <w:spacing w:before="20" w:after="40"/>
              <w:rPr>
                <w:lang w:val="en-CA"/>
              </w:rPr>
            </w:pPr>
          </w:p>
        </w:tc>
      </w:tr>
      <w:tr w:rsidR="00456684" w:rsidRPr="001C01CF" w:rsidTr="00593D54">
        <w:trPr>
          <w:cantSplit/>
          <w:jc w:val="center"/>
        </w:trPr>
        <w:tc>
          <w:tcPr>
            <w:tcW w:w="7917" w:type="dxa"/>
          </w:tcPr>
          <w:p w:rsidR="00456684" w:rsidRPr="001C01CF" w:rsidRDefault="00456684" w:rsidP="00456684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bCs/>
                <w:lang w:val="en-CA" w:eastAsia="ko-KR"/>
              </w:rPr>
              <w:t>cu_transquant_bypass_flag</w:t>
            </w:r>
          </w:p>
        </w:tc>
        <w:tc>
          <w:tcPr>
            <w:tcW w:w="1152" w:type="dxa"/>
          </w:tcPr>
          <w:p w:rsidR="00456684" w:rsidRPr="001C01CF" w:rsidRDefault="00456684" w:rsidP="00456684">
            <w:pPr>
              <w:pStyle w:val="tableheading"/>
              <w:spacing w:before="20" w:after="40"/>
              <w:rPr>
                <w:b w:val="0"/>
                <w:lang w:val="en-CA"/>
              </w:rPr>
            </w:pPr>
            <w:r w:rsidRPr="001C01CF">
              <w:rPr>
                <w:b w:val="0"/>
                <w:lang w:val="en-CA"/>
              </w:rPr>
              <w:t>ae(v)</w:t>
            </w:r>
          </w:p>
        </w:tc>
      </w:tr>
      <w:tr w:rsidR="00456684" w:rsidRPr="001C01CF" w:rsidTr="00593D54">
        <w:trPr>
          <w:cantSplit/>
          <w:jc w:val="center"/>
        </w:trPr>
        <w:tc>
          <w:tcPr>
            <w:tcW w:w="7917" w:type="dxa"/>
          </w:tcPr>
          <w:p w:rsidR="00456684" w:rsidRPr="001C01CF" w:rsidRDefault="00456684" w:rsidP="00456684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if(</w:t>
            </w:r>
            <w:r w:rsidRPr="001C01CF">
              <w:rPr>
                <w:rFonts w:ascii="Times New Roman" w:hAnsi="Times New Roman"/>
                <w:lang w:val="en-CA"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456684" w:rsidRPr="001C01CF" w:rsidRDefault="00456684" w:rsidP="00456684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456684" w:rsidRPr="001C01CF" w:rsidTr="00593D54">
        <w:trPr>
          <w:cantSplit/>
          <w:jc w:val="center"/>
        </w:trPr>
        <w:tc>
          <w:tcPr>
            <w:tcW w:w="7917" w:type="dxa"/>
          </w:tcPr>
          <w:p w:rsidR="00456684" w:rsidRPr="001C01CF" w:rsidRDefault="00456684" w:rsidP="00456684">
            <w:pPr>
              <w:pStyle w:val="tablesyntax"/>
              <w:spacing w:before="20" w:after="40"/>
              <w:rPr>
                <w:rFonts w:ascii="Times New Roman" w:hAnsi="Times New Roman"/>
                <w:b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cu_s</w:t>
            </w:r>
            <w:r w:rsidRPr="001C01CF">
              <w:rPr>
                <w:rFonts w:ascii="Times New Roman" w:hAnsi="Times New Roman"/>
                <w:b/>
                <w:lang w:val="en-CA" w:eastAsia="ko-KR"/>
              </w:rPr>
              <w:t>kip_flag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456684" w:rsidRPr="001C01CF" w:rsidRDefault="00456684" w:rsidP="00456684">
            <w:pPr>
              <w:pStyle w:val="tablecell"/>
              <w:spacing w:before="20" w:after="40"/>
              <w:rPr>
                <w:lang w:val="en-CA"/>
              </w:rPr>
            </w:pPr>
            <w:r w:rsidRPr="001C01CF">
              <w:rPr>
                <w:lang w:val="en-CA"/>
              </w:rPr>
              <w:t>ae(v)</w:t>
            </w:r>
          </w:p>
        </w:tc>
      </w:tr>
      <w:tr w:rsidR="00456684" w:rsidRPr="001C01CF" w:rsidTr="00593D54">
        <w:trPr>
          <w:cantSplit/>
          <w:jc w:val="center"/>
        </w:trPr>
        <w:tc>
          <w:tcPr>
            <w:tcW w:w="7917" w:type="dxa"/>
          </w:tcPr>
          <w:p w:rsidR="00456684" w:rsidRPr="001C01CF" w:rsidRDefault="00456684" w:rsidP="00456684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  <w:t>…</w:t>
            </w:r>
          </w:p>
        </w:tc>
        <w:tc>
          <w:tcPr>
            <w:tcW w:w="1152" w:type="dxa"/>
          </w:tcPr>
          <w:p w:rsidR="00456684" w:rsidRPr="001C01CF" w:rsidRDefault="00456684" w:rsidP="00456684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456684" w:rsidRPr="001C01CF" w:rsidTr="00593D54">
        <w:trPr>
          <w:cantSplit/>
          <w:jc w:val="center"/>
        </w:trPr>
        <w:tc>
          <w:tcPr>
            <w:tcW w:w="7917" w:type="dxa"/>
          </w:tcPr>
          <w:p w:rsidR="00456684" w:rsidRDefault="00456684" w:rsidP="00456684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>
              <w:rPr>
                <w:rFonts w:ascii="Times New Roman" w:hAnsi="Times New Roman"/>
                <w:lang w:val="en-CA"/>
              </w:rPr>
              <w:tab/>
            </w:r>
            <w:r w:rsidRPr="00A2225E">
              <w:rPr>
                <w:rFonts w:ascii="Times New Roman" w:hAnsi="Times New Roman"/>
                <w:highlight w:val="yellow"/>
                <w:lang w:val="en-CA"/>
              </w:rPr>
              <w:t>}</w:t>
            </w:r>
          </w:p>
        </w:tc>
        <w:tc>
          <w:tcPr>
            <w:tcW w:w="1152" w:type="dxa"/>
          </w:tcPr>
          <w:p w:rsidR="00456684" w:rsidRPr="001C01CF" w:rsidRDefault="00456684" w:rsidP="00456684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456684" w:rsidRPr="001C01CF" w:rsidTr="00593D54">
        <w:trPr>
          <w:cantSplit/>
          <w:jc w:val="center"/>
        </w:trPr>
        <w:tc>
          <w:tcPr>
            <w:tcW w:w="7917" w:type="dxa"/>
          </w:tcPr>
          <w:p w:rsidR="00456684" w:rsidRDefault="00456684" w:rsidP="00593D54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>
              <w:rPr>
                <w:rFonts w:ascii="Times New Roman" w:hAnsi="Times New Roman"/>
                <w:lang w:val="en-CA"/>
              </w:rPr>
              <w:t>}</w:t>
            </w:r>
          </w:p>
        </w:tc>
        <w:tc>
          <w:tcPr>
            <w:tcW w:w="1152" w:type="dxa"/>
          </w:tcPr>
          <w:p w:rsidR="00456684" w:rsidRPr="001C01CF" w:rsidRDefault="00456684" w:rsidP="00593D54">
            <w:pPr>
              <w:pStyle w:val="tablecell"/>
              <w:spacing w:before="20" w:after="40"/>
              <w:rPr>
                <w:lang w:val="en-CA"/>
              </w:rPr>
            </w:pPr>
          </w:p>
        </w:tc>
      </w:tr>
    </w:tbl>
    <w:p w:rsidR="00FA5887" w:rsidRDefault="00FA5887" w:rsidP="00FA5887">
      <w:pPr>
        <w:rPr>
          <w:lang w:val="en-CA"/>
        </w:rPr>
      </w:pPr>
    </w:p>
    <w:p w:rsidR="00FA5887" w:rsidRDefault="00FA5887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  <w:r>
        <w:rPr>
          <w:lang w:val="en-CA"/>
        </w:rPr>
        <w:br w:type="page"/>
      </w:r>
    </w:p>
    <w:p w:rsidR="00AB050E" w:rsidRDefault="00AB050E" w:rsidP="00AB050E">
      <w:pPr>
        <w:pStyle w:val="Heading1"/>
        <w:rPr>
          <w:lang w:val="en-CA"/>
        </w:rPr>
      </w:pPr>
      <w:r>
        <w:rPr>
          <w:lang w:val="en-CA"/>
        </w:rPr>
        <w:lastRenderedPageBreak/>
        <w:t>Experimental results</w:t>
      </w:r>
    </w:p>
    <w:p w:rsidR="00AB050E" w:rsidRDefault="00FA5887" w:rsidP="00AB050E">
      <w:pPr>
        <w:rPr>
          <w:lang w:val="en-CA"/>
        </w:rPr>
      </w:pPr>
      <w:r>
        <w:rPr>
          <w:lang w:val="en-CA"/>
        </w:rPr>
        <w:t xml:space="preserve">The copy mode has been implemented in the SCM-2.0 reference software, which is used as anchor, and evaluated under common test conditions </w:t>
      </w:r>
      <w:r>
        <w:rPr>
          <w:lang w:val="en-CA"/>
        </w:rPr>
        <w:fldChar w:fldCharType="begin" w:fldLock="1"/>
      </w:r>
      <w:r>
        <w:rPr>
          <w:lang w:val="en-CA"/>
        </w:rPr>
        <w:instrText>ADDIN CSL_CITATION { "citationItems" : [ { "id" : "ITEM-1", "itemData" : { "author" : [ { "dropping-particle" : "", "family" : "Yu", "given" : "H.", "non-dropping-particle" : "", "parse-names" : false, "suffix" : "" }, { "dropping-particle" : "", "family" : "Cohen", "given" : "R.", "non-dropping-particle" : "", "parse-names" : false, "suffix" : "" }, { "dropping-particle" : "", "family" : "Rapaka", "given" : "K.", "non-dropping-particle" : "", "parse-names" : false, "suffix" : "" }, { "dropping-particle" : "", "family" : "Xu", "given" : "J.", "non-dropping-particle" : "", "parse-names" : false, "suffix" : "" } ], "id" : "ITEM-1", "issued" : { "date-parts" : [ [ "2014" ] ] }, "title" : "JCT-VC R1015: Common Test Conditions for Screen Content Coding. 18th Meeting of the Joint Collaborative Team on Video Coding (JCT-VC) of ITU-T SG16 WP3 and ISO/IEC JTC1/SC29/WG11. Sapporo, JP", "type" : "legislation" }, "uris" : [ "http://www.mendeley.com/documents/?uuid=c3a4c9fc-b5a2-4c8a-a1a4-0910c636dcf7" ] } ], "mendeley" : { "previouslyFormattedCitation" : "[2]" }, "properties" : { "noteIndex" : 0 }, "schema" : "https://github.com/citation-style-language/schema/raw/master/csl-citation.json" }</w:instrText>
      </w:r>
      <w:r>
        <w:rPr>
          <w:lang w:val="en-CA"/>
        </w:rPr>
        <w:fldChar w:fldCharType="separate"/>
      </w:r>
      <w:r w:rsidRPr="00FA5887">
        <w:rPr>
          <w:noProof/>
          <w:lang w:val="en-CA"/>
        </w:rPr>
        <w:t>[2]</w:t>
      </w:r>
      <w:r>
        <w:rPr>
          <w:lang w:val="en-CA"/>
        </w:rPr>
        <w:fldChar w:fldCharType="end"/>
      </w:r>
      <w:r>
        <w:rPr>
          <w:lang w:val="en-CA"/>
        </w:rPr>
        <w:t>. Since the method is an inter method, no results are reported for the all-intra configuration. Runtimes are not reliable. However, all simulations have been executed on a homogeneous cluster.</w:t>
      </w:r>
    </w:p>
    <w:tbl>
      <w:tblPr>
        <w:tblW w:w="6620" w:type="dxa"/>
        <w:jc w:val="center"/>
        <w:tblLook w:val="04A0" w:firstRow="1" w:lastRow="0" w:firstColumn="1" w:lastColumn="0" w:noHBand="0" w:noVBand="1"/>
      </w:tblPr>
      <w:tblGrid>
        <w:gridCol w:w="3440"/>
        <w:gridCol w:w="1060"/>
        <w:gridCol w:w="1060"/>
        <w:gridCol w:w="1060"/>
      </w:tblGrid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szCs w:val="24"/>
                <w:lang w:val="en-CA" w:eastAsia="en-CA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en-CA"/>
              </w:rPr>
              <w:t xml:space="preserve">Random Access 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R/V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-0.2%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0.2%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proofErr w:type="spellStart"/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Enc</w:t>
            </w:r>
            <w:proofErr w:type="spellEnd"/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101%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87%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val="en-CA" w:eastAsia="en-CA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en-CA"/>
              </w:rPr>
              <w:t xml:space="preserve">Low delay B 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CA" w:eastAsia="en-CA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R/V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-0.4%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-0.4%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-0.6%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-0.5%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-0.7%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0.3%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0.1%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proofErr w:type="spellStart"/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Enc</w:t>
            </w:r>
            <w:proofErr w:type="spellEnd"/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104%</w:t>
            </w:r>
          </w:p>
        </w:tc>
      </w:tr>
      <w:tr w:rsidR="00FA5887" w:rsidRPr="00FA5887" w:rsidTr="00FA5887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5887" w:rsidRPr="00FA5887" w:rsidRDefault="00FA5887" w:rsidP="00FA588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</w:pPr>
            <w:r w:rsidRPr="00FA5887">
              <w:rPr>
                <w:rFonts w:ascii="Arial" w:hAnsi="Arial" w:cs="Arial"/>
                <w:color w:val="000000"/>
                <w:sz w:val="18"/>
                <w:szCs w:val="18"/>
                <w:lang w:val="en-CA" w:eastAsia="en-CA"/>
              </w:rPr>
              <w:t>93%</w:t>
            </w:r>
          </w:p>
        </w:tc>
      </w:tr>
    </w:tbl>
    <w:p w:rsidR="00FA5887" w:rsidRDefault="00FA5887" w:rsidP="00AB050E">
      <w:pPr>
        <w:rPr>
          <w:lang w:val="en-CA"/>
        </w:rPr>
      </w:pPr>
    </w:p>
    <w:p w:rsidR="000A70CF" w:rsidRDefault="000A70CF" w:rsidP="000A70CF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FA5887" w:rsidRPr="00FA5887" w:rsidRDefault="000A70CF">
      <w:pPr>
        <w:pStyle w:val="NormalWeb"/>
        <w:ind w:left="640" w:hanging="640"/>
        <w:divId w:val="128014046"/>
        <w:rPr>
          <w:noProof/>
          <w:sz w:val="22"/>
        </w:rPr>
      </w:pPr>
      <w:r>
        <w:fldChar w:fldCharType="begin" w:fldLock="1"/>
      </w:r>
      <w:r>
        <w:instrText xml:space="preserve">ADDIN Mendeley Bibliography CSL_BIBLIOGRAPHY </w:instrText>
      </w:r>
      <w:r>
        <w:fldChar w:fldCharType="separate"/>
      </w:r>
      <w:r w:rsidR="00FA5887" w:rsidRPr="00FA5887">
        <w:rPr>
          <w:noProof/>
          <w:sz w:val="22"/>
        </w:rPr>
        <w:t>[1]</w:t>
      </w:r>
      <w:r w:rsidR="00FA5887" w:rsidRPr="00FA5887">
        <w:rPr>
          <w:noProof/>
          <w:sz w:val="22"/>
        </w:rPr>
        <w:tab/>
        <w:t xml:space="preserve">R. Joshi and J. Xu, </w:t>
      </w:r>
      <w:r w:rsidR="00FA5887" w:rsidRPr="00FA5887">
        <w:rPr>
          <w:i/>
          <w:iCs/>
          <w:noProof/>
          <w:sz w:val="22"/>
        </w:rPr>
        <w:t>JCT-VC R1005: High Efficiency Video Coding (HEVC) Screen Content Coding: Draft 1. 18th Meeting of the Joint Collaborative Team on Video Coding (JCT-VC), Sapporo, JP, 30 June - 9 July</w:t>
      </w:r>
      <w:r w:rsidR="00FA5887" w:rsidRPr="00FA5887">
        <w:rPr>
          <w:noProof/>
          <w:sz w:val="22"/>
        </w:rPr>
        <w:t>. 2014.</w:t>
      </w:r>
    </w:p>
    <w:p w:rsidR="00FA5887" w:rsidRPr="00FA5887" w:rsidRDefault="00FA5887">
      <w:pPr>
        <w:pStyle w:val="NormalWeb"/>
        <w:ind w:left="640" w:hanging="640"/>
        <w:divId w:val="128014046"/>
        <w:rPr>
          <w:noProof/>
          <w:sz w:val="22"/>
        </w:rPr>
      </w:pPr>
      <w:r w:rsidRPr="00FA5887">
        <w:rPr>
          <w:noProof/>
          <w:sz w:val="22"/>
        </w:rPr>
        <w:t>[2]</w:t>
      </w:r>
      <w:r w:rsidRPr="00FA5887">
        <w:rPr>
          <w:noProof/>
          <w:sz w:val="22"/>
        </w:rPr>
        <w:tab/>
        <w:t xml:space="preserve">H. Yu, R. Cohen, K. Rapaka, and J. Xu, </w:t>
      </w:r>
      <w:r w:rsidRPr="00FA5887">
        <w:rPr>
          <w:i/>
          <w:iCs/>
          <w:noProof/>
          <w:sz w:val="22"/>
        </w:rPr>
        <w:t>JCT-VC R1015: Common Test Conditions for Screen Content Coding. 18th Meeting of the Joint Collaborative Team on Video Coding (JCT-VC) of ITU-T SG16 WP3 and ISO/IEC JTC1/SC29/WG11. Sapporo, JP</w:t>
      </w:r>
      <w:r w:rsidRPr="00FA5887">
        <w:rPr>
          <w:noProof/>
          <w:sz w:val="22"/>
        </w:rPr>
        <w:t xml:space="preserve">. 2014. </w:t>
      </w:r>
    </w:p>
    <w:p w:rsidR="000A70CF" w:rsidRPr="000A70CF" w:rsidRDefault="000A70CF" w:rsidP="000A70CF">
      <w:pPr>
        <w:rPr>
          <w:lang w:val="en-CA"/>
        </w:rPr>
      </w:pPr>
      <w:r>
        <w:rPr>
          <w:lang w:val="en-CA"/>
        </w:rPr>
        <w:fldChar w:fldCharType="end"/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FD40DE" w:rsidP="009234A5">
      <w:pPr>
        <w:jc w:val="both"/>
        <w:rPr>
          <w:szCs w:val="22"/>
          <w:lang w:val="en-CA"/>
        </w:rPr>
      </w:pPr>
      <w:proofErr w:type="spellStart"/>
      <w:r>
        <w:rPr>
          <w:b/>
          <w:szCs w:val="22"/>
          <w:lang w:val="en-CA"/>
        </w:rPr>
        <w:t>Institut</w:t>
      </w:r>
      <w:proofErr w:type="spellEnd"/>
      <w:r>
        <w:rPr>
          <w:b/>
          <w:szCs w:val="22"/>
          <w:lang w:val="en-CA"/>
        </w:rPr>
        <w:t xml:space="preserve"> </w:t>
      </w:r>
      <w:proofErr w:type="spellStart"/>
      <w:r>
        <w:rPr>
          <w:b/>
          <w:szCs w:val="22"/>
          <w:lang w:val="en-CA"/>
        </w:rPr>
        <w:t>fuer</w:t>
      </w:r>
      <w:proofErr w:type="spellEnd"/>
      <w:r>
        <w:rPr>
          <w:b/>
          <w:szCs w:val="22"/>
          <w:lang w:val="en-CA"/>
        </w:rPr>
        <w:t xml:space="preserve"> </w:t>
      </w:r>
      <w:proofErr w:type="spellStart"/>
      <w:r>
        <w:rPr>
          <w:b/>
          <w:szCs w:val="22"/>
          <w:lang w:val="en-CA"/>
        </w:rPr>
        <w:t>Informationsverarbeitung</w:t>
      </w:r>
      <w:proofErr w:type="spellEnd"/>
      <w:r>
        <w:rPr>
          <w:b/>
          <w:szCs w:val="22"/>
          <w:lang w:val="en-CA"/>
        </w:rPr>
        <w:t xml:space="preserve">, Leibniz </w:t>
      </w:r>
      <w:proofErr w:type="spellStart"/>
      <w:r>
        <w:rPr>
          <w:b/>
          <w:szCs w:val="22"/>
          <w:lang w:val="en-CA"/>
        </w:rPr>
        <w:t>Universitaet</w:t>
      </w:r>
      <w:proofErr w:type="spellEnd"/>
      <w:r>
        <w:rPr>
          <w:b/>
          <w:szCs w:val="22"/>
          <w:lang w:val="en-CA"/>
        </w:rPr>
        <w:t xml:space="preserve"> Hannover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048" w:rsidRDefault="00A13048">
      <w:r>
        <w:separator/>
      </w:r>
    </w:p>
  </w:endnote>
  <w:endnote w:type="continuationSeparator" w:id="0">
    <w:p w:rsidR="00A13048" w:rsidRDefault="00A13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B2F14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B2F14">
      <w:rPr>
        <w:rStyle w:val="PageNumber"/>
        <w:noProof/>
      </w:rPr>
      <w:t>2014-10-06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048" w:rsidRDefault="00A13048">
      <w:r>
        <w:separator/>
      </w:r>
    </w:p>
  </w:footnote>
  <w:footnote w:type="continuationSeparator" w:id="0">
    <w:p w:rsidR="00A13048" w:rsidRDefault="00A130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308A3"/>
    <w:rsid w:val="000458BC"/>
    <w:rsid w:val="00045C41"/>
    <w:rsid w:val="00046C03"/>
    <w:rsid w:val="00065039"/>
    <w:rsid w:val="0007614F"/>
    <w:rsid w:val="000935BB"/>
    <w:rsid w:val="000A70CF"/>
    <w:rsid w:val="000B1C6B"/>
    <w:rsid w:val="000B4FF9"/>
    <w:rsid w:val="000C09AC"/>
    <w:rsid w:val="000E00F3"/>
    <w:rsid w:val="000F158C"/>
    <w:rsid w:val="000F62B1"/>
    <w:rsid w:val="00102F3D"/>
    <w:rsid w:val="00124E38"/>
    <w:rsid w:val="0012580B"/>
    <w:rsid w:val="00131F90"/>
    <w:rsid w:val="0013526E"/>
    <w:rsid w:val="00146152"/>
    <w:rsid w:val="00171371"/>
    <w:rsid w:val="00175A24"/>
    <w:rsid w:val="00187E58"/>
    <w:rsid w:val="001A297E"/>
    <w:rsid w:val="001A368E"/>
    <w:rsid w:val="001A7329"/>
    <w:rsid w:val="001A792F"/>
    <w:rsid w:val="001B4E28"/>
    <w:rsid w:val="001C3525"/>
    <w:rsid w:val="001D1BD2"/>
    <w:rsid w:val="001E02BE"/>
    <w:rsid w:val="001E3B37"/>
    <w:rsid w:val="001F0EF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75BCF"/>
    <w:rsid w:val="00291E36"/>
    <w:rsid w:val="00292257"/>
    <w:rsid w:val="002A54E0"/>
    <w:rsid w:val="002B1595"/>
    <w:rsid w:val="002B191D"/>
    <w:rsid w:val="002D0AF6"/>
    <w:rsid w:val="002F164D"/>
    <w:rsid w:val="00306206"/>
    <w:rsid w:val="00317D85"/>
    <w:rsid w:val="00320AC2"/>
    <w:rsid w:val="00327C56"/>
    <w:rsid w:val="003315A1"/>
    <w:rsid w:val="003373EC"/>
    <w:rsid w:val="00342FF4"/>
    <w:rsid w:val="00346148"/>
    <w:rsid w:val="003669EA"/>
    <w:rsid w:val="003706CC"/>
    <w:rsid w:val="00377710"/>
    <w:rsid w:val="00390DDB"/>
    <w:rsid w:val="003A2D8E"/>
    <w:rsid w:val="003A7CE6"/>
    <w:rsid w:val="003C20E4"/>
    <w:rsid w:val="003E6F90"/>
    <w:rsid w:val="003F5D0F"/>
    <w:rsid w:val="00414101"/>
    <w:rsid w:val="004234F0"/>
    <w:rsid w:val="00433DDB"/>
    <w:rsid w:val="00437619"/>
    <w:rsid w:val="00456684"/>
    <w:rsid w:val="00464F05"/>
    <w:rsid w:val="00465A1E"/>
    <w:rsid w:val="004A2A63"/>
    <w:rsid w:val="004A6739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4380E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040D7"/>
    <w:rsid w:val="00624B33"/>
    <w:rsid w:val="0063041A"/>
    <w:rsid w:val="00630AA2"/>
    <w:rsid w:val="00646707"/>
    <w:rsid w:val="00662E58"/>
    <w:rsid w:val="00664DCF"/>
    <w:rsid w:val="00667EA9"/>
    <w:rsid w:val="006B4660"/>
    <w:rsid w:val="006C5D39"/>
    <w:rsid w:val="006D6D9B"/>
    <w:rsid w:val="006E2810"/>
    <w:rsid w:val="006E5417"/>
    <w:rsid w:val="007023DE"/>
    <w:rsid w:val="00712F60"/>
    <w:rsid w:val="00720E3B"/>
    <w:rsid w:val="0074393F"/>
    <w:rsid w:val="00745F6B"/>
    <w:rsid w:val="0075585E"/>
    <w:rsid w:val="00770571"/>
    <w:rsid w:val="007768FF"/>
    <w:rsid w:val="007824D3"/>
    <w:rsid w:val="00796EE3"/>
    <w:rsid w:val="007A7D29"/>
    <w:rsid w:val="007B4AB8"/>
    <w:rsid w:val="007E01A3"/>
    <w:rsid w:val="007E7E16"/>
    <w:rsid w:val="007F1F8B"/>
    <w:rsid w:val="007F67A1"/>
    <w:rsid w:val="00811C05"/>
    <w:rsid w:val="008206C8"/>
    <w:rsid w:val="008259EC"/>
    <w:rsid w:val="0086387C"/>
    <w:rsid w:val="00874A6C"/>
    <w:rsid w:val="00876C65"/>
    <w:rsid w:val="008A4B4C"/>
    <w:rsid w:val="008B2F14"/>
    <w:rsid w:val="008C239F"/>
    <w:rsid w:val="008D4AAB"/>
    <w:rsid w:val="008E480C"/>
    <w:rsid w:val="00907757"/>
    <w:rsid w:val="009212B0"/>
    <w:rsid w:val="00921FA1"/>
    <w:rsid w:val="009234A5"/>
    <w:rsid w:val="00933453"/>
    <w:rsid w:val="009336F7"/>
    <w:rsid w:val="0093636C"/>
    <w:rsid w:val="009374A7"/>
    <w:rsid w:val="00955F6D"/>
    <w:rsid w:val="0098551D"/>
    <w:rsid w:val="0099518F"/>
    <w:rsid w:val="009A523D"/>
    <w:rsid w:val="009B02A1"/>
    <w:rsid w:val="009F496B"/>
    <w:rsid w:val="00A01439"/>
    <w:rsid w:val="00A02E61"/>
    <w:rsid w:val="00A05CFF"/>
    <w:rsid w:val="00A13048"/>
    <w:rsid w:val="00A56B97"/>
    <w:rsid w:val="00A6093D"/>
    <w:rsid w:val="00A767DC"/>
    <w:rsid w:val="00A76A6D"/>
    <w:rsid w:val="00A83253"/>
    <w:rsid w:val="00AA6E84"/>
    <w:rsid w:val="00AA72E1"/>
    <w:rsid w:val="00AB050E"/>
    <w:rsid w:val="00AE341B"/>
    <w:rsid w:val="00AF6E8C"/>
    <w:rsid w:val="00B07CA7"/>
    <w:rsid w:val="00B1279A"/>
    <w:rsid w:val="00B4194A"/>
    <w:rsid w:val="00B5222E"/>
    <w:rsid w:val="00B53179"/>
    <w:rsid w:val="00B61C96"/>
    <w:rsid w:val="00B73A2A"/>
    <w:rsid w:val="00B94B06"/>
    <w:rsid w:val="00B94C28"/>
    <w:rsid w:val="00BC10BA"/>
    <w:rsid w:val="00BC5AFD"/>
    <w:rsid w:val="00BD5FF6"/>
    <w:rsid w:val="00C04F43"/>
    <w:rsid w:val="00C0609D"/>
    <w:rsid w:val="00C115AB"/>
    <w:rsid w:val="00C26CCB"/>
    <w:rsid w:val="00C30249"/>
    <w:rsid w:val="00C3723B"/>
    <w:rsid w:val="00C42466"/>
    <w:rsid w:val="00C606C9"/>
    <w:rsid w:val="00C721DA"/>
    <w:rsid w:val="00C80288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CF6316"/>
    <w:rsid w:val="00CF7CD5"/>
    <w:rsid w:val="00D073E2"/>
    <w:rsid w:val="00D446EC"/>
    <w:rsid w:val="00D51BF0"/>
    <w:rsid w:val="00D55942"/>
    <w:rsid w:val="00D807BF"/>
    <w:rsid w:val="00D82FCC"/>
    <w:rsid w:val="00DA17FC"/>
    <w:rsid w:val="00DA3448"/>
    <w:rsid w:val="00DA7887"/>
    <w:rsid w:val="00DB2C26"/>
    <w:rsid w:val="00DE6B43"/>
    <w:rsid w:val="00E11923"/>
    <w:rsid w:val="00E262D4"/>
    <w:rsid w:val="00E36250"/>
    <w:rsid w:val="00E54511"/>
    <w:rsid w:val="00E61DAC"/>
    <w:rsid w:val="00E72B80"/>
    <w:rsid w:val="00E75FE3"/>
    <w:rsid w:val="00E85607"/>
    <w:rsid w:val="00E86C4C"/>
    <w:rsid w:val="00EA5AE0"/>
    <w:rsid w:val="00EB5C38"/>
    <w:rsid w:val="00EB7AB1"/>
    <w:rsid w:val="00EE7CD8"/>
    <w:rsid w:val="00EF48CC"/>
    <w:rsid w:val="00F73032"/>
    <w:rsid w:val="00F848FC"/>
    <w:rsid w:val="00F9282A"/>
    <w:rsid w:val="00F96BAD"/>
    <w:rsid w:val="00FA139D"/>
    <w:rsid w:val="00FA5887"/>
    <w:rsid w:val="00FB0E84"/>
    <w:rsid w:val="00FD01C2"/>
    <w:rsid w:val="00FD40D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59DF5F3-E8B6-40E1-ABBD-3A495C16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E85607"/>
    <w:pPr>
      <w:spacing w:before="0" w:after="200"/>
    </w:pPr>
    <w:rPr>
      <w:i/>
      <w:iCs/>
      <w:color w:val="44546A" w:themeColor="text2"/>
      <w:sz w:val="18"/>
      <w:szCs w:val="18"/>
    </w:rPr>
  </w:style>
  <w:style w:type="paragraph" w:customStyle="1" w:styleId="tableheading">
    <w:name w:val="table heading"/>
    <w:basedOn w:val="Normal"/>
    <w:rsid w:val="0045668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noProof/>
      <w:sz w:val="20"/>
      <w:lang w:val="en-GB"/>
    </w:rPr>
  </w:style>
  <w:style w:type="paragraph" w:customStyle="1" w:styleId="tablecell">
    <w:name w:val="table cell"/>
    <w:basedOn w:val="Normal"/>
    <w:rsid w:val="0045668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noProof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45668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noProof/>
      <w:sz w:val="20"/>
      <w:lang w:val="en-GB"/>
    </w:rPr>
  </w:style>
  <w:style w:type="character" w:customStyle="1" w:styleId="tablesyntaxChar">
    <w:name w:val="table syntax Char"/>
    <w:link w:val="tablesyntax"/>
    <w:locked/>
    <w:rsid w:val="00456684"/>
    <w:rPr>
      <w:rFonts w:ascii="Times" w:eastAsia="Malgun Gothic" w:hAnsi="Times"/>
      <w:noProof/>
      <w:lang w:val="en-GB" w:eastAsia="en-US"/>
    </w:rPr>
  </w:style>
  <w:style w:type="paragraph" w:styleId="NormalWeb">
    <w:name w:val="Normal (Web)"/>
    <w:basedOn w:val="Normal"/>
    <w:uiPriority w:val="99"/>
    <w:unhideWhenUsed/>
    <w:rsid w:val="000A70C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8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Visio_Drawing1.vsd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aude@tnt.uni-hannover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738E2-EB01-4F3A-AE67-16D4ABDE5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1020</Words>
  <Characters>7780</Characters>
  <Application>Microsoft Office Word</Application>
  <DocSecurity>0</DocSecurity>
  <Lines>64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8783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Thorsten Laude</cp:lastModifiedBy>
  <cp:revision>23</cp:revision>
  <cp:lastPrinted>2014-10-06T14:27:00Z</cp:lastPrinted>
  <dcterms:created xsi:type="dcterms:W3CDTF">2014-10-06T12:31:00Z</dcterms:created>
  <dcterms:modified xsi:type="dcterms:W3CDTF">2014-10-07T13:34:00Z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thorstenlaude@gmail.com@www.mendeley.com</vt:lpwstr>
  </property>
  <property fmtid="{D5CDD505-2E9C-101B-9397-08002B2CF9AE}" pid="4" name="Mendeley Citation Style_1">
    <vt:lpwstr>http://www.zotero.org/styles/ieee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