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B838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83811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55488A" w:rsidP="00253D8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18th Meeting: Sapporo, JP, 30 June – 9 July 2014</w:t>
            </w:r>
          </w:p>
        </w:tc>
        <w:tc>
          <w:tcPr>
            <w:tcW w:w="3168" w:type="dxa"/>
          </w:tcPr>
          <w:p w:rsidR="008A4B4C" w:rsidRPr="00367021" w:rsidRDefault="00E61DAC" w:rsidP="00075BD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075BD6">
              <w:rPr>
                <w:lang w:val="en-CA"/>
              </w:rPr>
              <w:t>R0250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67021" w:rsidRDefault="00CC391D" w:rsidP="00CC391D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SCCE3: </w:t>
            </w:r>
            <w:r w:rsidR="00075BD6">
              <w:rPr>
                <w:b/>
                <w:szCs w:val="22"/>
              </w:rPr>
              <w:t xml:space="preserve">Cross-Check of </w:t>
            </w:r>
            <w:r>
              <w:rPr>
                <w:b/>
                <w:szCs w:val="22"/>
              </w:rPr>
              <w:t xml:space="preserve">Test A.6 - </w:t>
            </w:r>
            <w:r w:rsidRPr="00C16466">
              <w:rPr>
                <w:rFonts w:hint="eastAsia"/>
                <w:b/>
                <w:szCs w:val="22"/>
              </w:rPr>
              <w:t xml:space="preserve">Palette </w:t>
            </w:r>
            <w:r w:rsidRPr="00C16466">
              <w:rPr>
                <w:b/>
                <w:szCs w:val="22"/>
              </w:rPr>
              <w:t xml:space="preserve">table </w:t>
            </w:r>
            <w:r>
              <w:rPr>
                <w:b/>
                <w:szCs w:val="22"/>
              </w:rPr>
              <w:t>generation</w:t>
            </w:r>
            <w:r w:rsidR="00075BD6">
              <w:rPr>
                <w:b/>
                <w:szCs w:val="22"/>
              </w:rPr>
              <w:t xml:space="preserve"> (JCTVC-R0167)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A1999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75BD6" w:rsidRDefault="00075BD6" w:rsidP="00C10490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M. </w:t>
            </w:r>
            <w:proofErr w:type="spellStart"/>
            <w:r>
              <w:rPr>
                <w:szCs w:val="22"/>
              </w:rPr>
              <w:t>Xu</w:t>
            </w:r>
            <w:proofErr w:type="spellEnd"/>
            <w:r>
              <w:rPr>
                <w:szCs w:val="22"/>
              </w:rPr>
              <w:t xml:space="preserve">, F. </w:t>
            </w:r>
            <w:proofErr w:type="spellStart"/>
            <w:r>
              <w:rPr>
                <w:szCs w:val="22"/>
              </w:rPr>
              <w:t>Duanmu</w:t>
            </w:r>
            <w:proofErr w:type="spellEnd"/>
            <w:r>
              <w:rPr>
                <w:szCs w:val="22"/>
              </w:rPr>
              <w:t>, Z. Ma, W. Wang, H. Yu</w:t>
            </w:r>
          </w:p>
          <w:p w:rsidR="00E61DAC" w:rsidRDefault="00075BD6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 xml:space="preserve">2330 Central </w:t>
            </w:r>
            <w:proofErr w:type="spellStart"/>
            <w:r>
              <w:rPr>
                <w:szCs w:val="22"/>
              </w:rPr>
              <w:t>Expy</w:t>
            </w:r>
            <w:proofErr w:type="spellEnd"/>
            <w:r>
              <w:rPr>
                <w:szCs w:val="22"/>
              </w:rPr>
              <w:t>, Santa Clara, CA 95050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Pr="009B2C58" w:rsidRDefault="00E61DAC" w:rsidP="00075BD6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</w:t>
            </w:r>
            <w:r w:rsidR="00075BD6">
              <w:rPr>
                <w:szCs w:val="22"/>
              </w:rPr>
              <w:t>408-330-5142</w:t>
            </w:r>
            <w:r w:rsidRPr="00367021">
              <w:rPr>
                <w:szCs w:val="22"/>
                <w:lang w:val="en-CA"/>
              </w:rPr>
              <w:br/>
            </w:r>
            <w:r w:rsidR="00075BD6">
              <w:t>m.xu@huawei.com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B83368" w:rsidRPr="00367021" w:rsidRDefault="00075BD6" w:rsidP="00FF69BE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</w:rPr>
              <w:t>Huawei</w:t>
            </w:r>
            <w:proofErr w:type="spellEnd"/>
            <w:r>
              <w:rPr>
                <w:szCs w:val="22"/>
              </w:rPr>
              <w:t xml:space="preserve"> R&amp;D USA</w:t>
            </w:r>
            <w:r w:rsidR="00FF69BE">
              <w:rPr>
                <w:szCs w:val="22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EA1999" w:rsidRDefault="00EA1999" w:rsidP="00CC391D">
      <w:pPr>
        <w:tabs>
          <w:tab w:val="left" w:pos="6480"/>
        </w:tabs>
        <w:jc w:val="both"/>
        <w:rPr>
          <w:rFonts w:eastAsia="Malgun Gothic"/>
          <w:kern w:val="2"/>
        </w:rPr>
      </w:pPr>
    </w:p>
    <w:p w:rsidR="00EA1999" w:rsidRDefault="00EA1999" w:rsidP="00CC391D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 xml:space="preserve">This report gives the cross-check evaluation of SCCE Test A.6 proposed in JCTVC-R0167 [1]. It provides </w:t>
      </w:r>
      <w:proofErr w:type="gramStart"/>
      <w:r>
        <w:rPr>
          <w:rFonts w:eastAsia="Malgun Gothic"/>
          <w:kern w:val="2"/>
        </w:rPr>
        <w:t>a</w:t>
      </w:r>
      <w:proofErr w:type="gramEnd"/>
      <w:r>
        <w:rPr>
          <w:rFonts w:eastAsia="Malgun Gothic"/>
          <w:kern w:val="2"/>
        </w:rPr>
        <w:t xml:space="preserve"> R-D optimization to select major colors by considering both bit rate and distortion on color grouping. It includes two major </w:t>
      </w:r>
      <w:proofErr w:type="gramStart"/>
      <w:r>
        <w:rPr>
          <w:rFonts w:eastAsia="Malgun Gothic"/>
          <w:kern w:val="2"/>
        </w:rPr>
        <w:t>step</w:t>
      </w:r>
      <w:proofErr w:type="gramEnd"/>
      <w:r>
        <w:rPr>
          <w:rFonts w:eastAsia="Malgun Gothic"/>
          <w:kern w:val="2"/>
        </w:rPr>
        <w:t xml:space="preserve"> where first step is applying the nearest neighbor grouping and the second step is choosing the representative colors for grouped cluster according to the R-D sense. </w:t>
      </w:r>
    </w:p>
    <w:p w:rsidR="00F35982" w:rsidRPr="006D1415" w:rsidRDefault="00A832F5" w:rsidP="006C1CA2">
      <w:pPr>
        <w:pStyle w:val="Heading1"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</w:tabs>
        <w:ind w:left="360" w:hanging="360"/>
      </w:pPr>
      <w:bookmarkStart w:id="0" w:name="_Toc341951811"/>
      <w:r>
        <w:t>Simulation results</w:t>
      </w:r>
      <w:r w:rsidR="00F35982" w:rsidRPr="006D1415">
        <w:t xml:space="preserve"> </w:t>
      </w:r>
      <w:bookmarkEnd w:id="0"/>
    </w:p>
    <w:p w:rsidR="00445A34" w:rsidRDefault="00445A34" w:rsidP="00EA1999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eastAsia="Malgun Gothic"/>
          <w:kern w:val="2"/>
        </w:rPr>
      </w:pPr>
      <w:r>
        <w:t xml:space="preserve">The compression performance is measured using BD rate compared with SCCE3 anchors, using the SCCE3 test conditions. </w:t>
      </w:r>
      <w:r w:rsidR="00B83811">
        <w:fldChar w:fldCharType="begin"/>
      </w:r>
      <w:r>
        <w:instrText xml:space="preserve"> REF _Ref369001934 \h </w:instrText>
      </w:r>
      <w:r w:rsidR="00B83811">
        <w:fldChar w:fldCharType="separate"/>
      </w:r>
      <w:r w:rsidR="00A72CD2" w:rsidRPr="00FA1324">
        <w:t xml:space="preserve">Table </w:t>
      </w:r>
      <w:r w:rsidR="00A72CD2">
        <w:rPr>
          <w:noProof/>
        </w:rPr>
        <w:t>1</w:t>
      </w:r>
      <w:r w:rsidR="00B83811">
        <w:fldChar w:fldCharType="end"/>
      </w:r>
      <w:r>
        <w:t xml:space="preserve"> gives the detailed average BD rate reduction for </w:t>
      </w:r>
      <w:proofErr w:type="spellStart"/>
      <w:r>
        <w:t>lossy</w:t>
      </w:r>
      <w:proofErr w:type="spellEnd"/>
      <w:r>
        <w:t xml:space="preserve"> coding with proposed palette </w:t>
      </w:r>
      <w:proofErr w:type="spellStart"/>
      <w:r>
        <w:t>palette</w:t>
      </w:r>
      <w:proofErr w:type="spellEnd"/>
      <w:r>
        <w:t xml:space="preserve"> table generation method compared with SCCE3 </w:t>
      </w:r>
      <w:r w:rsidR="006C1CA2">
        <w:t xml:space="preserve">+Q0094 </w:t>
      </w:r>
      <w:r>
        <w:t xml:space="preserve">full frame </w:t>
      </w:r>
      <w:proofErr w:type="spellStart"/>
      <w:r>
        <w:t>IntraBC</w:t>
      </w:r>
      <w:proofErr w:type="spellEnd"/>
      <w:r>
        <w:t xml:space="preserve"> anchors, respectively. </w:t>
      </w:r>
      <w:r w:rsidR="006C1CA2">
        <w:rPr>
          <w:rFonts w:eastAsia="Malgun Gothic"/>
          <w:kern w:val="2"/>
        </w:rPr>
        <w:t xml:space="preserve"> Other simulations are enclosed as additional spreadsheets.  Cross-check results match the data from proponent.</w:t>
      </w:r>
    </w:p>
    <w:p w:rsidR="00032A2C" w:rsidRDefault="00032A2C" w:rsidP="00560DCB">
      <w:pPr>
        <w:pStyle w:val="Caption"/>
        <w:jc w:val="center"/>
      </w:pPr>
      <w:bookmarkStart w:id="1" w:name="_Ref361310567"/>
    </w:p>
    <w:p w:rsidR="00CD623F" w:rsidRDefault="004E0C98" w:rsidP="00560DCB">
      <w:pPr>
        <w:pStyle w:val="Caption"/>
        <w:jc w:val="center"/>
      </w:pPr>
      <w:bookmarkStart w:id="2" w:name="_Ref369001934"/>
      <w:bookmarkStart w:id="3" w:name="_Ref375145019"/>
      <w:proofErr w:type="gramStart"/>
      <w:r w:rsidRPr="00FA1324">
        <w:t xml:space="preserve">Table </w:t>
      </w:r>
      <w:r w:rsidR="00B83811" w:rsidRPr="00FA1324">
        <w:fldChar w:fldCharType="begin"/>
      </w:r>
      <w:r w:rsidR="00EA2D55" w:rsidRPr="00FA1324">
        <w:instrText xml:space="preserve"> SEQ Table \* ARABIC </w:instrText>
      </w:r>
      <w:r w:rsidR="00B83811" w:rsidRPr="00FA1324">
        <w:fldChar w:fldCharType="separate"/>
      </w:r>
      <w:r w:rsidR="00A72CD2">
        <w:rPr>
          <w:noProof/>
        </w:rPr>
        <w:t>1</w:t>
      </w:r>
      <w:r w:rsidR="00B83811" w:rsidRPr="00FA1324">
        <w:fldChar w:fldCharType="end"/>
      </w:r>
      <w:bookmarkEnd w:id="1"/>
      <w:bookmarkEnd w:id="2"/>
      <w:r w:rsidR="00560DCB" w:rsidRPr="00FA1324">
        <w:t>.</w:t>
      </w:r>
      <w:proofErr w:type="gramEnd"/>
      <w:r w:rsidR="00560DCB" w:rsidRPr="00FA1324">
        <w:t xml:space="preserve"> </w:t>
      </w:r>
      <w:r w:rsidR="00000874" w:rsidRPr="00FA1324">
        <w:t xml:space="preserve">Average BD rate reduction for </w:t>
      </w:r>
      <w:proofErr w:type="spellStart"/>
      <w:r w:rsidR="00513744">
        <w:t>lossy</w:t>
      </w:r>
      <w:proofErr w:type="spellEnd"/>
      <w:r w:rsidR="00513744">
        <w:t xml:space="preserve"> coding </w:t>
      </w:r>
      <w:r w:rsidR="008E65DC" w:rsidRPr="00FA1324">
        <w:t xml:space="preserve">compared with </w:t>
      </w:r>
      <w:r w:rsidR="00AC774F" w:rsidRPr="00FA1324">
        <w:t>S</w:t>
      </w:r>
      <w:r w:rsidR="00513744">
        <w:t>C</w:t>
      </w:r>
      <w:r w:rsidR="00AC774F" w:rsidRPr="00FA1324">
        <w:t>CE</w:t>
      </w:r>
      <w:r w:rsidR="00A72CD2">
        <w:t>3</w:t>
      </w:r>
      <w:r w:rsidR="006C1CA2">
        <w:t xml:space="preserve"> + Q0094</w:t>
      </w:r>
      <w:r w:rsidR="00513744">
        <w:t xml:space="preserve"> full frame </w:t>
      </w:r>
      <w:proofErr w:type="spellStart"/>
      <w:r w:rsidR="00513744">
        <w:t>IntraBC</w:t>
      </w:r>
      <w:proofErr w:type="spellEnd"/>
      <w:r w:rsidR="00AC774F" w:rsidRPr="00FA1324">
        <w:t xml:space="preserve"> anchors</w:t>
      </w:r>
      <w:bookmarkEnd w:id="3"/>
    </w:p>
    <w:tbl>
      <w:tblPr>
        <w:tblW w:w="6560" w:type="dxa"/>
        <w:jc w:val="center"/>
        <w:tblInd w:w="100" w:type="dxa"/>
        <w:tblLook w:val="04A0"/>
      </w:tblPr>
      <w:tblGrid>
        <w:gridCol w:w="3440"/>
        <w:gridCol w:w="1040"/>
        <w:gridCol w:w="1040"/>
        <w:gridCol w:w="1040"/>
      </w:tblGrid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-3.8%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-3.4%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-3.4%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-3.0%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-3.1%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-4.0%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lastRenderedPageBreak/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-4.2%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-3.9%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-4.2%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-4.7%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-4.4%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-3.5%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-4.4%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-4.4%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6C1CA2" w:rsidRPr="006C1CA2" w:rsidTr="006C1CA2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1CA2" w:rsidRPr="006C1CA2" w:rsidRDefault="006C1CA2" w:rsidP="006C1C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6C1CA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</w:tbl>
    <w:p w:rsidR="006C1CA2" w:rsidRDefault="006C1CA2" w:rsidP="006C1CA2"/>
    <w:p w:rsidR="00C152F6" w:rsidRPr="00C152F6" w:rsidRDefault="00C152F6" w:rsidP="00C152F6"/>
    <w:p w:rsidR="00F35982" w:rsidRPr="005B217D" w:rsidRDefault="00F35982" w:rsidP="00712F60">
      <w:pPr>
        <w:jc w:val="both"/>
        <w:rPr>
          <w:szCs w:val="22"/>
          <w:lang w:val="en-CA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4" w:name="_Toc258950902"/>
      <w:bookmarkStart w:id="5" w:name="_Toc341951835"/>
      <w:r w:rsidRPr="00855F5E">
        <w:rPr>
          <w:rFonts w:hint="eastAsia"/>
        </w:rPr>
        <w:t>References</w:t>
      </w:r>
      <w:bookmarkEnd w:id="4"/>
      <w:bookmarkEnd w:id="5"/>
    </w:p>
    <w:p w:rsidR="00EA1999" w:rsidRPr="00CC391D" w:rsidRDefault="00EA1999" w:rsidP="00CC391D">
      <w:pPr>
        <w:pStyle w:val="SPIEreferencelisting"/>
        <w:rPr>
          <w:sz w:val="22"/>
        </w:rPr>
      </w:pPr>
      <w:r>
        <w:rPr>
          <w:sz w:val="22"/>
        </w:rPr>
        <w:t xml:space="preserve">Y. He, X. </w:t>
      </w:r>
      <w:proofErr w:type="spellStart"/>
      <w:r>
        <w:rPr>
          <w:sz w:val="22"/>
        </w:rPr>
        <w:t>Xiu</w:t>
      </w:r>
      <w:proofErr w:type="spellEnd"/>
      <w:r>
        <w:rPr>
          <w:sz w:val="22"/>
        </w:rPr>
        <w:t xml:space="preserve">, Y. </w:t>
      </w:r>
      <w:proofErr w:type="spellStart"/>
      <w:r>
        <w:rPr>
          <w:sz w:val="22"/>
        </w:rPr>
        <w:t>Ye</w:t>
      </w:r>
      <w:proofErr w:type="spellEnd"/>
      <w:r>
        <w:rPr>
          <w:sz w:val="22"/>
        </w:rPr>
        <w:t>, C.-M. Tsai, “</w:t>
      </w:r>
      <w:r>
        <w:t>SCCE3: Test A.6 - Palette table generation</w:t>
      </w:r>
      <w:r>
        <w:rPr>
          <w:sz w:val="22"/>
        </w:rPr>
        <w:t>”, JCTVC-R0167, Sapporo Japan, July 2014.</w:t>
      </w:r>
    </w:p>
    <w:sectPr w:rsidR="00EA1999" w:rsidRPr="00CC391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1DF" w:rsidRDefault="001C51DF">
      <w:r>
        <w:separator/>
      </w:r>
    </w:p>
  </w:endnote>
  <w:endnote w:type="continuationSeparator" w:id="0">
    <w:p w:rsidR="001C51DF" w:rsidRDefault="001C5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444" w:rsidRDefault="008C2444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8381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83811">
      <w:rPr>
        <w:rStyle w:val="PageNumber"/>
      </w:rPr>
      <w:fldChar w:fldCharType="separate"/>
    </w:r>
    <w:r w:rsidR="006C1CA2">
      <w:rPr>
        <w:rStyle w:val="PageNumber"/>
        <w:noProof/>
      </w:rPr>
      <w:t>1</w:t>
    </w:r>
    <w:r w:rsidR="00B83811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B83811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B83811">
      <w:rPr>
        <w:rStyle w:val="PageNumber"/>
      </w:rPr>
      <w:fldChar w:fldCharType="separate"/>
    </w:r>
    <w:r w:rsidR="00253EFA">
      <w:rPr>
        <w:rStyle w:val="PageNumber"/>
        <w:noProof/>
      </w:rPr>
      <w:t>2014-06-20</w:t>
    </w:r>
    <w:r w:rsidR="00B83811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1DF" w:rsidRDefault="001C51DF">
      <w:r>
        <w:separator/>
      </w:r>
    </w:p>
  </w:footnote>
  <w:footnote w:type="continuationSeparator" w:id="0">
    <w:p w:rsidR="001C51DF" w:rsidRDefault="001C51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35E58"/>
    <w:rsid w:val="000458BC"/>
    <w:rsid w:val="00045C41"/>
    <w:rsid w:val="00046C03"/>
    <w:rsid w:val="000519EF"/>
    <w:rsid w:val="00052AB6"/>
    <w:rsid w:val="00053807"/>
    <w:rsid w:val="0007053F"/>
    <w:rsid w:val="00071CF6"/>
    <w:rsid w:val="00072994"/>
    <w:rsid w:val="00075BD6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525"/>
    <w:rsid w:val="001C4B1B"/>
    <w:rsid w:val="001C51DF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53EFA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30C1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189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A34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6519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1CA2"/>
    <w:rsid w:val="006C409D"/>
    <w:rsid w:val="006C4EF8"/>
    <w:rsid w:val="006C5D39"/>
    <w:rsid w:val="006D1415"/>
    <w:rsid w:val="006D7333"/>
    <w:rsid w:val="006E2810"/>
    <w:rsid w:val="006E5417"/>
    <w:rsid w:val="006E6ABA"/>
    <w:rsid w:val="00702E3E"/>
    <w:rsid w:val="0070459C"/>
    <w:rsid w:val="00710981"/>
    <w:rsid w:val="00711345"/>
    <w:rsid w:val="00712146"/>
    <w:rsid w:val="00712F60"/>
    <w:rsid w:val="00714FD8"/>
    <w:rsid w:val="00720E3B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7F96"/>
    <w:rsid w:val="00811C05"/>
    <w:rsid w:val="008206C8"/>
    <w:rsid w:val="00821B53"/>
    <w:rsid w:val="0082421D"/>
    <w:rsid w:val="0083497D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212B0"/>
    <w:rsid w:val="00921534"/>
    <w:rsid w:val="00921BD0"/>
    <w:rsid w:val="009234A5"/>
    <w:rsid w:val="009253BA"/>
    <w:rsid w:val="00930CB3"/>
    <w:rsid w:val="009336F7"/>
    <w:rsid w:val="009374A7"/>
    <w:rsid w:val="009465CE"/>
    <w:rsid w:val="0095627D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C24B5"/>
    <w:rsid w:val="009E144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2CD2"/>
    <w:rsid w:val="00A73E90"/>
    <w:rsid w:val="00A74D0B"/>
    <w:rsid w:val="00A750AC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3811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2AAE"/>
    <w:rsid w:val="00CC391D"/>
    <w:rsid w:val="00CC5A42"/>
    <w:rsid w:val="00CD0EAB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67D7F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0E72"/>
    <w:rsid w:val="00D91F23"/>
    <w:rsid w:val="00DA17FC"/>
    <w:rsid w:val="00DA5B68"/>
    <w:rsid w:val="00DA6AF7"/>
    <w:rsid w:val="00DA7887"/>
    <w:rsid w:val="00DB2C26"/>
    <w:rsid w:val="00DB314A"/>
    <w:rsid w:val="00DB3B9B"/>
    <w:rsid w:val="00DB663D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61DAC"/>
    <w:rsid w:val="00E632B7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1999"/>
    <w:rsid w:val="00EA2D55"/>
    <w:rsid w:val="00EB10C6"/>
    <w:rsid w:val="00EB1BA1"/>
    <w:rsid w:val="00EB6114"/>
    <w:rsid w:val="00EB7AB1"/>
    <w:rsid w:val="00EC15D4"/>
    <w:rsid w:val="00EC18A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033F"/>
    <w:rsid w:val="00FE187E"/>
    <w:rsid w:val="00FE2F16"/>
    <w:rsid w:val="00FE77F1"/>
    <w:rsid w:val="00FF0CE3"/>
    <w:rsid w:val="00FF69BE"/>
    <w:rsid w:val="00FF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C1BBB-491B-4688-9EC4-5B4D9EE4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3596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MaZhan</cp:lastModifiedBy>
  <cp:revision>3</cp:revision>
  <cp:lastPrinted>2013-04-08T19:19:00Z</cp:lastPrinted>
  <dcterms:created xsi:type="dcterms:W3CDTF">2014-06-25T01:51:00Z</dcterms:created>
  <dcterms:modified xsi:type="dcterms:W3CDTF">2014-06-25T01:54:00Z</dcterms:modified>
</cp:coreProperties>
</file>