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E641D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C43AA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CC0818">
              <w:rPr>
                <w:lang w:val="en-CA"/>
              </w:rPr>
              <w:t>1</w:t>
            </w:r>
            <w:r w:rsidR="00FF76A5">
              <w:rPr>
                <w:lang w:val="en-CA"/>
              </w:rPr>
              <w:t>7</w:t>
            </w:r>
            <w:r w:rsidR="00C43AA3">
              <w:rPr>
                <w:lang w:val="en-CA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C43AA3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SCCE1</w:t>
            </w:r>
            <w:r w:rsidR="0011057F" w:rsidRPr="0011057F">
              <w:rPr>
                <w:b/>
                <w:szCs w:val="22"/>
              </w:rPr>
              <w:t xml:space="preserve">: </w:t>
            </w:r>
            <w:r w:rsidRPr="00C43AA3">
              <w:rPr>
                <w:b/>
                <w:szCs w:val="22"/>
              </w:rPr>
              <w:t>Crosscheck report of SCCE1 test 2.3 Merge mode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SCCE</w:t>
      </w:r>
      <w:r w:rsidR="00C43AA3">
        <w:rPr>
          <w:lang w:val="en-CA"/>
        </w:rPr>
        <w:t>1</w:t>
      </w:r>
      <w:r>
        <w:rPr>
          <w:lang w:val="en-CA"/>
        </w:rPr>
        <w:t xml:space="preserve"> test </w:t>
      </w:r>
      <w:r w:rsidR="00C43AA3">
        <w:rPr>
          <w:lang w:val="en-CA"/>
        </w:rPr>
        <w:t>2</w:t>
      </w:r>
      <w:r>
        <w:rPr>
          <w:lang w:val="en-CA"/>
        </w:rPr>
        <w:t>.</w:t>
      </w:r>
      <w:r w:rsidR="00C43AA3">
        <w:rPr>
          <w:lang w:val="en-CA"/>
        </w:rPr>
        <w:t>3</w:t>
      </w:r>
      <w:r>
        <w:rPr>
          <w:lang w:val="en-CA"/>
        </w:rPr>
        <w:t xml:space="preserve"> on </w:t>
      </w:r>
      <w:proofErr w:type="spellStart"/>
      <w:r w:rsidR="00C43AA3">
        <w:rPr>
          <w:lang w:val="en-CA"/>
        </w:rPr>
        <w:t>IntraBC</w:t>
      </w:r>
      <w:proofErr w:type="spellEnd"/>
      <w:r w:rsidR="00C43AA3">
        <w:rPr>
          <w:lang w:val="en-CA"/>
        </w:rPr>
        <w:t xml:space="preserve"> merge mode</w:t>
      </w:r>
      <w:r>
        <w:rPr>
          <w:lang w:val="en-CA"/>
        </w:rPr>
        <w:t xml:space="preserve"> (JCTVC-R00</w:t>
      </w:r>
      <w:r w:rsidR="00C43AA3">
        <w:rPr>
          <w:lang w:val="en-CA"/>
        </w:rPr>
        <w:t>97</w:t>
      </w:r>
      <w:r>
        <w:rPr>
          <w:lang w:val="en-CA"/>
        </w:rPr>
        <w:t>). The source code provided by the proponents was verified to be consistent with the description in JCTVC-Q112</w:t>
      </w:r>
      <w:r w:rsidR="00C43AA3">
        <w:rPr>
          <w:lang w:val="en-CA"/>
        </w:rPr>
        <w:t>1</w:t>
      </w:r>
      <w:r>
        <w:rPr>
          <w:lang w:val="en-CA"/>
        </w:rPr>
        <w:t>. The rate-distortion performance was evaluated for SCCE</w:t>
      </w:r>
      <w:r w:rsidR="00C43AA3">
        <w:rPr>
          <w:lang w:val="en-CA"/>
        </w:rPr>
        <w:t>1</w:t>
      </w:r>
      <w:r>
        <w:rPr>
          <w:lang w:val="en-CA"/>
        </w:rPr>
        <w:t xml:space="preserve"> test conditions JCTVC-Q112</w:t>
      </w:r>
      <w:r w:rsidR="00C43AA3">
        <w:rPr>
          <w:lang w:val="en-CA"/>
        </w:rPr>
        <w:t>1</w:t>
      </w:r>
      <w:r>
        <w:rPr>
          <w:lang w:val="en-CA"/>
        </w:rPr>
        <w:t xml:space="preserve"> and matches the one provided in JCTVC-R00</w:t>
      </w:r>
      <w:r w:rsidR="00C43AA3">
        <w:rPr>
          <w:lang w:val="en-CA"/>
        </w:rPr>
        <w:t>97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JCTVC-R00</w:t>
      </w:r>
      <w:r w:rsidR="00C43AA3">
        <w:rPr>
          <w:szCs w:val="22"/>
          <w:lang w:val="en-CA"/>
        </w:rPr>
        <w:t>97</w:t>
      </w:r>
      <w:r>
        <w:rPr>
          <w:szCs w:val="22"/>
          <w:lang w:val="en-CA"/>
        </w:rPr>
        <w:t xml:space="preserve"> </w:t>
      </w:r>
      <w:r w:rsidR="00C43AA3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C43AA3">
        <w:rPr>
          <w:szCs w:val="22"/>
          <w:lang w:val="en-CA"/>
        </w:rPr>
      </w:r>
      <w:r w:rsidR="00C43AA3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[2]</w:t>
      </w:r>
      <w:r w:rsidR="00C43AA3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an improved palette table generation method is used to derive the palette table for palette mode coding.</w:t>
      </w:r>
      <w:r>
        <w:rPr>
          <w:lang w:val="en-CA"/>
        </w:rPr>
        <w:t xml:space="preserve"> </w:t>
      </w:r>
      <w:r w:rsidR="00C43AA3">
        <w:t>IBC skip mode means 2N×2N partition IBC mode without residue. A flag is signaled for each CU to indicate</w:t>
      </w:r>
      <w:r w:rsidR="00C43AA3">
        <w:t xml:space="preserve"> the usage of the IBC skip mode</w:t>
      </w:r>
      <w:r w:rsidRPr="00484111">
        <w:rPr>
          <w:rFonts w:eastAsia="Times New Roman"/>
          <w:color w:val="000000"/>
          <w:szCs w:val="22"/>
          <w:lang w:eastAsia="zh-CN"/>
        </w:rPr>
        <w:t xml:space="preserve">. </w:t>
      </w:r>
      <w:r>
        <w:rPr>
          <w:szCs w:val="22"/>
          <w:lang w:val="en-CA"/>
        </w:rPr>
        <w:t>More details of this technique can be found in JCTVC-R00</w:t>
      </w:r>
      <w:r w:rsidR="00C43AA3">
        <w:rPr>
          <w:szCs w:val="22"/>
          <w:lang w:val="en-CA"/>
        </w:rPr>
        <w:t>97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SCCE</w:t>
      </w:r>
      <w:r w:rsidR="00C43AA3">
        <w:rPr>
          <w:lang w:val="en-CA"/>
        </w:rPr>
        <w:t>1</w:t>
      </w:r>
      <w:r>
        <w:rPr>
          <w:lang w:val="en-CA"/>
        </w:rPr>
        <w:t xml:space="preserve"> test </w:t>
      </w:r>
      <w:r w:rsidR="00C43AA3">
        <w:rPr>
          <w:lang w:val="en-CA"/>
        </w:rPr>
        <w:t>2</w:t>
      </w:r>
      <w:r>
        <w:rPr>
          <w:lang w:val="en-CA"/>
        </w:rPr>
        <w:t>.</w:t>
      </w:r>
      <w:r w:rsidR="00C43AA3">
        <w:rPr>
          <w:lang w:val="en-CA"/>
        </w:rPr>
        <w:t>3 is evaluated according to SCCE1</w:t>
      </w:r>
      <w:r>
        <w:rPr>
          <w:lang w:val="en-CA"/>
        </w:rPr>
        <w:t xml:space="preserve">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C43AA3"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1" w:name="_Ref368998184"/>
      <w:bookmarkStart w:id="2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1"/>
      <w:r w:rsidRPr="00FA1324">
        <w:t>.</w:t>
      </w:r>
      <w:proofErr w:type="gramEnd"/>
      <w:r w:rsidRPr="00FA1324">
        <w:t xml:space="preserve"> Average BD rate reduction for </w:t>
      </w:r>
      <w:r w:rsidR="00513744">
        <w:t xml:space="preserve">lossless coding </w:t>
      </w:r>
      <w:r w:rsidRPr="00FA1324">
        <w:t>compared with SC</w:t>
      </w:r>
      <w:r w:rsidR="00513744">
        <w:t>C</w:t>
      </w:r>
      <w:r w:rsidRPr="00FA1324">
        <w:t>E</w:t>
      </w:r>
      <w:r w:rsidR="00C43AA3">
        <w:t>1</w:t>
      </w:r>
      <w:r w:rsidRPr="00FA1324">
        <w:t xml:space="preserve"> </w:t>
      </w:r>
      <w:r w:rsidR="005B1D37">
        <w:t>full frame</w:t>
      </w:r>
      <w:r w:rsidR="00513744">
        <w:t xml:space="preserve"> </w:t>
      </w:r>
      <w:proofErr w:type="spellStart"/>
      <w:r w:rsidR="00513744">
        <w:t>IntraBC</w:t>
      </w:r>
      <w:proofErr w:type="spellEnd"/>
      <w:r w:rsidR="00513744">
        <w:t xml:space="preserve"> </w:t>
      </w:r>
      <w:r w:rsidRPr="00FA1324">
        <w:t>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All Intra</w:t>
            </w:r>
          </w:p>
        </w:tc>
      </w:tr>
      <w:tr w:rsidR="00C43AA3" w:rsidRPr="00C43AA3" w:rsidTr="00C43AA3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5.6%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5.6%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4.8%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7.0%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3.6%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5.4%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5.4%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4.2%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7.0%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4.5%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116%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101%</w:t>
            </w: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Random Access</w:t>
            </w:r>
          </w:p>
        </w:tc>
      </w:tr>
      <w:tr w:rsidR="00C43AA3" w:rsidRPr="00C43AA3" w:rsidTr="00C43AA3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3.8%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2.3%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5.6%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2.8%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3.8%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5.6%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112%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107%</w:t>
            </w: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b/>
                <w:bCs/>
                <w:color w:val="FFFFFF"/>
                <w:sz w:val="16"/>
                <w:szCs w:val="16"/>
                <w:lang w:eastAsia="zh-CN"/>
              </w:rPr>
              <w:t>Low Delay B</w:t>
            </w:r>
          </w:p>
        </w:tc>
      </w:tr>
      <w:tr w:rsidR="00C43AA3" w:rsidRPr="00C43AA3" w:rsidTr="00C43AA3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</w:t>
            </w: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Bit-rate saving (Max)</w:t>
            </w:r>
          </w:p>
        </w:tc>
      </w:tr>
      <w:tr w:rsidR="00C43AA3" w:rsidRPr="00C43AA3" w:rsidTr="00C43AA3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3.9%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4.4%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3.3%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1.6%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4.3%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1.1%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0.4%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0.1%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106%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3" w:name="_Ref369001934"/>
      <w:bookmarkStart w:id="4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2"/>
      <w:bookmarkEnd w:id="3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proofErr w:type="spellStart"/>
      <w:r w:rsidR="00513744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C43AA3">
        <w:t>1</w:t>
      </w:r>
      <w:bookmarkStart w:id="5" w:name="_GoBack"/>
      <w:bookmarkEnd w:id="5"/>
      <w:r w:rsidR="00513744">
        <w:t xml:space="preserve"> </w:t>
      </w:r>
      <w:r w:rsidR="00926163">
        <w:t>full frame</w:t>
      </w:r>
      <w:r w:rsidR="00513744">
        <w:t xml:space="preserve"> </w:t>
      </w:r>
      <w:proofErr w:type="spellStart"/>
      <w:r w:rsidR="00513744">
        <w:t>IntraBC</w:t>
      </w:r>
      <w:proofErr w:type="spellEnd"/>
      <w:r w:rsidR="00AC774F" w:rsidRPr="00FA1324">
        <w:t xml:space="preserve"> anchors</w:t>
      </w:r>
      <w:bookmarkEnd w:id="4"/>
    </w:p>
    <w:tbl>
      <w:tblPr>
        <w:tblW w:w="6620" w:type="dxa"/>
        <w:tblInd w:w="93" w:type="dxa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All Intra 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-7.2%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-7.3%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-7.3%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-7.6%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-7.5%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lastRenderedPageBreak/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-4.7%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116%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99%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Random Access 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-4.5%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-2.1%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Low delay B 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R/V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-0.9%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sz w:val="16"/>
                <w:szCs w:val="16"/>
                <w:lang w:eastAsia="zh-CN"/>
              </w:rPr>
              <w:t>-3.3%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-0.5%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-0.4%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0.0%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107%</w:t>
            </w:r>
          </w:p>
        </w:tc>
      </w:tr>
      <w:tr w:rsidR="00C43AA3" w:rsidRPr="00C43AA3" w:rsidTr="00C43AA3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AA3" w:rsidRPr="00C43AA3" w:rsidRDefault="00C43AA3" w:rsidP="00C43AA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6"/>
                <w:lang w:eastAsia="zh-CN"/>
              </w:rPr>
            </w:pPr>
            <w:r w:rsidRPr="00C43AA3">
              <w:rPr>
                <w:rFonts w:eastAsia="Times New Roman"/>
                <w:color w:val="000000"/>
                <w:sz w:val="16"/>
                <w:szCs w:val="16"/>
                <w:lang w:eastAsia="zh-CN"/>
              </w:rPr>
              <w:t>108%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C43AA3" w:rsidRPr="00C43AA3" w:rsidRDefault="00C43AA3" w:rsidP="00C43AA3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391027170"/>
      <w:bookmarkStart w:id="9" w:name="_Ref376853597"/>
      <w:bookmarkStart w:id="10" w:name="_Ref361224128"/>
      <w:bookmarkStart w:id="11" w:name="_Ref341953128"/>
      <w:bookmarkStart w:id="12" w:name="_Ref352504500"/>
      <w:bookmarkStart w:id="13" w:name="_Ref295304050"/>
      <w:bookmarkStart w:id="14" w:name="_Ref305686033"/>
      <w:bookmarkStart w:id="15" w:name="_Ref352522379"/>
      <w:bookmarkStart w:id="16" w:name="_Ref211137291"/>
      <w:r w:rsidRPr="00C43AA3">
        <w:rPr>
          <w:sz w:val="22"/>
        </w:rPr>
        <w:t>J. Sole, S. Liu, “HEVC Screen Content Coding Core Experiment 1 (SCCE1): Intra Block Copying Extensions”, JCTVC-Q1121, Apr. 2014.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322929" w:rsidRPr="00882FEA" w:rsidRDefault="00C43AA3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91049742"/>
      <w:r w:rsidRPr="00C43AA3">
        <w:rPr>
          <w:sz w:val="22"/>
        </w:rPr>
        <w:t>B. Li, J. Xu</w:t>
      </w:r>
      <w:r w:rsidR="00882FEA" w:rsidRPr="00882FEA">
        <w:rPr>
          <w:sz w:val="22"/>
        </w:rPr>
        <w:t>, “</w:t>
      </w:r>
      <w:r w:rsidRPr="00C43AA3">
        <w:rPr>
          <w:sz w:val="22"/>
        </w:rPr>
        <w:t>SCCE1: Crosscheck report of SCCE1 test 2.3 Merge mode</w:t>
      </w:r>
      <w:r w:rsidR="00882FEA" w:rsidRPr="00882FEA">
        <w:rPr>
          <w:sz w:val="22"/>
        </w:rPr>
        <w:t>”, JCTVC-</w:t>
      </w:r>
      <w:r w:rsidR="0011057F">
        <w:rPr>
          <w:sz w:val="22"/>
        </w:rPr>
        <w:t>R0</w:t>
      </w:r>
      <w:r w:rsidR="00882FEA" w:rsidRPr="00882FEA">
        <w:rPr>
          <w:sz w:val="22"/>
        </w:rPr>
        <w:t>0</w:t>
      </w:r>
      <w:r>
        <w:rPr>
          <w:sz w:val="22"/>
        </w:rPr>
        <w:t>97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8"/>
      <w:bookmarkEnd w:id="17"/>
    </w:p>
    <w:sectPr w:rsidR="00322929" w:rsidRPr="00882FE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1D0" w:rsidRDefault="00E641D0">
      <w:r>
        <w:separator/>
      </w:r>
    </w:p>
  </w:endnote>
  <w:endnote w:type="continuationSeparator" w:id="0">
    <w:p w:rsidR="00E641D0" w:rsidRDefault="00E6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3AA3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43AA3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1D0" w:rsidRDefault="00E641D0">
      <w:r>
        <w:separator/>
      </w:r>
    </w:p>
  </w:footnote>
  <w:footnote w:type="continuationSeparator" w:id="0">
    <w:p w:rsidR="00E641D0" w:rsidRDefault="00E64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2B7BA-5851-4E0A-A6A8-5C298167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6343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34</cp:revision>
  <cp:lastPrinted>2013-04-08T19:19:00Z</cp:lastPrinted>
  <dcterms:created xsi:type="dcterms:W3CDTF">2014-01-07T19:25:00Z</dcterms:created>
  <dcterms:modified xsi:type="dcterms:W3CDTF">2014-06-21T00:47:00Z</dcterms:modified>
</cp:coreProperties>
</file>