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10E4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907F9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07F9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3D5E04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San José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9–17Jan.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3D685C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685C">
              <w:rPr>
                <w:lang w:val="en-CA"/>
              </w:rPr>
              <w:t>P0248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A35CC" w:rsidRDefault="005957AB" w:rsidP="00B80C1A">
            <w:pPr>
              <w:spacing w:before="60" w:after="60"/>
              <w:rPr>
                <w:b/>
                <w:szCs w:val="22"/>
                <w:lang w:val="en-CA"/>
              </w:rPr>
            </w:pPr>
            <w:r>
              <w:t>SCE1: Crosscheck report of SCE1</w:t>
            </w:r>
            <w:r w:rsidR="00B80C1A">
              <w:t xml:space="preserve"> test 2</w:t>
            </w:r>
            <w:r>
              <w:t xml:space="preserve"> (JCTVC-P0186)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B80C1A" w:rsidP="001D1B5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F2C2E" w:rsidRDefault="003D685C" w:rsidP="00932BCE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A.Alshin</w:t>
            </w:r>
            <w:proofErr w:type="spellEnd"/>
          </w:p>
          <w:p w:rsidR="003D685C" w:rsidRPr="005B217D" w:rsidRDefault="003D685C" w:rsidP="00932BCE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E.Alshina</w:t>
            </w:r>
            <w:proofErr w:type="spellEnd"/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F2C2E" w:rsidRDefault="001F2C2E" w:rsidP="001D1B54">
            <w:pPr>
              <w:spacing w:before="60" w:after="60"/>
            </w:pPr>
            <w:r>
              <w:t>+</w:t>
            </w:r>
            <w:r w:rsidR="003D685C">
              <w:t>82 10 30261305</w:t>
            </w:r>
          </w:p>
          <w:p w:rsidR="00E61DAC" w:rsidRPr="005B217D" w:rsidRDefault="00710E42" w:rsidP="003D685C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3D685C">
                <w:rPr>
                  <w:rStyle w:val="a6"/>
                  <w:szCs w:val="22"/>
                  <w:lang w:val="en-CA"/>
                </w:rPr>
                <w:t>elena_a.alshina@samsung</w:t>
              </w:r>
              <w:r w:rsidR="003D685C" w:rsidRPr="00DB605D">
                <w:rPr>
                  <w:rStyle w:val="a6"/>
                  <w:szCs w:val="22"/>
                  <w:lang w:val="en-CA"/>
                </w:rPr>
                <w:t>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3D685C" w:rsidP="00932B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Samsung Electronics Ltd. </w:t>
            </w:r>
            <w:r w:rsidR="001D1B54">
              <w:rPr>
                <w:szCs w:val="22"/>
                <w:lang w:val="en-CA"/>
              </w:rPr>
              <w:t>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32BCE" w:rsidRPr="00DA7406" w:rsidRDefault="003D685C" w:rsidP="00932BCE">
      <w:pPr>
        <w:jc w:val="both"/>
        <w:rPr>
          <w:szCs w:val="22"/>
        </w:rPr>
      </w:pPr>
      <w:r>
        <w:rPr>
          <w:szCs w:val="22"/>
        </w:rPr>
        <w:t xml:space="preserve">Performance of </w:t>
      </w:r>
      <w:r w:rsidR="00CB69DE">
        <w:t>combined bit-depth and color gamut conversion with 3D LUT for SHVC color gamut scalability</w:t>
      </w:r>
      <w:r>
        <w:t xml:space="preserve"> (JCTVC-P0186) is verified in this report</w:t>
      </w:r>
      <w:r w:rsidR="00932BCE">
        <w:rPr>
          <w:szCs w:val="22"/>
        </w:rPr>
        <w:t xml:space="preserve">. The simulation results </w:t>
      </w:r>
      <w:r w:rsidR="00932BCE" w:rsidRPr="007B6548">
        <w:rPr>
          <w:szCs w:val="22"/>
        </w:rPr>
        <w:t>match</w:t>
      </w:r>
      <w:r w:rsidR="00932BCE">
        <w:rPr>
          <w:szCs w:val="22"/>
        </w:rPr>
        <w:t xml:space="preserve"> those provided by the proponents.</w:t>
      </w:r>
      <w:r w:rsidR="0037558B">
        <w:rPr>
          <w:szCs w:val="22"/>
        </w:rPr>
        <w:t xml:space="preserve"> </w:t>
      </w:r>
      <w:r>
        <w:rPr>
          <w:szCs w:val="22"/>
        </w:rPr>
        <w:t xml:space="preserve">In average 3,5%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and 5,7%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BD-rate gain is confirmed for use case 1 and 7,0%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and 9,4%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BD-rate gain is confirmed for use case 2</w:t>
      </w:r>
      <w:r w:rsidR="0037558B">
        <w:rPr>
          <w:szCs w:val="22"/>
        </w:rPr>
        <w:t>.</w:t>
      </w:r>
    </w:p>
    <w:p w:rsidR="00745F6B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874DE5" w:rsidRDefault="003D685C" w:rsidP="00D5673C">
      <w:pPr>
        <w:jc w:val="both"/>
      </w:pPr>
      <w:r>
        <w:rPr>
          <w:lang w:val="en-CA"/>
        </w:rPr>
        <w:t xml:space="preserve">In verified contribution color gamut conversion is merged with bit-depth conversion. This is additional to re-sampling step in inter-layer processing.  </w:t>
      </w:r>
      <w:r w:rsidR="00330B11">
        <w:rPr>
          <w:lang w:val="en-CA"/>
        </w:rPr>
        <w:t xml:space="preserve">One </w:t>
      </w:r>
      <w:proofErr w:type="gramStart"/>
      <w:r w:rsidR="00330B11">
        <w:rPr>
          <w:lang w:val="en-CA"/>
        </w:rPr>
        <w:t xml:space="preserve">more </w:t>
      </w:r>
      <w:r w:rsidR="00874DE5">
        <w:t xml:space="preserve"> additional</w:t>
      </w:r>
      <w:proofErr w:type="gramEnd"/>
      <w:r w:rsidR="00874DE5">
        <w:t xml:space="preserve"> filtering process is indicated </w:t>
      </w:r>
      <w:r w:rsidR="00FD7B59">
        <w:t>by the</w:t>
      </w:r>
      <w:r w:rsidR="00874DE5">
        <w:t xml:space="preserve"> macros </w:t>
      </w:r>
      <w:r w:rsidR="00874DE5" w:rsidRPr="00874DE5">
        <w:t>CGS_LUMA_ENH</w:t>
      </w:r>
      <w:r w:rsidR="00874DE5">
        <w:t xml:space="preserve"> and CGS_CHROMA_ENH in the software</w:t>
      </w:r>
      <w:r w:rsidR="00330B11">
        <w:t xml:space="preserve"> provided by proponent, this was not the part of original proposal</w:t>
      </w:r>
      <w:r w:rsidR="00874DE5">
        <w:t xml:space="preserve">. </w:t>
      </w:r>
    </w:p>
    <w:p w:rsidR="00000000" w:rsidRDefault="00330B11">
      <w:pPr>
        <w:jc w:val="both"/>
      </w:pPr>
      <w:r>
        <w:t>For color gamut conversion both test 1 and test2 in SCE1 use 3D LUT methods, and so have following common features:</w:t>
      </w:r>
    </w:p>
    <w:p w:rsidR="00330B11" w:rsidRPr="00D371E8" w:rsidRDefault="00330B11" w:rsidP="00330B11">
      <w:pPr>
        <w:pStyle w:val="ab"/>
        <w:numPr>
          <w:ilvl w:val="0"/>
          <w:numId w:val="19"/>
        </w:numPr>
        <w:jc w:val="both"/>
        <w:rPr>
          <w:rFonts w:ascii="Times New Roman" w:hAnsi="Times New Roman"/>
        </w:rPr>
      </w:pPr>
      <w:r w:rsidRPr="00D371E8">
        <w:rPr>
          <w:rFonts w:ascii="Times New Roman" w:hAnsi="Times New Roman"/>
        </w:rPr>
        <w:t>There is additional step (color gamut conversion) during inter-layer processing</w:t>
      </w:r>
    </w:p>
    <w:p w:rsidR="00330B11" w:rsidRPr="00D371E8" w:rsidRDefault="00330B11" w:rsidP="00330B11">
      <w:pPr>
        <w:pStyle w:val="ab"/>
        <w:numPr>
          <w:ilvl w:val="0"/>
          <w:numId w:val="19"/>
        </w:numPr>
        <w:jc w:val="both"/>
        <w:rPr>
          <w:rFonts w:ascii="Times New Roman" w:hAnsi="Times New Roman"/>
        </w:rPr>
      </w:pPr>
      <w:r w:rsidRPr="00D371E8">
        <w:rPr>
          <w:rFonts w:ascii="Times New Roman" w:hAnsi="Times New Roman"/>
        </w:rPr>
        <w:t>This additional step is cross-color filtering (both 3 components are input for each color plan processing):</w:t>
      </w:r>
    </w:p>
    <w:p w:rsidR="00330B11" w:rsidRPr="00D371E8" w:rsidRDefault="00330B11" w:rsidP="00330B11">
      <w:pPr>
        <w:ind w:left="220" w:firstLineChars="50" w:firstLine="110"/>
        <w:jc w:val="both"/>
      </w:pPr>
      <w:r w:rsidRPr="00D371E8">
        <w:t>Y</w:t>
      </w:r>
      <w:r w:rsidRPr="00D371E8">
        <w:rPr>
          <w:vertAlign w:val="subscript"/>
        </w:rPr>
        <w:t>BT2020</w:t>
      </w:r>
      <w:r w:rsidRPr="00D371E8">
        <w:t>=g</w:t>
      </w:r>
      <w:r w:rsidRPr="00D371E8">
        <w:rPr>
          <w:vertAlign w:val="subscript"/>
        </w:rPr>
        <w:t>00</w:t>
      </w:r>
      <w:r w:rsidRPr="00D371E8">
        <w:t>Y</w:t>
      </w:r>
      <w:r w:rsidRPr="00D371E8">
        <w:rPr>
          <w:vertAlign w:val="subscript"/>
        </w:rPr>
        <w:t xml:space="preserve"> BT709</w:t>
      </w:r>
      <w:r w:rsidRPr="00D371E8">
        <w:t>+ g</w:t>
      </w:r>
      <w:r w:rsidRPr="00D371E8">
        <w:rPr>
          <w:vertAlign w:val="subscript"/>
        </w:rPr>
        <w:t>01</w:t>
      </w:r>
      <w:r w:rsidRPr="00D371E8">
        <w:t>Cb</w:t>
      </w:r>
      <w:r w:rsidRPr="00D371E8">
        <w:rPr>
          <w:vertAlign w:val="subscript"/>
        </w:rPr>
        <w:t xml:space="preserve"> BT709</w:t>
      </w:r>
      <w:r w:rsidRPr="00D371E8">
        <w:t>+ g</w:t>
      </w:r>
      <w:r w:rsidRPr="00D371E8">
        <w:rPr>
          <w:vertAlign w:val="subscript"/>
        </w:rPr>
        <w:t>02</w:t>
      </w:r>
      <w:r w:rsidRPr="00D371E8">
        <w:t>Cr</w:t>
      </w:r>
      <w:r w:rsidRPr="00D371E8">
        <w:rPr>
          <w:vertAlign w:val="subscript"/>
        </w:rPr>
        <w:t xml:space="preserve"> BT709</w:t>
      </w:r>
      <w:r w:rsidRPr="00D371E8">
        <w:t>+</w:t>
      </w:r>
      <w:r w:rsidRPr="00D371E8">
        <w:rPr>
          <w:lang w:eastAsia="ko-KR"/>
        </w:rPr>
        <w:t>o</w:t>
      </w:r>
      <w:r w:rsidRPr="00D371E8">
        <w:rPr>
          <w:vertAlign w:val="subscript"/>
          <w:lang w:eastAsia="ko-KR"/>
        </w:rPr>
        <w:t>0</w:t>
      </w:r>
    </w:p>
    <w:p w:rsidR="00330B11" w:rsidRPr="00D371E8" w:rsidRDefault="00330B11" w:rsidP="00330B11">
      <w:pPr>
        <w:ind w:left="220" w:firstLineChars="50" w:firstLine="110"/>
        <w:jc w:val="both"/>
      </w:pPr>
      <w:r w:rsidRPr="00D371E8">
        <w:t>Cb</w:t>
      </w:r>
      <w:r w:rsidRPr="00D371E8">
        <w:rPr>
          <w:vertAlign w:val="subscript"/>
        </w:rPr>
        <w:t>BT2020</w:t>
      </w:r>
      <w:r w:rsidRPr="00D371E8">
        <w:t>=g</w:t>
      </w:r>
      <w:r w:rsidRPr="00D371E8">
        <w:rPr>
          <w:vertAlign w:val="subscript"/>
        </w:rPr>
        <w:t>10</w:t>
      </w:r>
      <w:r w:rsidRPr="00D371E8">
        <w:t>Y</w:t>
      </w:r>
      <w:r w:rsidRPr="00D371E8">
        <w:rPr>
          <w:vertAlign w:val="subscript"/>
        </w:rPr>
        <w:t xml:space="preserve"> BT709</w:t>
      </w:r>
      <w:r w:rsidRPr="00D371E8">
        <w:t>+ g</w:t>
      </w:r>
      <w:r w:rsidRPr="00D371E8">
        <w:rPr>
          <w:vertAlign w:val="subscript"/>
        </w:rPr>
        <w:t>11</w:t>
      </w:r>
      <w:r w:rsidRPr="00D371E8">
        <w:t>Cb</w:t>
      </w:r>
      <w:r w:rsidRPr="00D371E8">
        <w:rPr>
          <w:vertAlign w:val="subscript"/>
        </w:rPr>
        <w:t xml:space="preserve"> BT709</w:t>
      </w:r>
      <w:r w:rsidRPr="00D371E8">
        <w:t>+ g</w:t>
      </w:r>
      <w:r w:rsidRPr="00D371E8">
        <w:rPr>
          <w:vertAlign w:val="subscript"/>
        </w:rPr>
        <w:t>12</w:t>
      </w:r>
      <w:r w:rsidRPr="00D371E8">
        <w:t>Cr</w:t>
      </w:r>
      <w:r w:rsidRPr="00D371E8">
        <w:rPr>
          <w:vertAlign w:val="subscript"/>
        </w:rPr>
        <w:t xml:space="preserve"> BT709</w:t>
      </w:r>
      <w:r w:rsidRPr="00D371E8">
        <w:t>+</w:t>
      </w:r>
      <w:r w:rsidRPr="00D371E8">
        <w:rPr>
          <w:lang w:eastAsia="ko-KR"/>
        </w:rPr>
        <w:t>o</w:t>
      </w:r>
      <w:r w:rsidRPr="00D371E8">
        <w:rPr>
          <w:vertAlign w:val="subscript"/>
          <w:lang w:eastAsia="ko-KR"/>
        </w:rPr>
        <w:t>0</w:t>
      </w:r>
    </w:p>
    <w:p w:rsidR="00330B11" w:rsidRPr="00D371E8" w:rsidRDefault="00330B11" w:rsidP="00330B11">
      <w:pPr>
        <w:ind w:left="220" w:firstLineChars="50" w:firstLine="110"/>
        <w:jc w:val="both"/>
      </w:pPr>
      <w:r w:rsidRPr="00D371E8">
        <w:t>C</w:t>
      </w:r>
      <w:r w:rsidRPr="00D371E8">
        <w:rPr>
          <w:lang w:eastAsia="ko-KR"/>
        </w:rPr>
        <w:t>r</w:t>
      </w:r>
      <w:r w:rsidRPr="00D371E8">
        <w:rPr>
          <w:vertAlign w:val="subscript"/>
        </w:rPr>
        <w:t>BT2020</w:t>
      </w:r>
      <w:r w:rsidRPr="00D371E8">
        <w:t>=g</w:t>
      </w:r>
      <w:r w:rsidRPr="00D371E8">
        <w:rPr>
          <w:vertAlign w:val="subscript"/>
          <w:lang w:eastAsia="ko-KR"/>
        </w:rPr>
        <w:t>2</w:t>
      </w:r>
      <w:r w:rsidRPr="00D371E8">
        <w:rPr>
          <w:vertAlign w:val="subscript"/>
        </w:rPr>
        <w:t>0</w:t>
      </w:r>
      <w:r w:rsidRPr="00D371E8">
        <w:t>Y</w:t>
      </w:r>
      <w:r w:rsidRPr="00D371E8">
        <w:rPr>
          <w:vertAlign w:val="subscript"/>
        </w:rPr>
        <w:t xml:space="preserve"> BT709</w:t>
      </w:r>
      <w:r w:rsidRPr="00D371E8">
        <w:t>+ g</w:t>
      </w:r>
      <w:r w:rsidRPr="00D371E8">
        <w:rPr>
          <w:vertAlign w:val="subscript"/>
          <w:lang w:eastAsia="ko-KR"/>
        </w:rPr>
        <w:t>2</w:t>
      </w:r>
      <w:r w:rsidRPr="00D371E8">
        <w:rPr>
          <w:vertAlign w:val="subscript"/>
        </w:rPr>
        <w:t>1</w:t>
      </w:r>
      <w:r w:rsidRPr="00D371E8">
        <w:t>Cb</w:t>
      </w:r>
      <w:r w:rsidRPr="00D371E8">
        <w:rPr>
          <w:vertAlign w:val="subscript"/>
        </w:rPr>
        <w:t xml:space="preserve"> BT709</w:t>
      </w:r>
      <w:r w:rsidRPr="00D371E8">
        <w:t>+ g</w:t>
      </w:r>
      <w:r w:rsidRPr="00D371E8">
        <w:rPr>
          <w:vertAlign w:val="subscript"/>
          <w:lang w:eastAsia="ko-KR"/>
        </w:rPr>
        <w:t>2</w:t>
      </w:r>
      <w:r w:rsidRPr="00D371E8">
        <w:rPr>
          <w:vertAlign w:val="subscript"/>
        </w:rPr>
        <w:t>2</w:t>
      </w:r>
      <w:r w:rsidRPr="00D371E8">
        <w:t>Cr</w:t>
      </w:r>
      <w:r w:rsidRPr="00D371E8">
        <w:rPr>
          <w:vertAlign w:val="subscript"/>
        </w:rPr>
        <w:t xml:space="preserve"> BT709</w:t>
      </w:r>
      <w:r w:rsidRPr="00D371E8">
        <w:t>+</w:t>
      </w:r>
      <w:r w:rsidRPr="00D371E8">
        <w:rPr>
          <w:lang w:eastAsia="ko-KR"/>
        </w:rPr>
        <w:t>o</w:t>
      </w:r>
      <w:r w:rsidRPr="00D371E8">
        <w:rPr>
          <w:vertAlign w:val="subscript"/>
          <w:lang w:eastAsia="ko-KR"/>
        </w:rPr>
        <w:t>0</w:t>
      </w:r>
    </w:p>
    <w:p w:rsidR="00330B11" w:rsidRPr="00D371E8" w:rsidRDefault="00330B11" w:rsidP="00330B11">
      <w:pPr>
        <w:pStyle w:val="ab"/>
        <w:numPr>
          <w:ilvl w:val="0"/>
          <w:numId w:val="19"/>
        </w:numPr>
        <w:jc w:val="both"/>
        <w:rPr>
          <w:rFonts w:ascii="Times New Roman" w:hAnsi="Times New Roman"/>
        </w:rPr>
      </w:pPr>
      <w:r w:rsidRPr="00D371E8">
        <w:rPr>
          <w:rFonts w:ascii="Times New Roman" w:hAnsi="Times New Roman"/>
        </w:rPr>
        <w:t>This cross-color filter coefficients</w:t>
      </w:r>
      <w:r w:rsidRPr="00D371E8">
        <w:rPr>
          <w:rFonts w:ascii="Times New Roman" w:hAnsi="Times New Roman"/>
          <w:lang w:eastAsia="ko-KR"/>
        </w:rPr>
        <w:t xml:space="preserve"> </w:t>
      </w:r>
      <w:r w:rsidRPr="00D371E8">
        <w:rPr>
          <w:rFonts w:ascii="Times New Roman" w:hAnsi="Times New Roman"/>
        </w:rPr>
        <w:t>(g</w:t>
      </w:r>
      <w:r>
        <w:rPr>
          <w:rFonts w:ascii="Times New Roman" w:eastAsiaTheme="minorEastAsia" w:hAnsi="Times New Roman" w:hint="eastAsia"/>
          <w:lang w:eastAsia="ko-KR"/>
        </w:rPr>
        <w:t>, o</w:t>
      </w:r>
      <w:r w:rsidRPr="00D371E8">
        <w:rPr>
          <w:rFonts w:ascii="Times New Roman" w:hAnsi="Times New Roman"/>
        </w:rPr>
        <w:t xml:space="preserve">) are supposed to have non-linear dependency on </w:t>
      </w:r>
      <w:proofErr w:type="spellStart"/>
      <w:r w:rsidRPr="00D371E8">
        <w:rPr>
          <w:rFonts w:ascii="Times New Roman" w:hAnsi="Times New Roman"/>
        </w:rPr>
        <w:t>Y</w:t>
      </w:r>
      <w:proofErr w:type="gramStart"/>
      <w:r w:rsidRPr="00D371E8">
        <w:rPr>
          <w:rFonts w:ascii="Times New Roman" w:hAnsi="Times New Roman"/>
        </w:rPr>
        <w:t>,</w:t>
      </w:r>
      <w:r w:rsidRPr="00D371E8">
        <w:rPr>
          <w:rFonts w:ascii="Times New Roman" w:hAnsi="Times New Roman"/>
          <w:lang w:eastAsia="ko-KR"/>
        </w:rPr>
        <w:t>Cb,Cr</w:t>
      </w:r>
      <w:proofErr w:type="spellEnd"/>
      <w:proofErr w:type="gramEnd"/>
      <w:r w:rsidRPr="00D371E8">
        <w:rPr>
          <w:rFonts w:ascii="Times New Roman" w:hAnsi="Times New Roman"/>
          <w:lang w:eastAsia="ko-KR"/>
        </w:rPr>
        <w:t xml:space="preserve"> position in color space.</w:t>
      </w:r>
      <w:r w:rsidRPr="00D371E8">
        <w:rPr>
          <w:rFonts w:ascii="Times New Roman" w:hAnsi="Times New Roman"/>
        </w:rPr>
        <w:t xml:space="preserve"> </w:t>
      </w:r>
    </w:p>
    <w:p w:rsidR="00330B11" w:rsidRDefault="00330B11" w:rsidP="00330B11">
      <w:pPr>
        <w:ind w:firstLineChars="50" w:firstLine="110"/>
        <w:jc w:val="both"/>
        <w:rPr>
          <w:rStyle w:val="mw-headline"/>
          <w:lang w:eastAsia="ko-KR"/>
        </w:rPr>
      </w:pPr>
      <w:proofErr w:type="gramStart"/>
      <w:r>
        <w:rPr>
          <w:rFonts w:hint="eastAsia"/>
          <w:lang w:eastAsia="ko-KR"/>
        </w:rPr>
        <w:t>So 3D LUT</w:t>
      </w:r>
      <w:r>
        <w:rPr>
          <w:rFonts w:hint="eastAsia"/>
        </w:rPr>
        <w:t xml:space="preserve"> technique is </w:t>
      </w:r>
      <w:r>
        <w:t>especially effective</w:t>
      </w:r>
      <w:r>
        <w:rPr>
          <w:rFonts w:hint="eastAsia"/>
        </w:rPr>
        <w:t xml:space="preserve"> if mapping </w:t>
      </w:r>
      <w:r>
        <w:t>between</w:t>
      </w:r>
      <w:r>
        <w:rPr>
          <w:rFonts w:hint="eastAsia"/>
        </w:rPr>
        <w:t xml:space="preserve"> two color </w:t>
      </w:r>
      <w:proofErr w:type="spellStart"/>
      <w:r>
        <w:t>gamuts</w:t>
      </w:r>
      <w:proofErr w:type="spellEnd"/>
      <w:r>
        <w:rPr>
          <w:rFonts w:hint="eastAsia"/>
        </w:rPr>
        <w:t xml:space="preserve"> is </w:t>
      </w:r>
      <w:r>
        <w:t>essentially nonlinear</w:t>
      </w:r>
      <w:r>
        <w:rPr>
          <w:rFonts w:hint="eastAsia"/>
        </w:rPr>
        <w:t>.</w:t>
      </w:r>
      <w:proofErr w:type="gramEnd"/>
      <w:r>
        <w:rPr>
          <w:rFonts w:hint="eastAsia"/>
        </w:rPr>
        <w:t xml:space="preserve"> From the other hand if we carry out linear multi regression </w:t>
      </w:r>
      <w:r>
        <w:t>analysis</w:t>
      </w:r>
      <w:r>
        <w:rPr>
          <w:rFonts w:hint="eastAsia"/>
        </w:rPr>
        <w:t xml:space="preserve"> for videos </w:t>
      </w:r>
      <w:r>
        <w:t>which</w:t>
      </w:r>
      <w:r>
        <w:rPr>
          <w:rFonts w:hint="eastAsia"/>
        </w:rPr>
        <w:t xml:space="preserve"> are </w:t>
      </w:r>
      <w:r>
        <w:t>shown</w:t>
      </w:r>
      <w:r>
        <w:rPr>
          <w:rFonts w:hint="eastAsia"/>
        </w:rPr>
        <w:t xml:space="preserve"> on fig. 1, where </w:t>
      </w:r>
      <w:proofErr w:type="spellStart"/>
      <w:r>
        <w:rPr>
          <w:rFonts w:hint="eastAsia"/>
        </w:rPr>
        <w:t>luma</w:t>
      </w:r>
      <w:proofErr w:type="spellEnd"/>
      <w:r>
        <w:rPr>
          <w:rFonts w:hint="eastAsia"/>
        </w:rPr>
        <w:t xml:space="preserve"> and two </w:t>
      </w:r>
      <w:proofErr w:type="spellStart"/>
      <w:r>
        <w:rPr>
          <w:rFonts w:hint="eastAsia"/>
        </w:rPr>
        <w:t>chroma</w:t>
      </w:r>
      <w:proofErr w:type="spellEnd"/>
      <w:r>
        <w:rPr>
          <w:rFonts w:hint="eastAsia"/>
        </w:rPr>
        <w:t xml:space="preserve"> </w:t>
      </w:r>
      <w:r>
        <w:t>components</w:t>
      </w:r>
      <w:r>
        <w:rPr>
          <w:rFonts w:hint="eastAsia"/>
        </w:rPr>
        <w:t xml:space="preserve"> of base layer will be </w:t>
      </w:r>
      <w:r>
        <w:t>independent variables</w:t>
      </w:r>
      <w:r>
        <w:rPr>
          <w:rFonts w:hint="eastAsia"/>
        </w:rPr>
        <w:t xml:space="preserve"> and for example corresponding </w:t>
      </w:r>
      <w:proofErr w:type="spellStart"/>
      <w:r>
        <w:rPr>
          <w:rFonts w:hint="eastAsia"/>
        </w:rPr>
        <w:t>luma</w:t>
      </w:r>
      <w:proofErr w:type="spellEnd"/>
      <w:r>
        <w:rPr>
          <w:rFonts w:hint="eastAsia"/>
        </w:rPr>
        <w:t xml:space="preserve"> component on </w:t>
      </w:r>
      <w:r>
        <w:t>enhancement</w:t>
      </w:r>
      <w:r>
        <w:rPr>
          <w:rFonts w:hint="eastAsia"/>
        </w:rPr>
        <w:t xml:space="preserve"> layer will be </w:t>
      </w:r>
      <w:r>
        <w:rPr>
          <w:rStyle w:val="mw-headline"/>
        </w:rPr>
        <w:t>dependent variable</w:t>
      </w:r>
      <w:r>
        <w:rPr>
          <w:rStyle w:val="mw-headline"/>
          <w:rFonts w:hint="eastAsia"/>
        </w:rPr>
        <w:t xml:space="preserve">. For this </w:t>
      </w:r>
      <w:r>
        <w:rPr>
          <w:rStyle w:val="mw-headline"/>
        </w:rPr>
        <w:t>experiment</w:t>
      </w:r>
      <w:r>
        <w:rPr>
          <w:rStyle w:val="mw-headline"/>
          <w:rFonts w:hint="eastAsia"/>
        </w:rPr>
        <w:t xml:space="preserve"> R-square statistic is </w:t>
      </w:r>
      <w:r w:rsidRPr="00567A73">
        <w:rPr>
          <w:rStyle w:val="mw-headline"/>
        </w:rPr>
        <w:t>0.994</w:t>
      </w:r>
      <w:r>
        <w:rPr>
          <w:rStyle w:val="mw-headline"/>
          <w:rFonts w:hint="eastAsia"/>
        </w:rPr>
        <w:t xml:space="preserve"> which means that linear model for current content is very precise in spite of it was applied for whole frame. </w:t>
      </w:r>
      <w:r>
        <w:rPr>
          <w:rStyle w:val="mw-headline"/>
          <w:rFonts w:hint="eastAsia"/>
          <w:lang w:eastAsia="ko-KR"/>
        </w:rPr>
        <w:t xml:space="preserve">This means that at least for original signal linear model (g and o do not depend on </w:t>
      </w:r>
      <w:proofErr w:type="spellStart"/>
      <w:r>
        <w:t>Y</w:t>
      </w:r>
      <w:proofErr w:type="gramStart"/>
      <w:r>
        <w:t>,</w:t>
      </w:r>
      <w:r>
        <w:rPr>
          <w:rFonts w:hint="eastAsia"/>
          <w:lang w:eastAsia="ko-KR"/>
        </w:rPr>
        <w:t>Cb,Cr</w:t>
      </w:r>
      <w:proofErr w:type="spellEnd"/>
      <w:proofErr w:type="gramEnd"/>
      <w:r>
        <w:rPr>
          <w:rFonts w:hint="eastAsia"/>
          <w:lang w:eastAsia="ko-KR"/>
        </w:rPr>
        <w:t xml:space="preserve"> position in color space</w:t>
      </w:r>
      <w:r>
        <w:rPr>
          <w:rStyle w:val="mw-headline"/>
          <w:rFonts w:hint="eastAsia"/>
          <w:lang w:eastAsia="ko-KR"/>
        </w:rPr>
        <w:t>) should be enough for color gamut conversion. This variant was not studied in SCE1.</w:t>
      </w:r>
    </w:p>
    <w:p w:rsidR="00330B11" w:rsidRPr="00066259" w:rsidRDefault="00330B11" w:rsidP="00330B11"/>
    <w:p w:rsidR="00330B11" w:rsidRDefault="00C160FD" w:rsidP="00330B11">
      <w:pPr>
        <w:ind w:firstLineChars="50" w:firstLine="110"/>
      </w:pPr>
      <w:r>
        <w:rPr>
          <w:noProof/>
          <w:lang w:eastAsia="ko-KR"/>
        </w:rPr>
        <w:lastRenderedPageBreak/>
        <w:drawing>
          <wp:inline distT="0" distB="0" distL="0" distR="0">
            <wp:extent cx="2723402" cy="1525405"/>
            <wp:effectExtent l="19050" t="0" r="748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123" cy="1526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0B11">
        <w:rPr>
          <w:rFonts w:hint="eastAsia"/>
        </w:rPr>
        <w:t xml:space="preserve">  </w:t>
      </w:r>
      <w:r>
        <w:rPr>
          <w:noProof/>
          <w:lang w:eastAsia="ko-KR"/>
        </w:rPr>
        <w:drawing>
          <wp:inline distT="0" distB="0" distL="0" distR="0">
            <wp:extent cx="2724150" cy="1536458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614" cy="1537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0B11">
        <w:rPr>
          <w:rFonts w:hint="eastAsia"/>
        </w:rPr>
        <w:t xml:space="preserve"> </w:t>
      </w:r>
    </w:p>
    <w:p w:rsidR="00330B11" w:rsidRDefault="00330B11" w:rsidP="00330B11">
      <w:pPr>
        <w:ind w:firstLineChars="50" w:firstLine="80"/>
        <w:rPr>
          <w:sz w:val="16"/>
          <w:szCs w:val="16"/>
        </w:rPr>
      </w:pPr>
      <w:proofErr w:type="gramStart"/>
      <w:r w:rsidRPr="008F080F">
        <w:rPr>
          <w:rFonts w:hint="eastAsia"/>
          <w:sz w:val="16"/>
          <w:szCs w:val="16"/>
        </w:rPr>
        <w:t>Fig 1.</w:t>
      </w:r>
      <w:proofErr w:type="gramEnd"/>
      <w:r w:rsidRPr="008F080F">
        <w:rPr>
          <w:rFonts w:hint="eastAsia"/>
          <w:sz w:val="16"/>
          <w:szCs w:val="16"/>
        </w:rPr>
        <w:t xml:space="preserve"> Left </w:t>
      </w:r>
      <w:r w:rsidRPr="008F080F">
        <w:rPr>
          <w:sz w:val="16"/>
          <w:szCs w:val="16"/>
        </w:rPr>
        <w:t>BT2020_Parakeets_3840x2160_50_10bit.yuv</w:t>
      </w:r>
      <w:r w:rsidRPr="008F080F">
        <w:rPr>
          <w:rFonts w:hint="eastAsia"/>
          <w:sz w:val="16"/>
          <w:szCs w:val="16"/>
        </w:rPr>
        <w:t xml:space="preserve">, right </w:t>
      </w:r>
      <w:r w:rsidRPr="008F080F">
        <w:rPr>
          <w:sz w:val="16"/>
          <w:szCs w:val="16"/>
        </w:rPr>
        <w:t>BT709_Parakeets_1920x1080_50_zerophase_0.9pi.yuv</w:t>
      </w:r>
    </w:p>
    <w:p w:rsidR="00330B11" w:rsidRDefault="00330B11" w:rsidP="00330B11">
      <w:pPr>
        <w:ind w:firstLineChars="50" w:firstLine="80"/>
        <w:rPr>
          <w:sz w:val="16"/>
          <w:szCs w:val="16"/>
        </w:rPr>
      </w:pPr>
    </w:p>
    <w:p w:rsidR="00F55C1F" w:rsidRDefault="00330B11" w:rsidP="00F55C1F">
      <w:pPr>
        <w:ind w:firstLineChars="50" w:firstLine="110"/>
        <w:jc w:val="both"/>
        <w:rPr>
          <w:rFonts w:hint="eastAsia"/>
          <w:lang w:eastAsia="ko-KR"/>
        </w:rPr>
      </w:pPr>
      <w:r>
        <w:rPr>
          <w:rStyle w:val="mw-headline"/>
          <w:rFonts w:hint="eastAsia"/>
        </w:rPr>
        <w:t xml:space="preserve">Another important feature of this technique is </w:t>
      </w:r>
      <w:r w:rsidRPr="00DF6D9B">
        <w:rPr>
          <w:rStyle w:val="mw-headline"/>
        </w:rPr>
        <w:t>adaptability</w:t>
      </w:r>
      <w:r>
        <w:rPr>
          <w:rStyle w:val="mw-headline"/>
          <w:rFonts w:hint="eastAsia"/>
        </w:rPr>
        <w:t xml:space="preserve">. It means that current method can be </w:t>
      </w:r>
      <w:r>
        <w:rPr>
          <w:rStyle w:val="mw-headline"/>
        </w:rPr>
        <w:t>interpreted</w:t>
      </w:r>
      <w:r>
        <w:rPr>
          <w:rStyle w:val="mw-headline"/>
          <w:rFonts w:hint="eastAsia"/>
        </w:rPr>
        <w:t xml:space="preserve"> as adaptive </w:t>
      </w:r>
      <w:r>
        <w:rPr>
          <w:rStyle w:val="mw-headline"/>
          <w:rFonts w:hint="eastAsia"/>
          <w:lang w:eastAsia="ko-KR"/>
        </w:rPr>
        <w:t xml:space="preserve">cross-color inter-layer </w:t>
      </w:r>
      <w:r>
        <w:rPr>
          <w:rStyle w:val="mw-headline"/>
          <w:rFonts w:hint="eastAsia"/>
        </w:rPr>
        <w:t xml:space="preserve">filter and can provide some gain </w:t>
      </w:r>
      <w:r>
        <w:rPr>
          <w:rStyle w:val="mw-headline"/>
        </w:rPr>
        <w:t>even if</w:t>
      </w:r>
      <w:r>
        <w:rPr>
          <w:rStyle w:val="mw-headline"/>
          <w:rFonts w:hint="eastAsia"/>
        </w:rPr>
        <w:t xml:space="preserve"> both videos belong to same color space. As was </w:t>
      </w:r>
      <w:r>
        <w:t>expected</w:t>
      </w:r>
      <w:r>
        <w:rPr>
          <w:rFonts w:hint="eastAsia"/>
        </w:rPr>
        <w:t xml:space="preserve"> experiment results are </w:t>
      </w:r>
      <w:r>
        <w:t>definitely</w:t>
      </w:r>
      <w:r>
        <w:rPr>
          <w:rFonts w:hint="eastAsia"/>
        </w:rPr>
        <w:t xml:space="preserve"> confirmed this assumption. The application</w:t>
      </w:r>
      <w:r>
        <w:rPr>
          <w:rStyle w:val="mw-headline"/>
          <w:rFonts w:hint="eastAsia"/>
        </w:rPr>
        <w:t xml:space="preserve"> of </w:t>
      </w:r>
      <w:r w:rsidRPr="00AF5693">
        <w:t>CGS 3D L</w:t>
      </w:r>
      <w:r>
        <w:rPr>
          <w:rFonts w:hint="eastAsia"/>
        </w:rPr>
        <w:t xml:space="preserve">UT to </w:t>
      </w:r>
      <w:r>
        <w:t>usual</w:t>
      </w:r>
      <w:r>
        <w:rPr>
          <w:rFonts w:hint="eastAsia"/>
        </w:rPr>
        <w:t xml:space="preserve"> content shows </w:t>
      </w:r>
      <w:r>
        <w:t>noticeable</w:t>
      </w:r>
      <w:r>
        <w:rPr>
          <w:rFonts w:hint="eastAsia"/>
        </w:rPr>
        <w:t xml:space="preserve"> gain especially for </w:t>
      </w:r>
      <w:proofErr w:type="spellStart"/>
      <w:r>
        <w:rPr>
          <w:rFonts w:hint="eastAsia"/>
        </w:rPr>
        <w:t>chroma</w:t>
      </w:r>
      <w:proofErr w:type="spellEnd"/>
      <w:r>
        <w:rPr>
          <w:rFonts w:hint="eastAsia"/>
        </w:rPr>
        <w:t xml:space="preserve"> components</w:t>
      </w:r>
      <w:r>
        <w:rPr>
          <w:rStyle w:val="mw-headline"/>
          <w:rFonts w:hint="eastAsia"/>
        </w:rPr>
        <w:t xml:space="preserve">. </w:t>
      </w:r>
      <w:r>
        <w:rPr>
          <w:rFonts w:hint="eastAsia"/>
          <w:lang w:eastAsia="ko-KR"/>
        </w:rPr>
        <w:t xml:space="preserve">It should be mentioned that essentially higher gain was demonstrated by cross-color inter-layer filtering in </w:t>
      </w:r>
      <w:r>
        <w:rPr>
          <w:lang w:eastAsia="ko-KR"/>
        </w:rPr>
        <w:t>previous</w:t>
      </w:r>
      <w:r>
        <w:rPr>
          <w:rFonts w:hint="eastAsia"/>
          <w:lang w:eastAsia="ko-KR"/>
        </w:rPr>
        <w:t xml:space="preserve"> SCE3-4</w:t>
      </w:r>
      <w:r w:rsidR="00F55C1F" w:rsidRPr="00F55C1F">
        <w:rPr>
          <w:rFonts w:asciiTheme="minorHAnsi" w:hAnsiTheme="minorHAnsi" w:cs="NSimSun" w:hint="eastAsia"/>
          <w:sz w:val="19"/>
          <w:szCs w:val="19"/>
          <w:lang w:eastAsia="ko-KR"/>
        </w:rPr>
        <w:t>.</w:t>
      </w:r>
      <w:r w:rsidR="00F55C1F">
        <w:rPr>
          <w:rFonts w:asciiTheme="minorHAnsi" w:hAnsiTheme="minorHAnsi" w:cs="NSimSun" w:hint="eastAsia"/>
          <w:sz w:val="19"/>
          <w:szCs w:val="19"/>
          <w:lang w:eastAsia="ko-KR"/>
        </w:rPr>
        <w:t xml:space="preserve"> Table 1 reports additional tests results. </w:t>
      </w:r>
      <w:proofErr w:type="spellStart"/>
      <w:r w:rsidR="00F55C1F">
        <w:rPr>
          <w:rFonts w:asciiTheme="minorHAnsi" w:hAnsiTheme="minorHAnsi" w:cs="NSimSun" w:hint="eastAsia"/>
          <w:sz w:val="19"/>
          <w:szCs w:val="19"/>
          <w:lang w:eastAsia="ko-KR"/>
        </w:rPr>
        <w:t>Int</w:t>
      </w:r>
      <w:proofErr w:type="spellEnd"/>
      <w:r w:rsidR="00F55C1F">
        <w:rPr>
          <w:rFonts w:asciiTheme="minorHAnsi" w:hAnsiTheme="minorHAnsi" w:cs="NSimSun" w:hint="eastAsia"/>
          <w:sz w:val="19"/>
          <w:szCs w:val="19"/>
          <w:lang w:eastAsia="ko-KR"/>
        </w:rPr>
        <w:t xml:space="preserve"> </w:t>
      </w:r>
      <w:r w:rsidR="00F55C1F">
        <w:rPr>
          <w:rFonts w:asciiTheme="minorHAnsi" w:hAnsiTheme="minorHAnsi" w:cs="NSimSun"/>
          <w:sz w:val="19"/>
          <w:szCs w:val="19"/>
          <w:lang w:eastAsia="ko-KR"/>
        </w:rPr>
        <w:t>his</w:t>
      </w:r>
      <w:r w:rsidR="00F55C1F">
        <w:rPr>
          <w:rFonts w:asciiTheme="minorHAnsi" w:hAnsiTheme="minorHAnsi" w:cs="NSimSun" w:hint="eastAsia"/>
          <w:sz w:val="19"/>
          <w:szCs w:val="19"/>
          <w:lang w:eastAsia="ko-KR"/>
        </w:rPr>
        <w:t xml:space="preserve"> test </w:t>
      </w:r>
      <w:r w:rsidR="00F55C1F">
        <w:rPr>
          <w:rFonts w:hint="eastAsia"/>
          <w:lang w:eastAsia="ko-KR"/>
        </w:rPr>
        <w:t xml:space="preserve">verified s/w was tested under common test condition, using test sequences with the same </w:t>
      </w:r>
      <w:proofErr w:type="spellStart"/>
      <w:r w:rsidR="00F55C1F">
        <w:rPr>
          <w:rFonts w:hint="eastAsia"/>
          <w:lang w:eastAsia="ko-KR"/>
        </w:rPr>
        <w:t>gaumt</w:t>
      </w:r>
      <w:proofErr w:type="spellEnd"/>
      <w:r w:rsidR="00F55C1F">
        <w:rPr>
          <w:rFonts w:hint="eastAsia"/>
          <w:lang w:eastAsia="ko-KR"/>
        </w:rPr>
        <w:t xml:space="preserve"> on base and enhancement layers.</w:t>
      </w:r>
    </w:p>
    <w:p w:rsidR="00330B11" w:rsidRPr="00F55C1F" w:rsidRDefault="00F55C1F" w:rsidP="00F55C1F">
      <w:pPr>
        <w:ind w:firstLineChars="50" w:firstLine="110"/>
        <w:jc w:val="both"/>
        <w:rPr>
          <w:rFonts w:asciiTheme="minorHAnsi" w:hAnsiTheme="minorHAnsi" w:cs="NSimSun"/>
          <w:sz w:val="19"/>
          <w:szCs w:val="19"/>
          <w:lang w:eastAsia="zh-CN"/>
        </w:rPr>
      </w:pPr>
      <w:r w:rsidRPr="00F55C1F">
        <w:rPr>
          <w:lang w:eastAsia="ko-KR"/>
        </w:rPr>
        <w:drawing>
          <wp:inline distT="0" distB="0" distL="0" distR="0">
            <wp:extent cx="5936615" cy="3343910"/>
            <wp:effectExtent l="19050" t="0" r="6985" b="0"/>
            <wp:docPr id="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34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ko-KR"/>
        </w:rPr>
        <w:t xml:space="preserve"> </w:t>
      </w:r>
    </w:p>
    <w:p w:rsidR="00932BCE" w:rsidRPr="00E1734F" w:rsidRDefault="00932BCE" w:rsidP="00E1734F">
      <w:pPr>
        <w:pStyle w:val="1"/>
        <w:ind w:left="360" w:hanging="360"/>
        <w:rPr>
          <w:lang w:val="en-CA"/>
        </w:rPr>
      </w:pPr>
      <w:r w:rsidRPr="00E1734F">
        <w:rPr>
          <w:lang w:val="en-CA"/>
        </w:rPr>
        <w:t>Experimental results</w:t>
      </w:r>
      <w:bookmarkStart w:id="0" w:name="_GoBack"/>
      <w:bookmarkEnd w:id="0"/>
    </w:p>
    <w:p w:rsidR="00932BCE" w:rsidRDefault="00932BCE" w:rsidP="00932BCE">
      <w:pPr>
        <w:jc w:val="both"/>
        <w:rPr>
          <w:rFonts w:hint="eastAsia"/>
          <w:lang w:eastAsia="ko-KR"/>
        </w:rPr>
      </w:pPr>
      <w:r>
        <w:t>We received the source code from the proponents, implemented in SHM-</w:t>
      </w:r>
      <w:r w:rsidR="00DC5C7C">
        <w:t>4</w:t>
      </w:r>
      <w:r>
        <w:t>.0</w:t>
      </w:r>
      <w:r w:rsidR="00DC5C7C">
        <w:t xml:space="preserve"> SCE1 anchor</w:t>
      </w:r>
      <w:r>
        <w:t xml:space="preserve">, and did a code study to verify </w:t>
      </w:r>
      <w:r w:rsidR="000C7BCA">
        <w:t>whether</w:t>
      </w:r>
      <w:r>
        <w:t xml:space="preserve"> the proposed method was implemented as described. We ran simulations </w:t>
      </w:r>
      <w:r w:rsidR="00802024">
        <w:t xml:space="preserve">for </w:t>
      </w:r>
      <w:r w:rsidR="00A0414C">
        <w:t xml:space="preserve">the cases of AI-2x, RA-2x with SCE4 test </w:t>
      </w:r>
      <w:proofErr w:type="gramStart"/>
      <w:r w:rsidR="00A0414C">
        <w:t>sequences</w:t>
      </w:r>
      <w:proofErr w:type="gramEnd"/>
      <w:r w:rsidR="00710E42">
        <w:fldChar w:fldCharType="begin"/>
      </w:r>
      <w:r w:rsidR="0036651B">
        <w:instrText xml:space="preserve"> REF _Ref376613276 \r \h </w:instrText>
      </w:r>
      <w:r w:rsidR="00710E42">
        <w:fldChar w:fldCharType="separate"/>
      </w:r>
      <w:r w:rsidR="0036651B">
        <w:t>[1]</w:t>
      </w:r>
      <w:r w:rsidR="00710E42">
        <w:fldChar w:fldCharType="end"/>
      </w:r>
      <w:r>
        <w:t>.</w:t>
      </w:r>
      <w:r w:rsidR="00F55C1F">
        <w:rPr>
          <w:rFonts w:hint="eastAsia"/>
          <w:lang w:eastAsia="ko-KR"/>
        </w:rPr>
        <w:t xml:space="preserve"> We also should mention that SCE1 s/w [1] crashes if one try to run it in low-</w:t>
      </w:r>
      <w:r w:rsidR="00F55C1F">
        <w:rPr>
          <w:lang w:eastAsia="ko-KR"/>
        </w:rPr>
        <w:t>delay</w:t>
      </w:r>
      <w:r w:rsidR="00F55C1F">
        <w:rPr>
          <w:rFonts w:hint="eastAsia"/>
          <w:lang w:eastAsia="ko-KR"/>
        </w:rPr>
        <w:t xml:space="preserve"> configuration.</w:t>
      </w:r>
    </w:p>
    <w:p w:rsidR="00932BCE" w:rsidRDefault="00356C3E" w:rsidP="00932BCE">
      <w:pPr>
        <w:jc w:val="both"/>
      </w:pPr>
      <w:r>
        <w:t>The results</w:t>
      </w:r>
      <w:r w:rsidR="000611C6">
        <w:t xml:space="preserve"> </w:t>
      </w:r>
      <w:r w:rsidR="00932BCE">
        <w:t>match</w:t>
      </w:r>
      <w:r w:rsidR="001F2788">
        <w:t>ed</w:t>
      </w:r>
      <w:r w:rsidR="00932BCE">
        <w:t xml:space="preserve"> what w</w:t>
      </w:r>
      <w:r w:rsidR="0036651B">
        <w:t>ere</w:t>
      </w:r>
      <w:r w:rsidR="00932BCE">
        <w:t xml:space="preserve"> provided by the proponents and are summarized as follows</w:t>
      </w:r>
    </w:p>
    <w:p w:rsidR="00932BCE" w:rsidRDefault="00BE0D67" w:rsidP="00932BCE">
      <w:pPr>
        <w:pStyle w:val="2"/>
      </w:pPr>
      <w:r>
        <w:lastRenderedPageBreak/>
        <w:t>Use case 1</w:t>
      </w:r>
    </w:p>
    <w:p w:rsidR="000D5B7E" w:rsidRPr="000D5B7E" w:rsidRDefault="00F55C1F" w:rsidP="000D5B7E">
      <w:r>
        <w:rPr>
          <w:noProof/>
          <w:lang w:eastAsia="ko-KR"/>
        </w:rPr>
        <w:drawing>
          <wp:inline distT="0" distB="0" distL="0" distR="0">
            <wp:extent cx="5936615" cy="3166110"/>
            <wp:effectExtent l="19050" t="0" r="6985" b="0"/>
            <wp:docPr id="6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16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D67" w:rsidRDefault="00BE0D67" w:rsidP="00BE0D67">
      <w:pPr>
        <w:pStyle w:val="2"/>
      </w:pPr>
      <w:r>
        <w:t>Use case 2</w:t>
      </w:r>
    </w:p>
    <w:p w:rsidR="00932BCE" w:rsidRDefault="00F55C1F" w:rsidP="00932BCE">
      <w:r>
        <w:rPr>
          <w:noProof/>
          <w:lang w:eastAsia="ko-KR"/>
        </w:rPr>
        <w:drawing>
          <wp:inline distT="0" distB="0" distL="0" distR="0">
            <wp:extent cx="5936615" cy="2859405"/>
            <wp:effectExtent l="19050" t="0" r="6985" b="0"/>
            <wp:docPr id="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85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BCE" w:rsidRPr="00DA7406" w:rsidRDefault="00932BCE" w:rsidP="00932BCE">
      <w:pPr>
        <w:pStyle w:val="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F55C1F" w:rsidRPr="00DA7406" w:rsidRDefault="00F55C1F" w:rsidP="00F55C1F">
      <w:pPr>
        <w:jc w:val="both"/>
        <w:rPr>
          <w:szCs w:val="22"/>
        </w:rPr>
      </w:pPr>
      <w:r>
        <w:rPr>
          <w:rFonts w:hint="eastAsia"/>
          <w:lang w:eastAsia="ko-KR"/>
        </w:rPr>
        <w:t xml:space="preserve">The performance </w:t>
      </w:r>
      <w:r>
        <w:rPr>
          <w:szCs w:val="22"/>
        </w:rPr>
        <w:t xml:space="preserve">of </w:t>
      </w:r>
      <w:r>
        <w:t>combined bit-depth and color gamut conversion with 3D LUT for SHVC color gamut scalability (JCTVC-P0186) is verified in this report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match</w:t>
      </w:r>
      <w:r>
        <w:rPr>
          <w:szCs w:val="22"/>
        </w:rPr>
        <w:t xml:space="preserve"> those provided by the proponents. In average 3,5%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and 5,7%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BD-rate gain is confirmed for use case 1 and 7,0% </w:t>
      </w:r>
      <w:proofErr w:type="spellStart"/>
      <w:r>
        <w:rPr>
          <w:szCs w:val="22"/>
        </w:rPr>
        <w:t>Luma</w:t>
      </w:r>
      <w:proofErr w:type="spellEnd"/>
      <w:r>
        <w:rPr>
          <w:szCs w:val="22"/>
        </w:rPr>
        <w:t xml:space="preserve"> and 9,4% </w:t>
      </w:r>
      <w:proofErr w:type="spellStart"/>
      <w:r>
        <w:rPr>
          <w:szCs w:val="22"/>
        </w:rPr>
        <w:t>Chroma</w:t>
      </w:r>
      <w:proofErr w:type="spellEnd"/>
      <w:r>
        <w:rPr>
          <w:szCs w:val="22"/>
        </w:rPr>
        <w:t xml:space="preserve"> BD-rate gain is confirmed for use case 2.</w:t>
      </w:r>
    </w:p>
    <w:p w:rsidR="001D1B54" w:rsidRDefault="001D1B54" w:rsidP="001D1B54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717E7A" w:rsidRPr="00AA7EB5" w:rsidRDefault="00BE0D67" w:rsidP="00BE0D67">
      <w:pPr>
        <w:numPr>
          <w:ilvl w:val="0"/>
          <w:numId w:val="13"/>
        </w:numPr>
        <w:tabs>
          <w:tab w:val="left" w:pos="360"/>
        </w:tabs>
        <w:jc w:val="both"/>
        <w:textAlignment w:val="auto"/>
        <w:rPr>
          <w:szCs w:val="22"/>
        </w:rPr>
      </w:pPr>
      <w:bookmarkStart w:id="1" w:name="_Ref376613276"/>
      <w:r>
        <w:t xml:space="preserve">P. </w:t>
      </w:r>
      <w:proofErr w:type="spellStart"/>
      <w:r>
        <w:t>Bordes</w:t>
      </w:r>
      <w:proofErr w:type="spellEnd"/>
      <w:r>
        <w:t xml:space="preserve">, Y. </w:t>
      </w:r>
      <w:proofErr w:type="spellStart"/>
      <w:r>
        <w:t>Ye</w:t>
      </w:r>
      <w:proofErr w:type="spellEnd"/>
      <w:r>
        <w:t xml:space="preserve">, E. </w:t>
      </w:r>
      <w:proofErr w:type="spellStart"/>
      <w:r>
        <w:t>Alshina</w:t>
      </w:r>
      <w:proofErr w:type="spellEnd"/>
      <w:r>
        <w:t xml:space="preserve">, X. Li, S.-H. Kim, A. </w:t>
      </w:r>
      <w:proofErr w:type="spellStart"/>
      <w:r>
        <w:t>Duenas</w:t>
      </w:r>
      <w:proofErr w:type="spellEnd"/>
      <w:r>
        <w:t xml:space="preserve">, K. </w:t>
      </w:r>
      <w:proofErr w:type="spellStart"/>
      <w:r>
        <w:t>Ugur</w:t>
      </w:r>
      <w:proofErr w:type="spellEnd"/>
      <w:r>
        <w:t>, K. Sato,</w:t>
      </w:r>
      <w:r w:rsidRPr="00EB6114">
        <w:t xml:space="preserve"> “</w:t>
      </w:r>
      <w:r>
        <w:t>Description of HEVC Scalable Extensions Core Experiment SCE1: Color Gamut and Bit-Depth Scalability</w:t>
      </w:r>
      <w:r w:rsidRPr="00EB6114">
        <w:t>”, JCTVC-</w:t>
      </w:r>
      <w:r>
        <w:t>O</w:t>
      </w:r>
      <w:r w:rsidRPr="00EB6114">
        <w:t>1</w:t>
      </w:r>
      <w:r>
        <w:t>101</w:t>
      </w:r>
      <w:r w:rsidRPr="00EB6114">
        <w:t xml:space="preserve">, </w:t>
      </w:r>
      <w:r>
        <w:t>Oct</w:t>
      </w:r>
      <w:r w:rsidRPr="00EB6114">
        <w:t>. 2013</w:t>
      </w:r>
      <w:r>
        <w:t>, CH</w:t>
      </w:r>
      <w:bookmarkEnd w:id="1"/>
    </w:p>
    <w:sectPr w:rsidR="00717E7A" w:rsidRPr="00AA7EB5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0FD" w:rsidRDefault="00C160FD">
      <w:r>
        <w:separator/>
      </w:r>
    </w:p>
  </w:endnote>
  <w:endnote w:type="continuationSeparator" w:id="0">
    <w:p w:rsidR="00C160FD" w:rsidRDefault="00C16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Times New Roman"/>
    <w:panose1 w:val="020B0503020000020004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8C" w:rsidRDefault="00874F8C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10E42">
      <w:rPr>
        <w:rStyle w:val="a5"/>
      </w:rPr>
      <w:fldChar w:fldCharType="begin"/>
    </w:r>
    <w:r>
      <w:rPr>
        <w:rStyle w:val="a5"/>
      </w:rPr>
      <w:instrText xml:space="preserve"> PAGE </w:instrText>
    </w:r>
    <w:r w:rsidR="00710E42">
      <w:rPr>
        <w:rStyle w:val="a5"/>
      </w:rPr>
      <w:fldChar w:fldCharType="separate"/>
    </w:r>
    <w:r w:rsidR="00F55C1F">
      <w:rPr>
        <w:rStyle w:val="a5"/>
        <w:noProof/>
      </w:rPr>
      <w:t>2</w:t>
    </w:r>
    <w:r w:rsidR="00710E4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710E4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710E42">
      <w:rPr>
        <w:rStyle w:val="a5"/>
      </w:rPr>
      <w:fldChar w:fldCharType="separate"/>
    </w:r>
    <w:r w:rsidR="00F55C1F">
      <w:rPr>
        <w:rStyle w:val="a5"/>
        <w:noProof/>
      </w:rPr>
      <w:t>2014-01-08</w:t>
    </w:r>
    <w:r w:rsidR="00710E4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0FD" w:rsidRDefault="00C160FD">
      <w:r>
        <w:separator/>
      </w:r>
    </w:p>
  </w:footnote>
  <w:footnote w:type="continuationSeparator" w:id="0">
    <w:p w:rsidR="00C160FD" w:rsidRDefault="00C16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E4ABE"/>
    <w:multiLevelType w:val="hybridMultilevel"/>
    <w:tmpl w:val="6010A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0C84C3E"/>
    <w:multiLevelType w:val="hybridMultilevel"/>
    <w:tmpl w:val="66206AF4"/>
    <w:lvl w:ilvl="0" w:tplc="1DAEE78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9"/>
  </w:num>
  <w:num w:numId="5">
    <w:abstractNumId w:val="10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8"/>
  </w:num>
  <w:num w:numId="16">
    <w:abstractNumId w:val="2"/>
  </w:num>
  <w:num w:numId="17">
    <w:abstractNumId w:val="6"/>
  </w:num>
  <w:num w:numId="18">
    <w:abstractNumId w:val="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3386"/>
    <w:rsid w:val="000116FF"/>
    <w:rsid w:val="000278E9"/>
    <w:rsid w:val="0003727F"/>
    <w:rsid w:val="000458BC"/>
    <w:rsid w:val="00045C41"/>
    <w:rsid w:val="00046C03"/>
    <w:rsid w:val="00056FD1"/>
    <w:rsid w:val="000611C6"/>
    <w:rsid w:val="000624E9"/>
    <w:rsid w:val="00067D62"/>
    <w:rsid w:val="0007614F"/>
    <w:rsid w:val="00082116"/>
    <w:rsid w:val="00082294"/>
    <w:rsid w:val="00090E1D"/>
    <w:rsid w:val="0009622C"/>
    <w:rsid w:val="00097289"/>
    <w:rsid w:val="000B1C6B"/>
    <w:rsid w:val="000B4FF9"/>
    <w:rsid w:val="000C09AC"/>
    <w:rsid w:val="000C7BCA"/>
    <w:rsid w:val="000D5B7E"/>
    <w:rsid w:val="000D6E92"/>
    <w:rsid w:val="000E00F3"/>
    <w:rsid w:val="000F158C"/>
    <w:rsid w:val="000F2A6D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28FD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818F9"/>
    <w:rsid w:val="00292257"/>
    <w:rsid w:val="002A54E0"/>
    <w:rsid w:val="002B1595"/>
    <w:rsid w:val="002B191D"/>
    <w:rsid w:val="002D0AF6"/>
    <w:rsid w:val="002E5C49"/>
    <w:rsid w:val="002F164D"/>
    <w:rsid w:val="00303A49"/>
    <w:rsid w:val="00306206"/>
    <w:rsid w:val="00317C62"/>
    <w:rsid w:val="00317D85"/>
    <w:rsid w:val="00327C56"/>
    <w:rsid w:val="00330B11"/>
    <w:rsid w:val="003315A1"/>
    <w:rsid w:val="003344A8"/>
    <w:rsid w:val="003365EF"/>
    <w:rsid w:val="003373EC"/>
    <w:rsid w:val="00342FF4"/>
    <w:rsid w:val="00356C3E"/>
    <w:rsid w:val="0036651B"/>
    <w:rsid w:val="003669EA"/>
    <w:rsid w:val="003706CC"/>
    <w:rsid w:val="0037558B"/>
    <w:rsid w:val="00377710"/>
    <w:rsid w:val="003A2D8E"/>
    <w:rsid w:val="003C1513"/>
    <w:rsid w:val="003C20E4"/>
    <w:rsid w:val="003D5E04"/>
    <w:rsid w:val="003D63E3"/>
    <w:rsid w:val="003D685C"/>
    <w:rsid w:val="003E6F90"/>
    <w:rsid w:val="003F3892"/>
    <w:rsid w:val="003F4725"/>
    <w:rsid w:val="003F5D0F"/>
    <w:rsid w:val="00414101"/>
    <w:rsid w:val="00433DDB"/>
    <w:rsid w:val="00437619"/>
    <w:rsid w:val="0044177A"/>
    <w:rsid w:val="0044478B"/>
    <w:rsid w:val="004543A4"/>
    <w:rsid w:val="00466C6A"/>
    <w:rsid w:val="00483AA3"/>
    <w:rsid w:val="004A2A63"/>
    <w:rsid w:val="004A45B9"/>
    <w:rsid w:val="004A7F65"/>
    <w:rsid w:val="004B210C"/>
    <w:rsid w:val="004B5A4B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3444"/>
    <w:rsid w:val="00516CF1"/>
    <w:rsid w:val="00531AE9"/>
    <w:rsid w:val="00537452"/>
    <w:rsid w:val="00550A66"/>
    <w:rsid w:val="00557BA9"/>
    <w:rsid w:val="00564AE8"/>
    <w:rsid w:val="005652F1"/>
    <w:rsid w:val="00567EC7"/>
    <w:rsid w:val="00570013"/>
    <w:rsid w:val="005801A2"/>
    <w:rsid w:val="0058476E"/>
    <w:rsid w:val="00593A3B"/>
    <w:rsid w:val="005952A5"/>
    <w:rsid w:val="005957AB"/>
    <w:rsid w:val="005A33A1"/>
    <w:rsid w:val="005A4661"/>
    <w:rsid w:val="005B217D"/>
    <w:rsid w:val="005C2B6A"/>
    <w:rsid w:val="005C385F"/>
    <w:rsid w:val="005E1AC6"/>
    <w:rsid w:val="005E5871"/>
    <w:rsid w:val="005F6F1B"/>
    <w:rsid w:val="00616947"/>
    <w:rsid w:val="00623F60"/>
    <w:rsid w:val="00624B33"/>
    <w:rsid w:val="00630AA2"/>
    <w:rsid w:val="00646707"/>
    <w:rsid w:val="0065296F"/>
    <w:rsid w:val="00661CE3"/>
    <w:rsid w:val="00662E58"/>
    <w:rsid w:val="00664DCF"/>
    <w:rsid w:val="00670CBF"/>
    <w:rsid w:val="006730B1"/>
    <w:rsid w:val="006835D5"/>
    <w:rsid w:val="00686DEE"/>
    <w:rsid w:val="006B47BD"/>
    <w:rsid w:val="006C2569"/>
    <w:rsid w:val="006C5D39"/>
    <w:rsid w:val="006E0C55"/>
    <w:rsid w:val="006E2810"/>
    <w:rsid w:val="006E34C0"/>
    <w:rsid w:val="006E5417"/>
    <w:rsid w:val="006F7D3B"/>
    <w:rsid w:val="00710E42"/>
    <w:rsid w:val="00712F60"/>
    <w:rsid w:val="00717E7A"/>
    <w:rsid w:val="00720E3B"/>
    <w:rsid w:val="00745F6B"/>
    <w:rsid w:val="0075585E"/>
    <w:rsid w:val="00770571"/>
    <w:rsid w:val="007705BD"/>
    <w:rsid w:val="007768FF"/>
    <w:rsid w:val="0077746C"/>
    <w:rsid w:val="007824D3"/>
    <w:rsid w:val="00795D7F"/>
    <w:rsid w:val="00796EE3"/>
    <w:rsid w:val="007A0C3C"/>
    <w:rsid w:val="007A7D29"/>
    <w:rsid w:val="007B4AB8"/>
    <w:rsid w:val="007F1F8B"/>
    <w:rsid w:val="007F67A1"/>
    <w:rsid w:val="00802024"/>
    <w:rsid w:val="00811C05"/>
    <w:rsid w:val="008206C8"/>
    <w:rsid w:val="00820864"/>
    <w:rsid w:val="0082768F"/>
    <w:rsid w:val="00827E4C"/>
    <w:rsid w:val="0086387C"/>
    <w:rsid w:val="00865440"/>
    <w:rsid w:val="00874A6C"/>
    <w:rsid w:val="00874AFE"/>
    <w:rsid w:val="00874DE5"/>
    <w:rsid w:val="00874F8C"/>
    <w:rsid w:val="00876C65"/>
    <w:rsid w:val="0088331B"/>
    <w:rsid w:val="00895026"/>
    <w:rsid w:val="008A19F1"/>
    <w:rsid w:val="008A46F1"/>
    <w:rsid w:val="008A4B4C"/>
    <w:rsid w:val="008C239F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27284"/>
    <w:rsid w:val="00932BCE"/>
    <w:rsid w:val="009336F7"/>
    <w:rsid w:val="009374A7"/>
    <w:rsid w:val="009520C7"/>
    <w:rsid w:val="00953A38"/>
    <w:rsid w:val="00954DAD"/>
    <w:rsid w:val="00971E28"/>
    <w:rsid w:val="0097273F"/>
    <w:rsid w:val="0098150E"/>
    <w:rsid w:val="0098162C"/>
    <w:rsid w:val="0098551D"/>
    <w:rsid w:val="0099518F"/>
    <w:rsid w:val="009A0010"/>
    <w:rsid w:val="009A523D"/>
    <w:rsid w:val="009B0BC1"/>
    <w:rsid w:val="009C398D"/>
    <w:rsid w:val="009C6A82"/>
    <w:rsid w:val="009E2AAA"/>
    <w:rsid w:val="009F496B"/>
    <w:rsid w:val="00A01439"/>
    <w:rsid w:val="00A02E61"/>
    <w:rsid w:val="00A0414C"/>
    <w:rsid w:val="00A05CFF"/>
    <w:rsid w:val="00A22FDB"/>
    <w:rsid w:val="00A41D67"/>
    <w:rsid w:val="00A469EE"/>
    <w:rsid w:val="00A56B97"/>
    <w:rsid w:val="00A6093D"/>
    <w:rsid w:val="00A652AF"/>
    <w:rsid w:val="00A67802"/>
    <w:rsid w:val="00A76A6D"/>
    <w:rsid w:val="00A83253"/>
    <w:rsid w:val="00AA6E84"/>
    <w:rsid w:val="00AA7EB5"/>
    <w:rsid w:val="00AC43F3"/>
    <w:rsid w:val="00AC6147"/>
    <w:rsid w:val="00AE2117"/>
    <w:rsid w:val="00AE341B"/>
    <w:rsid w:val="00AE5018"/>
    <w:rsid w:val="00B07CA7"/>
    <w:rsid w:val="00B1279A"/>
    <w:rsid w:val="00B14E8B"/>
    <w:rsid w:val="00B375ED"/>
    <w:rsid w:val="00B4194A"/>
    <w:rsid w:val="00B5222E"/>
    <w:rsid w:val="00B52D60"/>
    <w:rsid w:val="00B53179"/>
    <w:rsid w:val="00B61C96"/>
    <w:rsid w:val="00B73A2A"/>
    <w:rsid w:val="00B80C1A"/>
    <w:rsid w:val="00B94B06"/>
    <w:rsid w:val="00B94C28"/>
    <w:rsid w:val="00BC10BA"/>
    <w:rsid w:val="00BC5AFD"/>
    <w:rsid w:val="00BE0D67"/>
    <w:rsid w:val="00BF0132"/>
    <w:rsid w:val="00C04F43"/>
    <w:rsid w:val="00C0609D"/>
    <w:rsid w:val="00C115AB"/>
    <w:rsid w:val="00C160FD"/>
    <w:rsid w:val="00C30249"/>
    <w:rsid w:val="00C3723B"/>
    <w:rsid w:val="00C47E65"/>
    <w:rsid w:val="00C57504"/>
    <w:rsid w:val="00C606C9"/>
    <w:rsid w:val="00C636B1"/>
    <w:rsid w:val="00C6377E"/>
    <w:rsid w:val="00C80288"/>
    <w:rsid w:val="00C80D53"/>
    <w:rsid w:val="00C84003"/>
    <w:rsid w:val="00C90650"/>
    <w:rsid w:val="00C97D78"/>
    <w:rsid w:val="00CA1C41"/>
    <w:rsid w:val="00CB2469"/>
    <w:rsid w:val="00CB3780"/>
    <w:rsid w:val="00CB69DE"/>
    <w:rsid w:val="00CC2AAE"/>
    <w:rsid w:val="00CC5A42"/>
    <w:rsid w:val="00CC7094"/>
    <w:rsid w:val="00CD0EAB"/>
    <w:rsid w:val="00CF34DB"/>
    <w:rsid w:val="00CF558F"/>
    <w:rsid w:val="00CF6487"/>
    <w:rsid w:val="00D073E2"/>
    <w:rsid w:val="00D26D27"/>
    <w:rsid w:val="00D35423"/>
    <w:rsid w:val="00D371E8"/>
    <w:rsid w:val="00D446EC"/>
    <w:rsid w:val="00D51BF0"/>
    <w:rsid w:val="00D55942"/>
    <w:rsid w:val="00D5673C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C5C7C"/>
    <w:rsid w:val="00DD403E"/>
    <w:rsid w:val="00DD495F"/>
    <w:rsid w:val="00DE6B43"/>
    <w:rsid w:val="00E11923"/>
    <w:rsid w:val="00E1734F"/>
    <w:rsid w:val="00E21E94"/>
    <w:rsid w:val="00E24375"/>
    <w:rsid w:val="00E262D4"/>
    <w:rsid w:val="00E35F3E"/>
    <w:rsid w:val="00E36250"/>
    <w:rsid w:val="00E54511"/>
    <w:rsid w:val="00E61DAC"/>
    <w:rsid w:val="00E72B80"/>
    <w:rsid w:val="00E75FE3"/>
    <w:rsid w:val="00E86C4C"/>
    <w:rsid w:val="00EA35CC"/>
    <w:rsid w:val="00EB345D"/>
    <w:rsid w:val="00EB7AB1"/>
    <w:rsid w:val="00ED190B"/>
    <w:rsid w:val="00EE13E4"/>
    <w:rsid w:val="00EF48CC"/>
    <w:rsid w:val="00F55C1F"/>
    <w:rsid w:val="00F61B00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D7B59"/>
    <w:rsid w:val="00FE107B"/>
    <w:rsid w:val="00FF0CE3"/>
    <w:rsid w:val="00FF3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14E8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14E8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14E8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ac">
    <w:name w:val="annotation reference"/>
    <w:rsid w:val="001D1B54"/>
    <w:rPr>
      <w:sz w:val="16"/>
      <w:szCs w:val="16"/>
    </w:rPr>
  </w:style>
  <w:style w:type="paragraph" w:styleId="ad">
    <w:name w:val="annotation text"/>
    <w:basedOn w:val="a"/>
    <w:link w:val="Char0"/>
    <w:rsid w:val="001D1B54"/>
    <w:rPr>
      <w:sz w:val="20"/>
    </w:rPr>
  </w:style>
  <w:style w:type="character" w:customStyle="1" w:styleId="Char0">
    <w:name w:val="메모 텍스트 Char"/>
    <w:basedOn w:val="a0"/>
    <w:link w:val="ad"/>
    <w:rsid w:val="001D1B54"/>
    <w:rPr>
      <w:lang w:eastAsia="en-US"/>
    </w:rPr>
  </w:style>
  <w:style w:type="character" w:styleId="ae">
    <w:name w:val="Placeholder Text"/>
    <w:basedOn w:val="a0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a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/>
    </w:rPr>
  </w:style>
  <w:style w:type="paragraph" w:styleId="af">
    <w:name w:val="annotation subject"/>
    <w:basedOn w:val="ad"/>
    <w:next w:val="ad"/>
    <w:link w:val="Char1"/>
    <w:rsid w:val="00E24375"/>
    <w:rPr>
      <w:b/>
      <w:bCs/>
    </w:rPr>
  </w:style>
  <w:style w:type="character" w:customStyle="1" w:styleId="Char1">
    <w:name w:val="메모 주제 Char"/>
    <w:basedOn w:val="Char0"/>
    <w:link w:val="af"/>
    <w:rsid w:val="00E24375"/>
    <w:rPr>
      <w:b/>
      <w:bCs/>
      <w:lang w:eastAsia="en-US"/>
    </w:rPr>
  </w:style>
  <w:style w:type="paragraph" w:styleId="af0">
    <w:name w:val="Revision"/>
    <w:hidden/>
    <w:uiPriority w:val="99"/>
    <w:semiHidden/>
    <w:rsid w:val="00223EC2"/>
    <w:rPr>
      <w:sz w:val="22"/>
      <w:lang w:eastAsia="en-US"/>
    </w:rPr>
  </w:style>
  <w:style w:type="paragraph" w:styleId="af1">
    <w:name w:val="caption"/>
    <w:basedOn w:val="a"/>
    <w:next w:val="a"/>
    <w:unhideWhenUsed/>
    <w:qFormat/>
    <w:rsid w:val="003344A8"/>
    <w:rPr>
      <w:b/>
      <w:bCs/>
      <w:sz w:val="20"/>
    </w:rPr>
  </w:style>
  <w:style w:type="character" w:customStyle="1" w:styleId="mw-headline">
    <w:name w:val="mw-headline"/>
    <w:basedOn w:val="a0"/>
    <w:rsid w:val="00954D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mailto:lxi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B69A7-4CEC-49FC-A3B8-634167356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4473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sec</cp:lastModifiedBy>
  <cp:revision>4</cp:revision>
  <cp:lastPrinted>2013-07-09T23:09:00Z</cp:lastPrinted>
  <dcterms:created xsi:type="dcterms:W3CDTF">2014-01-07T23:16:00Z</dcterms:created>
  <dcterms:modified xsi:type="dcterms:W3CDTF">2014-01-07T23:32:00Z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