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1C539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_GoBack"/>
            <w:bookmarkEnd w:id="0"/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2CC41926" wp14:editId="7A0596C0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43753CAF" wp14:editId="03A5E5DC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53D8C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16th Meeting: San José, USA, 9 – 17 Jan. 2014</w:t>
            </w:r>
          </w:p>
        </w:tc>
        <w:tc>
          <w:tcPr>
            <w:tcW w:w="3168" w:type="dxa"/>
          </w:tcPr>
          <w:p w:rsidR="008A4B4C" w:rsidRPr="00367021" w:rsidRDefault="00E61DAC" w:rsidP="00A92C8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A92C8D">
              <w:rPr>
                <w:lang w:val="en-CA"/>
              </w:rPr>
              <w:t>P</w:t>
            </w:r>
            <w:r w:rsidR="00A92C8D">
              <w:rPr>
                <w:lang w:val="en-CA"/>
              </w:rPr>
              <w:t>0186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253D8C" w:rsidP="00E34D4E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SCE1</w:t>
            </w:r>
            <w:r w:rsidR="00D17D3E">
              <w:rPr>
                <w:b/>
                <w:szCs w:val="22"/>
              </w:rPr>
              <w:t xml:space="preserve">: </w:t>
            </w:r>
            <w:r w:rsidR="00E34D4E">
              <w:rPr>
                <w:b/>
                <w:szCs w:val="22"/>
              </w:rPr>
              <w:t>Combined b</w:t>
            </w:r>
            <w:r w:rsidR="005B6351">
              <w:rPr>
                <w:b/>
                <w:szCs w:val="22"/>
              </w:rPr>
              <w:t>it-depth and c</w:t>
            </w:r>
            <w:r w:rsidR="001F465B">
              <w:rPr>
                <w:b/>
                <w:szCs w:val="22"/>
              </w:rPr>
              <w:t xml:space="preserve">olor gamut </w:t>
            </w:r>
            <w:r w:rsidR="005B6351">
              <w:rPr>
                <w:b/>
                <w:szCs w:val="22"/>
              </w:rPr>
              <w:t>conversion with</w:t>
            </w:r>
            <w:r w:rsidR="00C10490">
              <w:rPr>
                <w:b/>
                <w:szCs w:val="22"/>
              </w:rPr>
              <w:t xml:space="preserve"> </w:t>
            </w:r>
            <w:r w:rsidR="00EB10C6">
              <w:rPr>
                <w:b/>
                <w:szCs w:val="22"/>
              </w:rPr>
              <w:t xml:space="preserve">3D LUT </w:t>
            </w:r>
            <w:r w:rsidR="0045032A" w:rsidRPr="00367021">
              <w:rPr>
                <w:b/>
                <w:szCs w:val="22"/>
              </w:rPr>
              <w:t xml:space="preserve">for </w:t>
            </w:r>
            <w:r w:rsidR="00FF69BE">
              <w:rPr>
                <w:b/>
                <w:szCs w:val="22"/>
              </w:rPr>
              <w:t>SHVC</w:t>
            </w:r>
            <w:r w:rsidR="001F465B">
              <w:rPr>
                <w:b/>
                <w:szCs w:val="22"/>
              </w:rPr>
              <w:t xml:space="preserve"> color gamut scalability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Yuwen He, Yan Ye</w:t>
            </w:r>
            <w:r w:rsidR="00836C99">
              <w:rPr>
                <w:szCs w:val="22"/>
              </w:rPr>
              <w:t xml:space="preserve">, </w:t>
            </w:r>
            <w:r w:rsidR="00C10490">
              <w:rPr>
                <w:szCs w:val="22"/>
              </w:rPr>
              <w:t>Jie Dong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R-D,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5210B2" w:rsidRPr="00367021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36C99" w:rsidRPr="00367021" w:rsidRDefault="00E61DAC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  <w:hyperlink r:id="rId13" w:history="1">
              <w:r w:rsidR="00C10490" w:rsidRPr="00CC2689">
                <w:rPr>
                  <w:rStyle w:val="Hyperlink"/>
                  <w:szCs w:val="22"/>
                  <w:lang w:val="en-CA"/>
                </w:rPr>
                <w:t>jie.dong@interdigital.com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B314A" w:rsidRDefault="00E66A90" w:rsidP="00ED2F61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proposal </w:t>
      </w:r>
      <w:r w:rsidR="00930CB3">
        <w:rPr>
          <w:rFonts w:eastAsia="Malgun Gothic"/>
          <w:kern w:val="2"/>
        </w:rPr>
        <w:t xml:space="preserve">tested </w:t>
      </w:r>
      <w:r w:rsidR="002D730C">
        <w:rPr>
          <w:rFonts w:eastAsia="Malgun Gothic"/>
          <w:kern w:val="2"/>
        </w:rPr>
        <w:t xml:space="preserve">the </w:t>
      </w:r>
      <w:r w:rsidR="002D730C">
        <w:rPr>
          <w:kern w:val="2"/>
          <w:lang w:eastAsia="zh-CN"/>
        </w:rPr>
        <w:t xml:space="preserve">combined bit-depth and color gamut conversion method </w:t>
      </w:r>
      <w:r w:rsidR="0082421D">
        <w:rPr>
          <w:kern w:val="2"/>
          <w:lang w:eastAsia="zh-CN"/>
        </w:rPr>
        <w:t xml:space="preserve">with </w:t>
      </w:r>
      <w:r w:rsidR="002D730C">
        <w:rPr>
          <w:kern w:val="2"/>
          <w:lang w:eastAsia="zh-CN"/>
        </w:rPr>
        <w:t xml:space="preserve">online </w:t>
      </w:r>
      <w:r w:rsidR="0082421D">
        <w:rPr>
          <w:kern w:val="2"/>
          <w:lang w:eastAsia="zh-CN"/>
        </w:rPr>
        <w:t xml:space="preserve">3D LUT </w:t>
      </w:r>
      <w:r w:rsidR="002D730C">
        <w:rPr>
          <w:kern w:val="2"/>
          <w:lang w:eastAsia="zh-CN"/>
        </w:rPr>
        <w:t xml:space="preserve">derivation </w:t>
      </w:r>
      <w:r w:rsidR="0082421D">
        <w:rPr>
          <w:kern w:val="2"/>
          <w:lang w:eastAsia="zh-CN"/>
        </w:rPr>
        <w:t xml:space="preserve">for </w:t>
      </w:r>
      <w:r w:rsidR="002A7294">
        <w:rPr>
          <w:kern w:val="2"/>
          <w:lang w:eastAsia="zh-CN"/>
        </w:rPr>
        <w:t>SHVC</w:t>
      </w:r>
      <w:r w:rsidR="00B834FD">
        <w:rPr>
          <w:kern w:val="2"/>
          <w:lang w:eastAsia="zh-CN"/>
        </w:rPr>
        <w:t xml:space="preserve"> </w:t>
      </w:r>
      <w:r w:rsidR="0082421D">
        <w:rPr>
          <w:kern w:val="2"/>
          <w:lang w:eastAsia="zh-CN"/>
        </w:rPr>
        <w:t>color gamut scalability</w:t>
      </w:r>
      <w:r w:rsidR="00547BE9">
        <w:rPr>
          <w:kern w:val="2"/>
          <w:lang w:eastAsia="zh-CN"/>
        </w:rPr>
        <w:t xml:space="preserve"> (CGS)</w:t>
      </w:r>
      <w:r w:rsidR="002D730C">
        <w:rPr>
          <w:kern w:val="2"/>
          <w:lang w:eastAsia="zh-CN"/>
        </w:rPr>
        <w:t xml:space="preserve"> </w:t>
      </w:r>
      <w:r w:rsidR="008827E7">
        <w:rPr>
          <w:kern w:val="2"/>
          <w:lang w:eastAsia="zh-CN"/>
        </w:rPr>
        <w:t>proposed in JCTVC-O0161 with</w:t>
      </w:r>
      <w:r w:rsidR="002D730C">
        <w:rPr>
          <w:kern w:val="2"/>
          <w:lang w:eastAsia="zh-CN"/>
        </w:rPr>
        <w:t xml:space="preserve"> SCE1</w:t>
      </w:r>
      <w:r w:rsidR="008827E7">
        <w:rPr>
          <w:kern w:val="2"/>
          <w:lang w:eastAsia="zh-CN"/>
        </w:rPr>
        <w:t xml:space="preserve"> test conditions</w:t>
      </w:r>
      <w:r>
        <w:rPr>
          <w:rFonts w:hint="eastAsia"/>
          <w:kern w:val="2"/>
          <w:lang w:eastAsia="zh-CN"/>
        </w:rPr>
        <w:t>.</w:t>
      </w:r>
      <w:r w:rsidR="000D371B">
        <w:rPr>
          <w:rFonts w:eastAsia="Malgun Gothic"/>
          <w:kern w:val="2"/>
        </w:rPr>
        <w:t xml:space="preserve"> </w:t>
      </w:r>
      <w:r w:rsidR="008827E7">
        <w:rPr>
          <w:rFonts w:eastAsia="Malgun Gothic"/>
          <w:kern w:val="2"/>
        </w:rPr>
        <w:t>T</w:t>
      </w:r>
      <w:r w:rsidR="002D730C">
        <w:rPr>
          <w:rFonts w:eastAsia="Malgun Gothic"/>
          <w:kern w:val="2"/>
        </w:rPr>
        <w:t xml:space="preserve">wo </w:t>
      </w:r>
      <w:proofErr w:type="spellStart"/>
      <w:r w:rsidR="002D730C">
        <w:rPr>
          <w:rFonts w:eastAsia="Malgun Gothic"/>
          <w:kern w:val="2"/>
        </w:rPr>
        <w:t>usecases</w:t>
      </w:r>
      <w:proofErr w:type="spellEnd"/>
      <w:r w:rsidR="002D730C">
        <w:rPr>
          <w:rFonts w:eastAsia="Malgun Gothic"/>
          <w:kern w:val="2"/>
        </w:rPr>
        <w:t xml:space="preserve"> with two tests are considered. </w:t>
      </w:r>
      <w:r w:rsidR="008827E7">
        <w:rPr>
          <w:rFonts w:eastAsia="Malgun Gothic"/>
          <w:kern w:val="2"/>
        </w:rPr>
        <w:t xml:space="preserve">For </w:t>
      </w:r>
      <w:proofErr w:type="spellStart"/>
      <w:r w:rsidR="008827E7">
        <w:rPr>
          <w:rFonts w:eastAsia="Malgun Gothic"/>
          <w:kern w:val="2"/>
        </w:rPr>
        <w:t>usecase</w:t>
      </w:r>
      <w:proofErr w:type="spellEnd"/>
      <w:r w:rsidR="008827E7">
        <w:rPr>
          <w:rFonts w:eastAsia="Malgun Gothic"/>
          <w:kern w:val="2"/>
        </w:rPr>
        <w:t xml:space="preserve"> 1 test, </w:t>
      </w:r>
      <w:r w:rsidR="008827E7">
        <w:rPr>
          <w:kern w:val="2"/>
          <w:lang w:eastAsia="zh-CN"/>
        </w:rPr>
        <w:t>c</w:t>
      </w:r>
      <w:r w:rsidR="00F643B4">
        <w:rPr>
          <w:kern w:val="2"/>
          <w:lang w:eastAsia="zh-CN"/>
        </w:rPr>
        <w:t xml:space="preserve">ompared to </w:t>
      </w:r>
      <w:r w:rsidR="00200E85">
        <w:rPr>
          <w:kern w:val="2"/>
          <w:lang w:eastAsia="zh-CN"/>
        </w:rPr>
        <w:t>SCE</w:t>
      </w:r>
      <w:r w:rsidR="002D730C">
        <w:rPr>
          <w:kern w:val="2"/>
          <w:lang w:eastAsia="zh-CN"/>
        </w:rPr>
        <w:t>1</w:t>
      </w:r>
      <w:r w:rsidR="00200E85">
        <w:rPr>
          <w:kern w:val="2"/>
          <w:lang w:eastAsia="zh-CN"/>
        </w:rPr>
        <w:t xml:space="preserve"> anchors</w:t>
      </w:r>
      <w:r w:rsidR="00F643B4">
        <w:rPr>
          <w:kern w:val="2"/>
          <w:lang w:eastAsia="zh-CN"/>
        </w:rPr>
        <w:t xml:space="preserve">, the proposed scheme reportedly achieves </w:t>
      </w:r>
      <w:r w:rsidR="00F643B4">
        <w:rPr>
          <w:rFonts w:eastAsia="Malgun Gothic"/>
          <w:kern w:val="2"/>
        </w:rPr>
        <w:t>average {Y, U, V} BD rate gain of {</w:t>
      </w:r>
      <w:r w:rsidR="008827E7">
        <w:t>-3</w:t>
      </w:r>
      <w:r w:rsidR="008827E7" w:rsidRPr="00F643B4">
        <w:t>.</w:t>
      </w:r>
      <w:r w:rsidR="008827E7">
        <w:t>1</w:t>
      </w:r>
      <w:r w:rsidR="008827E7" w:rsidRPr="00F643B4">
        <w:t>%</w:t>
      </w:r>
      <w:r w:rsidR="008827E7">
        <w:t>, -5.6%, -5.0%</w:t>
      </w:r>
      <w:r w:rsidR="00F643B4">
        <w:rPr>
          <w:rFonts w:eastAsia="Malgun Gothic"/>
          <w:kern w:val="2"/>
        </w:rPr>
        <w:t>} and {</w:t>
      </w:r>
      <w:r w:rsidR="008827E7">
        <w:t>-3</w:t>
      </w:r>
      <w:r w:rsidR="008827E7" w:rsidRPr="00F643B4">
        <w:t>.</w:t>
      </w:r>
      <w:r w:rsidR="008827E7">
        <w:t>9</w:t>
      </w:r>
      <w:r w:rsidR="008827E7" w:rsidRPr="00F643B4">
        <w:t>%</w:t>
      </w:r>
      <w:r w:rsidR="008827E7">
        <w:t>, -5.1%, -7.1%</w:t>
      </w:r>
      <w:r w:rsidR="00F643B4">
        <w:rPr>
          <w:rFonts w:eastAsia="Malgun Gothic"/>
          <w:kern w:val="2"/>
        </w:rPr>
        <w:t xml:space="preserve">} for AI and RA-2x, respectively. </w:t>
      </w:r>
      <w:r w:rsidR="008827E7">
        <w:rPr>
          <w:rFonts w:eastAsia="Malgun Gothic"/>
          <w:kern w:val="2"/>
        </w:rPr>
        <w:t xml:space="preserve">For </w:t>
      </w:r>
      <w:proofErr w:type="spellStart"/>
      <w:r w:rsidR="008827E7">
        <w:rPr>
          <w:rFonts w:eastAsia="Malgun Gothic"/>
          <w:kern w:val="2"/>
        </w:rPr>
        <w:t>usecase</w:t>
      </w:r>
      <w:proofErr w:type="spellEnd"/>
      <w:r w:rsidR="008827E7">
        <w:rPr>
          <w:rFonts w:eastAsia="Malgun Gothic"/>
          <w:kern w:val="2"/>
        </w:rPr>
        <w:t xml:space="preserve"> 2 test, </w:t>
      </w:r>
      <w:r w:rsidR="00DB314A">
        <w:rPr>
          <w:kern w:val="2"/>
          <w:lang w:eastAsia="zh-CN"/>
        </w:rPr>
        <w:t xml:space="preserve">the proposed scheme reportedly achieves </w:t>
      </w:r>
      <w:r w:rsidR="007C6AE8">
        <w:rPr>
          <w:rFonts w:eastAsia="Malgun Gothic"/>
          <w:kern w:val="2"/>
        </w:rPr>
        <w:t xml:space="preserve">average </w:t>
      </w:r>
      <w:r w:rsidR="00B834FD">
        <w:rPr>
          <w:rFonts w:eastAsia="Malgun Gothic"/>
          <w:kern w:val="2"/>
        </w:rPr>
        <w:t xml:space="preserve">{Y, U, V} </w:t>
      </w:r>
      <w:r w:rsidR="007C6AE8">
        <w:rPr>
          <w:rFonts w:eastAsia="Malgun Gothic"/>
          <w:kern w:val="2"/>
        </w:rPr>
        <w:t xml:space="preserve">BD </w:t>
      </w:r>
      <w:r w:rsidR="00B834FD">
        <w:rPr>
          <w:rFonts w:eastAsia="Malgun Gothic"/>
          <w:kern w:val="2"/>
        </w:rPr>
        <w:t xml:space="preserve">rate </w:t>
      </w:r>
      <w:r w:rsidR="007C6AE8">
        <w:rPr>
          <w:rFonts w:eastAsia="Malgun Gothic"/>
          <w:kern w:val="2"/>
        </w:rPr>
        <w:t xml:space="preserve">gain </w:t>
      </w:r>
      <w:r w:rsidR="00DB314A">
        <w:rPr>
          <w:rFonts w:eastAsia="Malgun Gothic"/>
          <w:kern w:val="2"/>
        </w:rPr>
        <w:t xml:space="preserve">of </w:t>
      </w:r>
      <w:r w:rsidR="00B834FD">
        <w:rPr>
          <w:rFonts w:eastAsia="Malgun Gothic"/>
          <w:kern w:val="2"/>
        </w:rPr>
        <w:t>{</w:t>
      </w:r>
      <w:r w:rsidR="00253D8C">
        <w:t>-7</w:t>
      </w:r>
      <w:r w:rsidR="00253D8C" w:rsidRPr="00F643B4">
        <w:t>.</w:t>
      </w:r>
      <w:r w:rsidR="00253D8C">
        <w:t>8</w:t>
      </w:r>
      <w:r w:rsidR="00253D8C" w:rsidRPr="00F643B4">
        <w:t>%</w:t>
      </w:r>
      <w:r w:rsidR="00253D8C">
        <w:t>, -8.9%, -11.5%</w:t>
      </w:r>
      <w:r w:rsidR="00B834FD">
        <w:rPr>
          <w:rFonts w:eastAsia="Malgun Gothic"/>
          <w:kern w:val="2"/>
        </w:rPr>
        <w:t xml:space="preserve">}, </w:t>
      </w:r>
      <w:r w:rsidR="005B6351">
        <w:rPr>
          <w:rFonts w:eastAsia="Malgun Gothic"/>
          <w:kern w:val="2"/>
        </w:rPr>
        <w:t xml:space="preserve">and </w:t>
      </w:r>
      <w:r w:rsidR="00B834FD">
        <w:rPr>
          <w:rFonts w:eastAsia="Malgun Gothic"/>
          <w:kern w:val="2"/>
        </w:rPr>
        <w:t>{</w:t>
      </w:r>
      <w:r w:rsidR="00253D8C">
        <w:t>-6</w:t>
      </w:r>
      <w:r w:rsidR="00253D8C" w:rsidRPr="00F643B4">
        <w:t>.</w:t>
      </w:r>
      <w:r w:rsidR="00253D8C">
        <w:t>2</w:t>
      </w:r>
      <w:r w:rsidR="00253D8C" w:rsidRPr="00F643B4">
        <w:t>%</w:t>
      </w:r>
      <w:r w:rsidR="00253D8C">
        <w:t>, -6.5%, -10.8%</w:t>
      </w:r>
      <w:r w:rsidR="00B834FD">
        <w:rPr>
          <w:rFonts w:eastAsia="Malgun Gothic"/>
          <w:kern w:val="2"/>
        </w:rPr>
        <w:t xml:space="preserve">} for </w:t>
      </w:r>
      <w:r w:rsidR="005B6351">
        <w:rPr>
          <w:rFonts w:eastAsia="Malgun Gothic"/>
          <w:kern w:val="2"/>
        </w:rPr>
        <w:t xml:space="preserve">AI and </w:t>
      </w:r>
      <w:r w:rsidR="00B834FD">
        <w:rPr>
          <w:rFonts w:eastAsia="Malgun Gothic"/>
          <w:kern w:val="2"/>
        </w:rPr>
        <w:t>RA</w:t>
      </w:r>
      <w:r w:rsidR="00F643B4">
        <w:rPr>
          <w:rFonts w:eastAsia="Malgun Gothic"/>
          <w:kern w:val="2"/>
        </w:rPr>
        <w:t>-2x</w:t>
      </w:r>
      <w:r w:rsidR="00B834FD">
        <w:rPr>
          <w:rFonts w:eastAsia="Malgun Gothic"/>
          <w:kern w:val="2"/>
        </w:rPr>
        <w:t xml:space="preserve">, respectively.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253D8C" w:rsidRDefault="00253D8C" w:rsidP="00DB314A">
      <w:pPr>
        <w:jc w:val="both"/>
        <w:rPr>
          <w:lang w:val="en-CA" w:eastAsia="ko-KR"/>
        </w:rPr>
      </w:pPr>
      <w:r>
        <w:rPr>
          <w:rFonts w:eastAsia="Malgun Gothic"/>
          <w:kern w:val="2"/>
        </w:rPr>
        <w:t xml:space="preserve">The </w:t>
      </w:r>
      <w:r>
        <w:rPr>
          <w:kern w:val="2"/>
          <w:lang w:eastAsia="zh-CN"/>
        </w:rPr>
        <w:t>combined bit-depth and color gamut conversion method with 3D LUT for SHVC color gamut scalability was proposed in JCTVC-O0161</w:t>
      </w:r>
      <w:r w:rsidR="003F1093">
        <w:rPr>
          <w:kern w:val="2"/>
          <w:lang w:eastAsia="zh-CN"/>
        </w:rPr>
        <w:t xml:space="preserve">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_Ref375148626 \n </w:instrText>
      </w:r>
      <w:r>
        <w:rPr>
          <w:kern w:val="2"/>
          <w:lang w:eastAsia="zh-CN"/>
        </w:rPr>
        <w:fldChar w:fldCharType="separate"/>
      </w:r>
      <w:r w:rsidR="00312DB4">
        <w:rPr>
          <w:kern w:val="2"/>
          <w:lang w:eastAsia="zh-CN"/>
        </w:rPr>
        <w:t>[2]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, where 3D LUT was </w:t>
      </w:r>
      <w:r w:rsidR="003F1093">
        <w:rPr>
          <w:kern w:val="2"/>
          <w:lang w:eastAsia="zh-CN"/>
        </w:rPr>
        <w:t>trained</w:t>
      </w:r>
      <w:r>
        <w:rPr>
          <w:kern w:val="2"/>
          <w:lang w:eastAsia="zh-CN"/>
        </w:rPr>
        <w:t xml:space="preserve"> offline. This proposal reported the performance of 3D LUT with SCE1 test conditions</w:t>
      </w:r>
      <w:r w:rsidR="00490060">
        <w:rPr>
          <w:kern w:val="2"/>
          <w:lang w:eastAsia="zh-CN"/>
        </w:rPr>
        <w:t xml:space="preserve"> </w:t>
      </w:r>
      <w:r w:rsidR="00490060">
        <w:rPr>
          <w:kern w:val="2"/>
          <w:lang w:eastAsia="zh-CN"/>
        </w:rPr>
        <w:fldChar w:fldCharType="begin"/>
      </w:r>
      <w:r w:rsidR="00490060">
        <w:rPr>
          <w:kern w:val="2"/>
          <w:lang w:eastAsia="zh-CN"/>
        </w:rPr>
        <w:instrText xml:space="preserve"> REF _Ref361224128 \r \h </w:instrText>
      </w:r>
      <w:r w:rsidR="00490060">
        <w:rPr>
          <w:kern w:val="2"/>
          <w:lang w:eastAsia="zh-CN"/>
        </w:rPr>
      </w:r>
      <w:r w:rsidR="00490060">
        <w:rPr>
          <w:kern w:val="2"/>
          <w:lang w:eastAsia="zh-CN"/>
        </w:rPr>
        <w:fldChar w:fldCharType="separate"/>
      </w:r>
      <w:r w:rsidR="00490060">
        <w:rPr>
          <w:kern w:val="2"/>
          <w:lang w:eastAsia="zh-CN"/>
        </w:rPr>
        <w:t>[1]</w:t>
      </w:r>
      <w:r w:rsidR="00490060"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. </w:t>
      </w:r>
      <w:r w:rsidR="003F1093">
        <w:rPr>
          <w:kern w:val="2"/>
          <w:lang w:eastAsia="zh-CN"/>
        </w:rPr>
        <w:t xml:space="preserve">3D LUT derivation process is integrated into the encoder based on SCE1 anchor software released by Technicolor. </w:t>
      </w:r>
    </w:p>
    <w:p w:rsidR="00DB314A" w:rsidRPr="003E2C27" w:rsidRDefault="00E34D4E" w:rsidP="00DB314A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>
        <w:t>3D LUT derivation</w:t>
      </w:r>
      <w:r w:rsidR="006E6ABA">
        <w:t xml:space="preserve"> and coding</w:t>
      </w:r>
    </w:p>
    <w:p w:rsidR="00BB3FAB" w:rsidRDefault="006E6ABA" w:rsidP="00565058">
      <w:pPr>
        <w:tabs>
          <w:tab w:val="clear" w:pos="360"/>
        </w:tabs>
        <w:overflowPunct/>
        <w:jc w:val="both"/>
        <w:textAlignment w:val="auto"/>
        <w:rPr>
          <w:lang w:eastAsia="ko-KR"/>
        </w:rPr>
      </w:pPr>
      <w:r>
        <w:rPr>
          <w:lang w:eastAsia="ko-KR"/>
        </w:rPr>
        <w:t xml:space="preserve">The 3D LUTs used in our simulations are </w:t>
      </w:r>
      <w:r w:rsidR="00AC4A60">
        <w:rPr>
          <w:lang w:eastAsia="ko-KR"/>
        </w:rPr>
        <w:t xml:space="preserve">online </w:t>
      </w:r>
      <w:r>
        <w:rPr>
          <w:lang w:eastAsia="ko-KR"/>
        </w:rPr>
        <w:t xml:space="preserve">trained. </w:t>
      </w:r>
      <w:r w:rsidR="00112578">
        <w:rPr>
          <w:lang w:eastAsia="ko-KR"/>
        </w:rPr>
        <w:t xml:space="preserve">The </w:t>
      </w:r>
      <w:r w:rsidR="00AC4A60">
        <w:rPr>
          <w:lang w:eastAsia="ko-KR"/>
        </w:rPr>
        <w:t xml:space="preserve">flow chart of SHVC encoder with </w:t>
      </w:r>
      <w:r w:rsidR="00112578">
        <w:rPr>
          <w:lang w:eastAsia="ko-KR"/>
        </w:rPr>
        <w:t xml:space="preserve">3D LUT </w:t>
      </w:r>
      <w:r w:rsidR="00AC4A60">
        <w:rPr>
          <w:lang w:eastAsia="ko-KR"/>
        </w:rPr>
        <w:t>online training</w:t>
      </w:r>
      <w:r w:rsidR="00112578">
        <w:rPr>
          <w:lang w:eastAsia="ko-KR"/>
        </w:rPr>
        <w:t xml:space="preserve"> </w:t>
      </w:r>
      <w:r w:rsidR="00AC4A60">
        <w:rPr>
          <w:lang w:eastAsia="ko-KR"/>
        </w:rPr>
        <w:t xml:space="preserve">is shown in </w:t>
      </w:r>
      <w:r w:rsidR="00AC4A60">
        <w:rPr>
          <w:lang w:eastAsia="ko-KR"/>
        </w:rPr>
        <w:fldChar w:fldCharType="begin"/>
      </w:r>
      <w:r w:rsidR="00AC4A60">
        <w:rPr>
          <w:lang w:eastAsia="ko-KR"/>
        </w:rPr>
        <w:instrText xml:space="preserve"> REF _Ref352793169 \h </w:instrText>
      </w:r>
      <w:r w:rsidR="00AC4A60">
        <w:rPr>
          <w:lang w:eastAsia="ko-KR"/>
        </w:rPr>
      </w:r>
      <w:r w:rsidR="00AC4A60">
        <w:rPr>
          <w:lang w:eastAsia="ko-KR"/>
        </w:rPr>
        <w:fldChar w:fldCharType="separate"/>
      </w:r>
      <w:r w:rsidR="00312DB4">
        <w:t xml:space="preserve">Figure </w:t>
      </w:r>
      <w:r w:rsidR="00312DB4">
        <w:rPr>
          <w:noProof/>
        </w:rPr>
        <w:t>1</w:t>
      </w:r>
      <w:r w:rsidR="00AC4A60">
        <w:rPr>
          <w:lang w:eastAsia="ko-KR"/>
        </w:rPr>
        <w:fldChar w:fldCharType="end"/>
      </w:r>
      <w:r w:rsidR="00112578">
        <w:rPr>
          <w:lang w:eastAsia="ko-KR"/>
        </w:rPr>
        <w:t xml:space="preserve">. </w:t>
      </w:r>
    </w:p>
    <w:p w:rsidR="00BB3FAB" w:rsidRDefault="00490060" w:rsidP="00BB3FAB">
      <w:pPr>
        <w:jc w:val="center"/>
      </w:pPr>
      <w:r>
        <w:object w:dxaOrig="10219" w:dyaOrig="74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55pt;height:285.85pt" o:ole="">
            <v:imagedata r:id="rId14" o:title=""/>
          </v:shape>
          <o:OLEObject Type="Embed" ProgID="Visio.Drawing.11" ShapeID="_x0000_i1025" DrawAspect="Content" ObjectID="_1450269428" r:id="rId15"/>
        </w:object>
      </w:r>
    </w:p>
    <w:p w:rsidR="00BB3FAB" w:rsidRPr="00112578" w:rsidRDefault="00BB3FAB" w:rsidP="00BB3FAB">
      <w:pPr>
        <w:pStyle w:val="Caption"/>
        <w:jc w:val="center"/>
        <w:rPr>
          <w:b w:val="0"/>
        </w:rPr>
      </w:pPr>
      <w:bookmarkStart w:id="1" w:name="_Ref352793169"/>
      <w:proofErr w:type="gramStart"/>
      <w:r>
        <w:t xml:space="preserve">Figure </w:t>
      </w:r>
      <w:r w:rsidR="001C5396">
        <w:fldChar w:fldCharType="begin"/>
      </w:r>
      <w:r w:rsidR="001C5396">
        <w:instrText xml:space="preserve"> SEQ Figure \* ARABIC </w:instrText>
      </w:r>
      <w:r w:rsidR="001C5396">
        <w:fldChar w:fldCharType="separate"/>
      </w:r>
      <w:r w:rsidR="006C4EF8">
        <w:rPr>
          <w:noProof/>
        </w:rPr>
        <w:t>1</w:t>
      </w:r>
      <w:r w:rsidR="001C5396">
        <w:rPr>
          <w:noProof/>
        </w:rPr>
        <w:fldChar w:fldCharType="end"/>
      </w:r>
      <w:bookmarkEnd w:id="1"/>
      <w:r>
        <w:t>.</w:t>
      </w:r>
      <w:proofErr w:type="gramEnd"/>
      <w:r>
        <w:t xml:space="preserve"> </w:t>
      </w:r>
      <w:r>
        <w:rPr>
          <w:b w:val="0"/>
        </w:rPr>
        <w:t>SHVC encoder with</w:t>
      </w:r>
      <w:r w:rsidRPr="00112578">
        <w:rPr>
          <w:b w:val="0"/>
        </w:rPr>
        <w:t xml:space="preserve"> 3D LUT </w:t>
      </w:r>
      <w:r>
        <w:rPr>
          <w:b w:val="0"/>
        </w:rPr>
        <w:t>online training</w:t>
      </w:r>
    </w:p>
    <w:p w:rsidR="00624028" w:rsidRDefault="00AC4A60" w:rsidP="00565058">
      <w:pPr>
        <w:tabs>
          <w:tab w:val="clear" w:pos="360"/>
        </w:tabs>
        <w:overflowPunct/>
        <w:jc w:val="both"/>
        <w:textAlignment w:val="auto"/>
        <w:rPr>
          <w:lang w:eastAsia="ko-KR"/>
        </w:rPr>
      </w:pPr>
      <w:r>
        <w:rPr>
          <w:lang w:eastAsia="ko-KR"/>
        </w:rPr>
        <w:t xml:space="preserve">The target picture for 3D LUT training is the </w:t>
      </w:r>
      <w:proofErr w:type="spellStart"/>
      <w:r>
        <w:rPr>
          <w:lang w:eastAsia="ko-KR"/>
        </w:rPr>
        <w:t>downsampled</w:t>
      </w:r>
      <w:proofErr w:type="spellEnd"/>
      <w:r>
        <w:rPr>
          <w:lang w:eastAsia="ko-KR"/>
        </w:rPr>
        <w:t xml:space="preserve"> picture from the EL input. The </w:t>
      </w:r>
      <w:r w:rsidR="00E77B83">
        <w:rPr>
          <w:lang w:eastAsia="ko-KR"/>
        </w:rPr>
        <w:t>input source</w:t>
      </w:r>
      <w:r>
        <w:rPr>
          <w:lang w:eastAsia="ko-KR"/>
        </w:rPr>
        <w:t xml:space="preserve"> for 3D LUT training is the BL reconstructed picture. The </w:t>
      </w:r>
      <w:r w:rsidR="00930CB3">
        <w:rPr>
          <w:lang w:eastAsia="ko-KR"/>
        </w:rPr>
        <w:t xml:space="preserve">3D LUT </w:t>
      </w:r>
      <w:r w:rsidR="00490060">
        <w:rPr>
          <w:lang w:eastAsia="ko-KR"/>
        </w:rPr>
        <w:t>is trained using</w:t>
      </w:r>
      <w:r w:rsidR="00490060" w:rsidDel="00490060">
        <w:rPr>
          <w:lang w:eastAsia="ko-KR"/>
        </w:rPr>
        <w:t xml:space="preserve"> </w:t>
      </w:r>
      <w:r w:rsidR="006E6ABA">
        <w:rPr>
          <w:lang w:eastAsia="ko-KR"/>
        </w:rPr>
        <w:t>L</w:t>
      </w:r>
      <w:r w:rsidR="00B83368">
        <w:rPr>
          <w:lang w:eastAsia="ko-KR"/>
        </w:rPr>
        <w:t xml:space="preserve">east </w:t>
      </w:r>
      <w:r w:rsidR="006E6ABA">
        <w:rPr>
          <w:lang w:eastAsia="ko-KR"/>
        </w:rPr>
        <w:t>S</w:t>
      </w:r>
      <w:r w:rsidR="00B83368">
        <w:rPr>
          <w:lang w:eastAsia="ko-KR"/>
        </w:rPr>
        <w:t xml:space="preserve">quare method. </w:t>
      </w:r>
      <w:r w:rsidR="00E77B83">
        <w:rPr>
          <w:lang w:eastAsia="ko-KR"/>
        </w:rPr>
        <w:t xml:space="preserve">The tetrahedral interpolation </w:t>
      </w:r>
      <w:r w:rsidR="006B405B">
        <w:rPr>
          <w:lang w:eastAsia="ko-KR"/>
        </w:rPr>
        <w:t xml:space="preserve">used in 3D LUT based CGS is a </w:t>
      </w:r>
      <w:r w:rsidR="00E77B83">
        <w:rPr>
          <w:lang w:eastAsia="ko-KR"/>
        </w:rPr>
        <w:t>linear function and it can be described as Eq</w:t>
      </w:r>
      <w:r w:rsidR="00FE187E">
        <w:rPr>
          <w:lang w:eastAsia="ko-KR"/>
        </w:rPr>
        <w:t xml:space="preserve">uation </w:t>
      </w:r>
      <w:r w:rsidR="00E77B83">
        <w:rPr>
          <w:lang w:eastAsia="ko-KR"/>
        </w:rPr>
        <w:t xml:space="preserve">(1) in </w:t>
      </w:r>
      <w:r w:rsidR="006B405B">
        <w:rPr>
          <w:szCs w:val="22"/>
        </w:rPr>
        <w:t>matrix</w:t>
      </w:r>
      <w:r w:rsidR="006B405B">
        <w:rPr>
          <w:lang w:eastAsia="ko-KR"/>
        </w:rPr>
        <w:t xml:space="preserve"> </w:t>
      </w:r>
      <w:r w:rsidR="00E77B83">
        <w:rPr>
          <w:lang w:eastAsia="ko-KR"/>
        </w:rPr>
        <w:t>form.</w:t>
      </w:r>
      <w:r w:rsidR="00FE187E">
        <w:rPr>
          <w:lang w:eastAsia="ko-KR"/>
        </w:rPr>
        <w:t xml:space="preserve"> </w:t>
      </w:r>
    </w:p>
    <w:p w:rsidR="00930CB3" w:rsidRDefault="001C5396" w:rsidP="00930CB3">
      <w:pPr>
        <w:spacing w:after="120"/>
        <w:jc w:val="right"/>
        <w:rPr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z</m:t>
            </m:r>
          </m:e>
          <m:sub>
            <m:r>
              <w:rPr>
                <w:rFonts w:ascii="Cambria Math" w:hAnsi="Cambria Math"/>
                <w:szCs w:val="22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c</m:t>
            </m:r>
          </m:e>
        </m:d>
        <m:r>
          <w:rPr>
            <w:rFonts w:ascii="Cambria Math" w:hAnsi="Cambria Math"/>
            <w:szCs w:val="22"/>
          </w:rPr>
          <m:t>=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/>
                    <w:i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hAnsi="Cambria Math"/>
                <w:szCs w:val="22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c</m:t>
            </m:r>
          </m:e>
        </m:d>
        <m:r>
          <w:rPr>
            <w:rFonts w:ascii="Cambria Math" w:hAnsi="Cambria Math"/>
            <w:szCs w:val="22"/>
          </w:rPr>
          <m:t>*P(c), i∈[0,N-1]</m:t>
        </m:r>
      </m:oMath>
      <w:r w:rsidR="00930CB3">
        <w:rPr>
          <w:szCs w:val="22"/>
        </w:rPr>
        <w:t xml:space="preserve">                     (</w:t>
      </w:r>
      <w:r w:rsidR="00E77B83">
        <w:rPr>
          <w:szCs w:val="22"/>
        </w:rPr>
        <w:t>1</w:t>
      </w:r>
      <w:r w:rsidR="00930CB3">
        <w:rPr>
          <w:szCs w:val="22"/>
        </w:rPr>
        <w:t>)</w:t>
      </w:r>
    </w:p>
    <w:p w:rsidR="00930CB3" w:rsidRDefault="001C5396" w:rsidP="00FE187E">
      <w:pPr>
        <w:spacing w:after="120"/>
        <w:jc w:val="both"/>
        <w:rPr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z</m:t>
            </m:r>
          </m:e>
          <m:sub>
            <m:r>
              <w:rPr>
                <w:rFonts w:ascii="Cambria Math" w:hAnsi="Cambria Math"/>
                <w:szCs w:val="22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c</m:t>
            </m:r>
          </m:e>
        </m:d>
        <m:r>
          <m:rPr>
            <m:sty m:val="p"/>
          </m:rPr>
          <w:rPr>
            <w:rFonts w:ascii="Cambria Math" w:hAnsi="Cambria Math"/>
            <w:szCs w:val="22"/>
          </w:rPr>
          <m:t xml:space="preserve"> </m:t>
        </m:r>
      </m:oMath>
      <w:proofErr w:type="gramStart"/>
      <w:r w:rsidR="00FE187E">
        <w:rPr>
          <w:szCs w:val="22"/>
        </w:rPr>
        <w:t>is</w:t>
      </w:r>
      <w:proofErr w:type="gramEnd"/>
      <w:r w:rsidR="00FE187E">
        <w:rPr>
          <w:szCs w:val="22"/>
        </w:rPr>
        <w:t xml:space="preserve"> the</w:t>
      </w:r>
      <w:r w:rsidR="006B405B">
        <w:rPr>
          <w:szCs w:val="22"/>
        </w:rPr>
        <w:t xml:space="preserve"> </w:t>
      </w:r>
      <w:proofErr w:type="spellStart"/>
      <w:r w:rsidR="006B405B">
        <w:rPr>
          <w:szCs w:val="22"/>
        </w:rPr>
        <w:t>i-th</w:t>
      </w:r>
      <w:proofErr w:type="spellEnd"/>
      <w:r w:rsidR="00FE187E">
        <w:rPr>
          <w:szCs w:val="22"/>
        </w:rPr>
        <w:t xml:space="preserve"> converted signal of component c, where c can be Y, U or V in BT.2020. </w:t>
      </w:r>
      <w:proofErr w:type="gramStart"/>
      <w:r w:rsidR="00FE187E">
        <w:rPr>
          <w:szCs w:val="22"/>
        </w:rPr>
        <w:t>i</w:t>
      </w:r>
      <w:proofErr w:type="gramEnd"/>
      <w:r w:rsidR="00FE187E">
        <w:rPr>
          <w:szCs w:val="22"/>
        </w:rPr>
        <w:t xml:space="preserve"> is the index of input pixel. N is the total number of input pixels. </w:t>
      </w:r>
      <w:r w:rsidR="00930CB3">
        <w:rPr>
          <w:szCs w:val="22"/>
        </w:rPr>
        <w:t xml:space="preserve">* </w:t>
      </w:r>
      <w:proofErr w:type="gramStart"/>
      <w:r w:rsidR="00930CB3">
        <w:rPr>
          <w:szCs w:val="22"/>
        </w:rPr>
        <w:t>in</w:t>
      </w:r>
      <w:proofErr w:type="gramEnd"/>
      <w:r w:rsidR="00930CB3">
        <w:rPr>
          <w:szCs w:val="22"/>
        </w:rPr>
        <w:t xml:space="preserve"> Equation(</w:t>
      </w:r>
      <w:r w:rsidR="00FE187E">
        <w:rPr>
          <w:szCs w:val="22"/>
        </w:rPr>
        <w:t>1</w:t>
      </w:r>
      <w:r w:rsidR="00930CB3">
        <w:rPr>
          <w:szCs w:val="22"/>
        </w:rPr>
        <w:t xml:space="preserve">) is matrix multiplication.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acc>
              <m:accPr>
                <m:chr m:val="⃑"/>
                <m:ctrlPr>
                  <w:rPr>
                    <w:rFonts w:ascii="Cambria Math" w:hAnsi="Cambria Math"/>
                    <w:i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Cs w:val="22"/>
                  </w:rPr>
                  <m:t>w</m:t>
                </m:r>
              </m:e>
            </m:acc>
          </m:e>
          <m:sub>
            <m:r>
              <w:rPr>
                <w:rFonts w:ascii="Cambria Math" w:hAnsi="Cambria Math"/>
                <w:szCs w:val="22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c</m:t>
            </m:r>
          </m:e>
        </m:d>
      </m:oMath>
      <w:r w:rsidR="00930CB3">
        <w:rPr>
          <w:szCs w:val="22"/>
        </w:rPr>
        <w:t xml:space="preserve"> </w:t>
      </w:r>
      <w:proofErr w:type="gramStart"/>
      <w:r w:rsidR="00930CB3">
        <w:rPr>
          <w:szCs w:val="22"/>
        </w:rPr>
        <w:t>is</w:t>
      </w:r>
      <w:proofErr w:type="gramEnd"/>
      <w:r w:rsidR="00930CB3">
        <w:rPr>
          <w:szCs w:val="22"/>
        </w:rPr>
        <w:t xml:space="preserve"> the weighting vector for the </w:t>
      </w:r>
      <w:proofErr w:type="spellStart"/>
      <w:r w:rsidR="00930CB3">
        <w:rPr>
          <w:szCs w:val="22"/>
        </w:rPr>
        <w:t>i-th</w:t>
      </w:r>
      <w:proofErr w:type="spellEnd"/>
      <w:r w:rsidR="00930CB3">
        <w:rPr>
          <w:szCs w:val="22"/>
        </w:rPr>
        <w:t xml:space="preserve"> input pixel</w:t>
      </w:r>
      <w:r w:rsidR="006B405B">
        <w:rPr>
          <w:szCs w:val="22"/>
        </w:rPr>
        <w:t>, and is expressed as below</w:t>
      </w:r>
      <w:r w:rsidR="00930CB3">
        <w:rPr>
          <w:szCs w:val="22"/>
        </w:rPr>
        <w:t xml:space="preserve">. </w:t>
      </w:r>
    </w:p>
    <w:p w:rsidR="00930CB3" w:rsidRPr="003548C4" w:rsidRDefault="001C5396" w:rsidP="00930CB3">
      <w:pPr>
        <w:spacing w:after="120"/>
        <w:rPr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2"/>
                </w:rPr>
              </m:ctrlPr>
            </m:sSubPr>
            <m:e>
              <m:acc>
                <m:accPr>
                  <m:chr m:val="⃑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2"/>
                    </w:rPr>
                    <m:t>w</m:t>
                  </m:r>
                </m:e>
              </m:acc>
            </m:e>
            <m:sub>
              <m:r>
                <w:rPr>
                  <w:rFonts w:ascii="Cambria Math" w:hAnsi="Cambria Math"/>
                  <w:szCs w:val="22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2"/>
                </w:rPr>
              </m:ctrlPr>
            </m:dPr>
            <m:e>
              <m:r>
                <w:rPr>
                  <w:rFonts w:ascii="Cambria Math" w:hAnsi="Cambria Math"/>
                  <w:szCs w:val="22"/>
                </w:rPr>
                <m:t>c</m:t>
              </m:r>
            </m:e>
          </m:d>
          <m:r>
            <w:rPr>
              <w:rFonts w:ascii="Cambria Math" w:hAnsi="Cambria Math"/>
              <w:szCs w:val="22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i,0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…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i,M-1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szCs w:val="22"/>
            </w:rPr>
            <m:t>, i∈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2"/>
                </w:rPr>
              </m:ctrlPr>
            </m:dPr>
            <m:e>
              <m:r>
                <w:rPr>
                  <w:rFonts w:ascii="Cambria Math" w:hAnsi="Cambria Math"/>
                  <w:szCs w:val="22"/>
                </w:rPr>
                <m:t>0,N-1</m:t>
              </m:r>
            </m:e>
          </m:d>
        </m:oMath>
      </m:oMathPara>
    </w:p>
    <w:p w:rsidR="002227D7" w:rsidRDefault="001C5396" w:rsidP="002227D7">
      <w:pPr>
        <w:spacing w:after="120"/>
        <w:jc w:val="both"/>
        <w:rPr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w</m:t>
            </m:r>
          </m:e>
          <m:sub>
            <m:r>
              <w:rPr>
                <w:rFonts w:ascii="Cambria Math" w:hAnsi="Cambria Math"/>
                <w:szCs w:val="22"/>
              </w:rPr>
              <m:t>i,j</m:t>
            </m:r>
          </m:sub>
        </m:sSub>
      </m:oMath>
      <w:r w:rsidR="002227D7">
        <w:rPr>
          <w:szCs w:val="22"/>
        </w:rPr>
        <w:t xml:space="preserve"> </w:t>
      </w:r>
      <w:proofErr w:type="gramStart"/>
      <w:r w:rsidR="002227D7">
        <w:rPr>
          <w:szCs w:val="22"/>
        </w:rPr>
        <w:t>is</w:t>
      </w:r>
      <w:proofErr w:type="gramEnd"/>
      <w:r w:rsidR="002227D7">
        <w:rPr>
          <w:szCs w:val="22"/>
        </w:rPr>
        <w:t xml:space="preserve"> the weight of the j-th output entry of 3D LUT for the </w:t>
      </w:r>
      <w:proofErr w:type="spellStart"/>
      <w:r w:rsidR="002227D7">
        <w:rPr>
          <w:szCs w:val="22"/>
        </w:rPr>
        <w:t>i-th</w:t>
      </w:r>
      <w:proofErr w:type="spellEnd"/>
      <w:r w:rsidR="002227D7">
        <w:rPr>
          <w:szCs w:val="22"/>
        </w:rPr>
        <w:t xml:space="preserve"> input pixel, which is calculated according to tetrahedral interpolation Equations in </w:t>
      </w:r>
      <w:r w:rsidR="002227D7">
        <w:rPr>
          <w:szCs w:val="22"/>
        </w:rPr>
        <w:fldChar w:fldCharType="begin"/>
      </w:r>
      <w:r w:rsidR="002227D7">
        <w:rPr>
          <w:szCs w:val="22"/>
        </w:rPr>
        <w:instrText xml:space="preserve"> REF _Ref375148626 \n </w:instrText>
      </w:r>
      <w:r w:rsidR="002227D7">
        <w:rPr>
          <w:szCs w:val="22"/>
        </w:rPr>
        <w:fldChar w:fldCharType="separate"/>
      </w:r>
      <w:r w:rsidR="002227D7">
        <w:rPr>
          <w:szCs w:val="22"/>
        </w:rPr>
        <w:t>[2]</w:t>
      </w:r>
      <w:r w:rsidR="002227D7">
        <w:rPr>
          <w:szCs w:val="22"/>
        </w:rPr>
        <w:fldChar w:fldCharType="end"/>
      </w:r>
      <w:r w:rsidR="002227D7">
        <w:rPr>
          <w:szCs w:val="22"/>
        </w:rPr>
        <w:t xml:space="preserve">. </w:t>
      </w:r>
    </w:p>
    <w:p w:rsidR="00930CB3" w:rsidRPr="003548C4" w:rsidRDefault="00930CB3" w:rsidP="00FE187E">
      <w:pPr>
        <w:spacing w:after="120"/>
        <w:jc w:val="both"/>
        <w:rPr>
          <w:szCs w:val="22"/>
        </w:rPr>
      </w:pPr>
      <m:oMath>
        <m:r>
          <w:rPr>
            <w:rFonts w:ascii="Cambria Math" w:hAnsi="Cambria Math"/>
            <w:szCs w:val="22"/>
          </w:rPr>
          <m:t>P(c)</m:t>
        </m:r>
      </m:oMath>
      <w:r>
        <w:rPr>
          <w:szCs w:val="22"/>
        </w:rPr>
        <w:t xml:space="preserve"> </w:t>
      </w:r>
      <w:proofErr w:type="gramStart"/>
      <w:r>
        <w:rPr>
          <w:szCs w:val="22"/>
        </w:rPr>
        <w:t>is</w:t>
      </w:r>
      <w:proofErr w:type="gramEnd"/>
      <w:r>
        <w:rPr>
          <w:szCs w:val="22"/>
        </w:rPr>
        <w:t xml:space="preserve"> the parameter vector to be estimated, </w:t>
      </w:r>
      <w:r w:rsidR="002227D7">
        <w:rPr>
          <w:szCs w:val="22"/>
        </w:rPr>
        <w:t>that is</w:t>
      </w:r>
      <w:r>
        <w:rPr>
          <w:szCs w:val="22"/>
        </w:rPr>
        <w:t xml:space="preserve"> the output entries of 3D LUT</w:t>
      </w:r>
      <w:r w:rsidR="002227D7">
        <w:rPr>
          <w:szCs w:val="22"/>
        </w:rPr>
        <w:t>, and can be written as below</w:t>
      </w:r>
      <w:r>
        <w:rPr>
          <w:szCs w:val="22"/>
        </w:rPr>
        <w:t>:</w:t>
      </w:r>
    </w:p>
    <w:p w:rsidR="00930CB3" w:rsidRPr="003548C4" w:rsidRDefault="00930CB3" w:rsidP="00930CB3">
      <w:pPr>
        <w:spacing w:after="120"/>
        <w:rPr>
          <w:szCs w:val="22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22"/>
            </w:rPr>
            <m:t>P</m:t>
          </m:r>
          <m:d>
            <m:dPr>
              <m:ctrlPr>
                <w:rPr>
                  <w:rFonts w:ascii="Cambria Math" w:hAnsi="Cambria Math"/>
                  <w:i/>
                  <w:szCs w:val="22"/>
                </w:rPr>
              </m:ctrlPr>
            </m:dPr>
            <m:e>
              <m:r>
                <w:rPr>
                  <w:rFonts w:ascii="Cambria Math" w:hAnsi="Cambria Math"/>
                  <w:szCs w:val="22"/>
                </w:rPr>
                <m:t>c</m:t>
              </m:r>
            </m:e>
          </m:d>
          <m:r>
            <w:rPr>
              <w:rFonts w:ascii="Cambria Math" w:hAnsi="Cambria Math"/>
              <w:szCs w:val="22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0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…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M-1</m:t>
                        </m:r>
                      </m:sub>
                    </m:sSub>
                  </m:e>
                </m:mr>
              </m:m>
            </m:e>
          </m:d>
        </m:oMath>
      </m:oMathPara>
    </w:p>
    <w:p w:rsidR="00930CB3" w:rsidRDefault="00930CB3" w:rsidP="00BB3FAB">
      <w:pPr>
        <w:spacing w:after="120"/>
        <w:jc w:val="both"/>
        <w:rPr>
          <w:szCs w:val="22"/>
        </w:rPr>
      </w:pPr>
      <w:r>
        <w:rPr>
          <w:szCs w:val="22"/>
        </w:rPr>
        <w:t xml:space="preserve">M is the number of 3D LUT output entries, for example M is </w:t>
      </w:r>
      <w:r w:rsidR="00FE187E">
        <w:rPr>
          <w:szCs w:val="22"/>
        </w:rPr>
        <w:t>729</w:t>
      </w:r>
      <w:r>
        <w:rPr>
          <w:szCs w:val="22"/>
        </w:rPr>
        <w:t xml:space="preserve"> for </w:t>
      </w:r>
      <w:r w:rsidR="00FE187E">
        <w:rPr>
          <w:szCs w:val="22"/>
        </w:rPr>
        <w:t>9</w:t>
      </w:r>
      <w:r>
        <w:rPr>
          <w:szCs w:val="22"/>
        </w:rPr>
        <w:t>x</w:t>
      </w:r>
      <w:r w:rsidR="00FE187E">
        <w:rPr>
          <w:szCs w:val="22"/>
        </w:rPr>
        <w:t>9</w:t>
      </w:r>
      <w:r>
        <w:rPr>
          <w:szCs w:val="22"/>
        </w:rPr>
        <w:t>x</w:t>
      </w:r>
      <w:r w:rsidR="00FE187E">
        <w:rPr>
          <w:szCs w:val="22"/>
        </w:rPr>
        <w:t>9</w:t>
      </w:r>
      <w:r>
        <w:rPr>
          <w:szCs w:val="22"/>
        </w:rPr>
        <w:t xml:space="preserve"> sized 3D LUT. For simplicity, we will omit the component c in the following equations because the 3D LUT of each component can be estimated independently. If we aggregate Equation (</w:t>
      </w:r>
      <w:r w:rsidR="00BB3FAB">
        <w:rPr>
          <w:szCs w:val="22"/>
        </w:rPr>
        <w:t>1</w:t>
      </w:r>
      <w:r>
        <w:rPr>
          <w:szCs w:val="22"/>
        </w:rPr>
        <w:t>) for all pixels, then we get:</w:t>
      </w:r>
    </w:p>
    <w:p w:rsidR="00930CB3" w:rsidRDefault="00930CB3" w:rsidP="00930CB3">
      <w:pPr>
        <w:spacing w:after="120"/>
        <w:jc w:val="right"/>
        <w:rPr>
          <w:szCs w:val="22"/>
        </w:rPr>
      </w:pPr>
      <m:oMath>
        <m:r>
          <w:rPr>
            <w:rFonts w:ascii="Cambria Math" w:hAnsi="Cambria Math"/>
            <w:szCs w:val="22"/>
          </w:rPr>
          <m:t>Z=W*P</m:t>
        </m:r>
      </m:oMath>
      <w:r>
        <w:rPr>
          <w:szCs w:val="22"/>
        </w:rPr>
        <w:t xml:space="preserve"> </w:t>
      </w:r>
      <w:r w:rsidR="00BB3FAB">
        <w:rPr>
          <w:szCs w:val="22"/>
        </w:rPr>
        <w:t xml:space="preserve">                                      </w:t>
      </w:r>
      <w:r>
        <w:rPr>
          <w:szCs w:val="22"/>
        </w:rPr>
        <w:t xml:space="preserve"> (</w:t>
      </w:r>
      <w:r w:rsidR="00BB3FAB">
        <w:rPr>
          <w:szCs w:val="22"/>
        </w:rPr>
        <w:t>2</w:t>
      </w:r>
      <w:r>
        <w:rPr>
          <w:szCs w:val="22"/>
        </w:rPr>
        <w:t>)</w:t>
      </w:r>
    </w:p>
    <w:p w:rsidR="00930CB3" w:rsidRPr="002E711F" w:rsidRDefault="00930CB3" w:rsidP="00930CB3">
      <w:pPr>
        <w:spacing w:after="120"/>
        <w:rPr>
          <w:szCs w:val="22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22"/>
            </w:rPr>
            <m:t>Z=</m:t>
          </m:r>
          <m:sSup>
            <m:sSupPr>
              <m:ctrlPr>
                <w:rPr>
                  <w:rFonts w:ascii="Cambria Math" w:hAnsi="Cambria Math"/>
                  <w:i/>
                  <w:szCs w:val="22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0</m:t>
                            </m:r>
                          </m:sub>
                        </m:sSub>
                      </m:e>
                      <m:e>
                        <m:r>
                          <w:rPr>
                            <w:rFonts w:ascii="Cambria Math" w:hAnsi="Cambria Math"/>
                          </w:rPr>
                          <m:t>…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N-1</m:t>
                            </m:r>
                          </m:sub>
                        </m:sSub>
                      </m:e>
                    </m:mr>
                  </m:m>
                </m:e>
              </m:d>
            </m:e>
            <m:sup>
              <m:r>
                <w:rPr>
                  <w:rFonts w:ascii="Cambria Math" w:hAnsi="Cambria Math"/>
                  <w:szCs w:val="22"/>
                </w:rPr>
                <m:t>T</m:t>
              </m:r>
            </m:sup>
          </m:sSup>
        </m:oMath>
      </m:oMathPara>
    </w:p>
    <w:p w:rsidR="00930CB3" w:rsidRPr="003548C4" w:rsidRDefault="00930CB3" w:rsidP="00930CB3">
      <w:pPr>
        <w:spacing w:after="120"/>
        <w:jc w:val="right"/>
        <w:rPr>
          <w:szCs w:val="22"/>
        </w:rPr>
      </w:pPr>
      <m:oMath>
        <m:r>
          <w:rPr>
            <w:rFonts w:ascii="Cambria Math" w:hAnsi="Cambria Math"/>
            <w:szCs w:val="22"/>
          </w:rPr>
          <m:t>W=</m:t>
        </m:r>
        <m:sSup>
          <m:sSupPr>
            <m:ctrlPr>
              <w:rPr>
                <w:rFonts w:ascii="Cambria Math" w:hAnsi="Cambria Math"/>
                <w:i/>
                <w:szCs w:val="22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Cs w:val="22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0,0</m:t>
                          </m:r>
                        </m:sub>
                      </m:sSub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0,1</m:t>
                          </m:r>
                        </m:sub>
                      </m:sSub>
                    </m:e>
                    <m:e>
                      <m:r>
                        <w:rPr>
                          <w:rFonts w:ascii="Cambria Math" w:hAnsi="Cambria Math"/>
                        </w:rPr>
                        <m:t>…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⋮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⋮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⋱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N-1,0</m:t>
                          </m:r>
                        </m:sub>
                      </m:sSub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N-1,1</m:t>
                          </m:r>
                        </m:sub>
                      </m:sSub>
                    </m:e>
                    <m:e>
                      <m:r>
                        <w:rPr>
                          <w:rFonts w:ascii="Cambria Math" w:hAnsi="Cambria Math"/>
                        </w:rPr>
                        <m:t>⋯</m:t>
                      </m:r>
                    </m:e>
                  </m:mr>
                </m:m>
                <m:r>
                  <w:rPr>
                    <w:rFonts w:ascii="Cambria Math" w:hAnsi="Cambria Math"/>
                    <w:szCs w:val="22"/>
                  </w:rPr>
                  <m:t xml:space="preserve">     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mP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0,M-1</m:t>
                          </m:r>
                        </m:sub>
                      </m:sSub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⋮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N-1,M-1</m:t>
                          </m:r>
                        </m:sub>
                      </m:sSub>
                    </m:e>
                  </m:mr>
                </m:m>
              </m:e>
            </m:d>
          </m:e>
          <m:sup/>
        </m:sSup>
      </m:oMath>
      <w:r>
        <w:rPr>
          <w:szCs w:val="22"/>
        </w:rPr>
        <w:t xml:space="preserve">   </w:t>
      </w:r>
      <w:r w:rsidR="00BB3FAB">
        <w:rPr>
          <w:szCs w:val="22"/>
        </w:rPr>
        <w:t xml:space="preserve"> </w:t>
      </w:r>
      <w:r w:rsidR="00312DB4">
        <w:rPr>
          <w:szCs w:val="22"/>
        </w:rPr>
        <w:t xml:space="preserve">  </w:t>
      </w:r>
      <w:r w:rsidR="00BB3FAB">
        <w:rPr>
          <w:szCs w:val="22"/>
        </w:rPr>
        <w:t xml:space="preserve">        </w:t>
      </w:r>
      <w:r>
        <w:rPr>
          <w:szCs w:val="22"/>
        </w:rPr>
        <w:t>(</w:t>
      </w:r>
      <w:r w:rsidR="00BB3FAB">
        <w:rPr>
          <w:szCs w:val="22"/>
        </w:rPr>
        <w:t>3</w:t>
      </w:r>
      <w:r>
        <w:rPr>
          <w:szCs w:val="22"/>
        </w:rPr>
        <w:t>)</w:t>
      </w:r>
    </w:p>
    <w:p w:rsidR="00312DB4" w:rsidRDefault="002227D7" w:rsidP="00312DB4">
      <w:pPr>
        <w:rPr>
          <w:szCs w:val="22"/>
        </w:rPr>
      </w:pPr>
      <w:r>
        <w:rPr>
          <w:szCs w:val="22"/>
        </w:rPr>
        <w:t xml:space="preserve">With a given input signal, not all 3D LUT entries can be filled. Therefore, we obtain a </w:t>
      </w:r>
      <w:r w:rsidR="00312DB4">
        <w:rPr>
          <w:szCs w:val="22"/>
        </w:rPr>
        <w:t xml:space="preserve">compact parameter set </w:t>
      </w:r>
      <w:r w:rsidR="00312DB4" w:rsidRPr="00312DB4">
        <w:rPr>
          <w:i/>
          <w:szCs w:val="22"/>
        </w:rPr>
        <w:t>P’</w:t>
      </w:r>
      <w:r w:rsidR="00312DB4">
        <w:rPr>
          <w:szCs w:val="22"/>
        </w:rPr>
        <w:t xml:space="preserve"> by removing all those unused 3D LUT vertices</w:t>
      </w:r>
      <w:r>
        <w:rPr>
          <w:szCs w:val="22"/>
        </w:rPr>
        <w:t xml:space="preserve"> from P</w:t>
      </w:r>
      <w:r w:rsidR="00312DB4">
        <w:rPr>
          <w:szCs w:val="22"/>
        </w:rPr>
        <w:t xml:space="preserve">, and we build a mapping from </w:t>
      </w:r>
      <w:r w:rsidR="00312DB4" w:rsidRPr="00312DB4">
        <w:rPr>
          <w:i/>
          <w:szCs w:val="22"/>
        </w:rPr>
        <w:t>P’</w:t>
      </w:r>
      <w:r w:rsidR="00312DB4">
        <w:rPr>
          <w:szCs w:val="22"/>
        </w:rPr>
        <w:t xml:space="preserve"> to </w:t>
      </w:r>
      <w:r w:rsidR="00312DB4" w:rsidRPr="00312DB4">
        <w:rPr>
          <w:i/>
          <w:szCs w:val="22"/>
        </w:rPr>
        <w:t>P</w:t>
      </w:r>
      <w:r>
        <w:rPr>
          <w:szCs w:val="22"/>
        </w:rPr>
        <w:t>.</w:t>
      </w:r>
      <w:r w:rsidR="00312DB4">
        <w:rPr>
          <w:szCs w:val="22"/>
        </w:rPr>
        <w:t xml:space="preserve"> </w:t>
      </w:r>
      <w:r>
        <w:rPr>
          <w:szCs w:val="22"/>
        </w:rPr>
        <w:t xml:space="preserve">We train the entries in </w:t>
      </w:r>
      <w:r w:rsidRPr="00856959">
        <w:rPr>
          <w:i/>
          <w:szCs w:val="22"/>
        </w:rPr>
        <w:t>P’</w:t>
      </w:r>
      <w:r>
        <w:rPr>
          <w:szCs w:val="22"/>
        </w:rPr>
        <w:t xml:space="preserve">, and then use the mapping </w:t>
      </w:r>
      <w:r w:rsidR="00312DB4">
        <w:rPr>
          <w:szCs w:val="22"/>
        </w:rPr>
        <w:t xml:space="preserve">to reconstruct </w:t>
      </w:r>
      <w:r w:rsidR="00312DB4" w:rsidRPr="00312DB4">
        <w:rPr>
          <w:i/>
          <w:szCs w:val="22"/>
        </w:rPr>
        <w:t>P</w:t>
      </w:r>
      <w:r w:rsidR="00312DB4">
        <w:rPr>
          <w:szCs w:val="22"/>
        </w:rPr>
        <w:t xml:space="preserve"> after </w:t>
      </w:r>
      <w:r w:rsidR="00312DB4" w:rsidRPr="00312DB4">
        <w:rPr>
          <w:i/>
          <w:szCs w:val="22"/>
        </w:rPr>
        <w:t>P’</w:t>
      </w:r>
      <w:r w:rsidR="00312DB4">
        <w:rPr>
          <w:szCs w:val="22"/>
        </w:rPr>
        <w:t xml:space="preserve"> is estimated.</w:t>
      </w:r>
    </w:p>
    <w:p w:rsidR="00312DB4" w:rsidRPr="00AE2ABA" w:rsidRDefault="00312DB4" w:rsidP="00312DB4">
      <w:pPr>
        <w:spacing w:after="120"/>
        <w:rPr>
          <w:szCs w:val="22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22"/>
            </w:rPr>
            <w:lastRenderedPageBreak/>
            <m:t>P'=compact(P)</m:t>
          </m:r>
        </m:oMath>
      </m:oMathPara>
    </w:p>
    <w:p w:rsidR="00312DB4" w:rsidRPr="003548C4" w:rsidRDefault="00312DB4" w:rsidP="00312DB4">
      <w:pPr>
        <w:spacing w:after="120"/>
        <w:rPr>
          <w:szCs w:val="22"/>
        </w:rPr>
      </w:pPr>
      <w:r>
        <w:rPr>
          <w:szCs w:val="22"/>
        </w:rPr>
        <w:t xml:space="preserve">We can calculate </w:t>
      </w:r>
      <w:r w:rsidRPr="00312DB4">
        <w:rPr>
          <w:i/>
          <w:szCs w:val="22"/>
        </w:rPr>
        <w:t>W’</w:t>
      </w:r>
      <w:r>
        <w:rPr>
          <w:szCs w:val="22"/>
        </w:rPr>
        <w:t xml:space="preserve"> and </w:t>
      </w:r>
      <w:r w:rsidRPr="00312DB4">
        <w:rPr>
          <w:i/>
          <w:szCs w:val="22"/>
        </w:rPr>
        <w:t>H’</w:t>
      </w:r>
      <w:r>
        <w:rPr>
          <w:szCs w:val="22"/>
        </w:rPr>
        <w:t xml:space="preserve"> accordingly using the compacted </w:t>
      </w:r>
      <w:r w:rsidRPr="00312DB4">
        <w:rPr>
          <w:i/>
          <w:szCs w:val="22"/>
        </w:rPr>
        <w:t>P’</w:t>
      </w:r>
      <w:r>
        <w:rPr>
          <w:szCs w:val="22"/>
        </w:rPr>
        <w:t>. With Least Square estimation, the solution is defined as:</w:t>
      </w:r>
    </w:p>
    <w:p w:rsidR="00312DB4" w:rsidRDefault="00312DB4" w:rsidP="00312DB4">
      <w:pPr>
        <w:spacing w:after="120"/>
        <w:jc w:val="right"/>
        <w:rPr>
          <w:szCs w:val="22"/>
        </w:rPr>
      </w:pPr>
      <m:oMath>
        <m:r>
          <w:rPr>
            <w:rFonts w:ascii="Cambria Math" w:hAnsi="Cambria Math"/>
            <w:szCs w:val="22"/>
          </w:rPr>
          <m:t>P'=</m:t>
        </m:r>
        <m:sSup>
          <m:sSupPr>
            <m:ctrlPr>
              <w:rPr>
                <w:rFonts w:ascii="Cambria Math" w:hAnsi="Cambria Math"/>
                <w:i/>
                <w:szCs w:val="22"/>
              </w:rPr>
            </m:ctrlPr>
          </m:sSupPr>
          <m:e>
            <m:r>
              <w:rPr>
                <w:rFonts w:ascii="Cambria Math" w:hAnsi="Cambria Math"/>
                <w:szCs w:val="22"/>
              </w:rPr>
              <m:t>H</m:t>
            </m:r>
          </m:e>
          <m:sup>
            <m:r>
              <w:rPr>
                <w:rFonts w:ascii="Cambria Math" w:hAnsi="Cambria Math"/>
                <w:szCs w:val="22"/>
              </w:rPr>
              <m:t>'-1</m:t>
            </m:r>
          </m:sup>
        </m:sSup>
        <m:r>
          <w:rPr>
            <w:rFonts w:ascii="Cambria Math" w:hAnsi="Cambria Math"/>
            <w:szCs w:val="22"/>
          </w:rPr>
          <m:t>*(</m:t>
        </m:r>
        <m:sSup>
          <m:sSupPr>
            <m:ctrlPr>
              <w:rPr>
                <w:rFonts w:ascii="Cambria Math" w:hAnsi="Cambria Math"/>
                <w:i/>
                <w:szCs w:val="22"/>
              </w:rPr>
            </m:ctrlPr>
          </m:sSupPr>
          <m:e>
            <m:r>
              <w:rPr>
                <w:rFonts w:ascii="Cambria Math" w:hAnsi="Cambria Math"/>
                <w:szCs w:val="22"/>
              </w:rPr>
              <m:t>W'</m:t>
            </m:r>
          </m:e>
          <m:sup>
            <m:r>
              <w:rPr>
                <w:rFonts w:ascii="Cambria Math" w:hAnsi="Cambria Math"/>
                <w:szCs w:val="22"/>
              </w:rPr>
              <m:t>T</m:t>
            </m:r>
          </m:sup>
        </m:sSup>
        <m:r>
          <w:rPr>
            <w:rFonts w:ascii="Cambria Math" w:hAnsi="Cambria Math"/>
            <w:szCs w:val="22"/>
          </w:rPr>
          <m:t>*Z)</m:t>
        </m:r>
      </m:oMath>
      <w:r>
        <w:rPr>
          <w:szCs w:val="22"/>
        </w:rPr>
        <w:t xml:space="preserve">                             (4)</w:t>
      </w:r>
    </w:p>
    <w:p w:rsidR="002227D7" w:rsidRDefault="002227D7" w:rsidP="00856959">
      <w:pPr>
        <w:spacing w:after="120"/>
        <w:rPr>
          <w:szCs w:val="22"/>
        </w:rPr>
      </w:pPr>
      <w:r>
        <w:rPr>
          <w:szCs w:val="22"/>
        </w:rPr>
        <w:t xml:space="preserve">Where </w:t>
      </w:r>
      <m:oMath>
        <m:sSup>
          <m:sSupPr>
            <m:ctrlPr>
              <w:rPr>
                <w:rFonts w:ascii="Cambria Math" w:hAnsi="Cambria Math"/>
                <w:i/>
                <w:szCs w:val="22"/>
              </w:rPr>
            </m:ctrlPr>
          </m:sSupPr>
          <m:e>
            <m:r>
              <w:rPr>
                <w:rFonts w:ascii="Cambria Math" w:hAnsi="Cambria Math"/>
                <w:szCs w:val="22"/>
              </w:rPr>
              <m:t>H</m:t>
            </m:r>
          </m:e>
          <m:sup>
            <m:r>
              <w:rPr>
                <w:rFonts w:ascii="Cambria Math" w:hAnsi="Cambria Math"/>
                <w:szCs w:val="22"/>
              </w:rPr>
              <m:t>'</m:t>
            </m:r>
          </m:sup>
        </m:sSup>
      </m:oMath>
      <w:r>
        <w:rPr>
          <w:szCs w:val="22"/>
        </w:rPr>
        <w:t xml:space="preserve"> is calculated based on </w:t>
      </w:r>
      <m:oMath>
        <m:sSup>
          <m:sSupPr>
            <m:ctrlPr>
              <w:rPr>
                <w:rFonts w:ascii="Cambria Math" w:hAnsi="Cambria Math"/>
                <w:i/>
                <w:szCs w:val="22"/>
              </w:rPr>
            </m:ctrlPr>
          </m:sSupPr>
          <m:e>
            <m:r>
              <w:rPr>
                <w:rFonts w:ascii="Cambria Math" w:hAnsi="Cambria Math"/>
                <w:szCs w:val="22"/>
              </w:rPr>
              <m:t>W</m:t>
            </m:r>
          </m:e>
          <m:sup>
            <m:r>
              <w:rPr>
                <w:rFonts w:ascii="Cambria Math" w:hAnsi="Cambria Math"/>
                <w:szCs w:val="22"/>
              </w:rPr>
              <m:t>'</m:t>
            </m:r>
          </m:sup>
        </m:sSup>
      </m:oMath>
      <w:r>
        <w:rPr>
          <w:szCs w:val="22"/>
        </w:rPr>
        <w:t>using the following:</w:t>
      </w:r>
    </w:p>
    <w:p w:rsidR="00312DB4" w:rsidRDefault="00312DB4" w:rsidP="00312DB4">
      <w:pPr>
        <w:spacing w:after="120"/>
        <w:jc w:val="right"/>
        <w:rPr>
          <w:szCs w:val="22"/>
        </w:rPr>
      </w:pPr>
      <m:oMath>
        <m:r>
          <w:rPr>
            <w:rFonts w:ascii="Cambria Math" w:hAnsi="Cambria Math"/>
            <w:szCs w:val="22"/>
          </w:rPr>
          <m:t>H'=</m:t>
        </m:r>
        <m:sSup>
          <m:sSupPr>
            <m:ctrlPr>
              <w:rPr>
                <w:rFonts w:ascii="Cambria Math" w:hAnsi="Cambria Math"/>
                <w:i/>
                <w:szCs w:val="22"/>
              </w:rPr>
            </m:ctrlPr>
          </m:sSupPr>
          <m:e>
            <m:r>
              <w:rPr>
                <w:rFonts w:ascii="Cambria Math" w:hAnsi="Cambria Math"/>
                <w:szCs w:val="22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Cs w:val="22"/>
                  </w:rPr>
                  <m:t>W</m:t>
                </m:r>
              </m:e>
              <m:sup>
                <m:r>
                  <w:rPr>
                    <w:rFonts w:ascii="Cambria Math" w:hAnsi="Cambria Math"/>
                    <w:szCs w:val="22"/>
                  </w:rPr>
                  <m:t>'</m:t>
                </m:r>
              </m:sup>
            </m:sSup>
          </m:e>
          <m:sup>
            <m:r>
              <w:rPr>
                <w:rFonts w:ascii="Cambria Math" w:hAnsi="Cambria Math"/>
                <w:szCs w:val="22"/>
              </w:rPr>
              <m:t>T</m:t>
            </m:r>
          </m:sup>
        </m:sSup>
        <m:r>
          <w:rPr>
            <w:rFonts w:ascii="Cambria Math" w:hAnsi="Cambria Math"/>
            <w:szCs w:val="22"/>
          </w:rPr>
          <m:t>*W')+λI</m:t>
        </m:r>
      </m:oMath>
      <w:r>
        <w:rPr>
          <w:szCs w:val="22"/>
        </w:rPr>
        <w:t xml:space="preserve">,   </w:t>
      </w:r>
      <m:oMath>
        <m:r>
          <w:rPr>
            <w:rFonts w:ascii="Cambria Math" w:hAnsi="Cambria Math"/>
            <w:szCs w:val="22"/>
          </w:rPr>
          <m:t>λ≥0</m:t>
        </m:r>
      </m:oMath>
      <w:r>
        <w:rPr>
          <w:szCs w:val="22"/>
        </w:rPr>
        <w:t xml:space="preserve">                        (5)</w:t>
      </w:r>
    </w:p>
    <w:p w:rsidR="00312DB4" w:rsidRDefault="00312DB4" w:rsidP="00930CB3">
      <w:pPr>
        <w:spacing w:after="120"/>
        <w:jc w:val="right"/>
        <w:rPr>
          <w:szCs w:val="22"/>
        </w:rPr>
      </w:pPr>
    </w:p>
    <w:p w:rsidR="00312DB4" w:rsidRDefault="00312DB4" w:rsidP="00312DB4">
      <w:pPr>
        <w:rPr>
          <w:szCs w:val="22"/>
        </w:rPr>
      </w:pPr>
      <w:r>
        <w:rPr>
          <w:szCs w:val="22"/>
        </w:rPr>
        <w:t xml:space="preserve">After the compact parameter vector </w:t>
      </w:r>
      <w:r w:rsidRPr="00312DB4">
        <w:rPr>
          <w:i/>
          <w:szCs w:val="22"/>
        </w:rPr>
        <w:t>P’</w:t>
      </w:r>
      <w:r>
        <w:rPr>
          <w:szCs w:val="22"/>
        </w:rPr>
        <w:t xml:space="preserve"> is estimated, then the full parameter vector </w:t>
      </w:r>
      <w:r w:rsidRPr="00312DB4">
        <w:rPr>
          <w:i/>
          <w:szCs w:val="22"/>
        </w:rPr>
        <w:t>P</w:t>
      </w:r>
      <w:r>
        <w:rPr>
          <w:szCs w:val="22"/>
        </w:rPr>
        <w:t xml:space="preserve"> can be obtained by mapping those estimated vertices from </w:t>
      </w:r>
      <w:r w:rsidRPr="00312DB4">
        <w:rPr>
          <w:i/>
          <w:szCs w:val="22"/>
        </w:rPr>
        <w:t>P’</w:t>
      </w:r>
      <w:r>
        <w:rPr>
          <w:szCs w:val="22"/>
        </w:rPr>
        <w:t xml:space="preserve"> to </w:t>
      </w:r>
      <w:r w:rsidRPr="00312DB4">
        <w:rPr>
          <w:i/>
          <w:szCs w:val="22"/>
        </w:rPr>
        <w:t>P</w:t>
      </w:r>
      <w:r>
        <w:rPr>
          <w:szCs w:val="22"/>
        </w:rPr>
        <w:t xml:space="preserve">. </w:t>
      </w:r>
    </w:p>
    <w:p w:rsidR="00312DB4" w:rsidRPr="00AE2ABA" w:rsidRDefault="00312DB4" w:rsidP="00312DB4">
      <w:pPr>
        <w:spacing w:after="120"/>
        <w:rPr>
          <w:szCs w:val="22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22"/>
            </w:rPr>
            <m:t>P=decompact(P')</m:t>
          </m:r>
        </m:oMath>
      </m:oMathPara>
    </w:p>
    <w:p w:rsidR="00312DB4" w:rsidRDefault="00312DB4" w:rsidP="00312DB4">
      <w:pPr>
        <w:tabs>
          <w:tab w:val="clear" w:pos="360"/>
        </w:tabs>
        <w:overflowPunct/>
        <w:jc w:val="both"/>
        <w:textAlignment w:val="auto"/>
        <w:rPr>
          <w:lang w:eastAsia="ko-KR"/>
        </w:rPr>
      </w:pPr>
      <w:r>
        <w:rPr>
          <w:szCs w:val="22"/>
        </w:rPr>
        <w:t xml:space="preserve">Those un-estimated vertices in </w:t>
      </w:r>
      <w:r w:rsidRPr="00312DB4">
        <w:rPr>
          <w:i/>
          <w:szCs w:val="22"/>
        </w:rPr>
        <w:t>P</w:t>
      </w:r>
      <w:r>
        <w:rPr>
          <w:szCs w:val="22"/>
        </w:rPr>
        <w:t xml:space="preserve"> are filled using the corresponding vertices in </w:t>
      </w:r>
      <w:r w:rsidRPr="00312DB4">
        <w:rPr>
          <w:i/>
          <w:szCs w:val="22"/>
        </w:rPr>
        <w:t>P’</w:t>
      </w:r>
      <w:r>
        <w:rPr>
          <w:szCs w:val="22"/>
        </w:rPr>
        <w:t xml:space="preserve"> </w:t>
      </w:r>
      <w:r w:rsidR="002227D7">
        <w:rPr>
          <w:szCs w:val="22"/>
        </w:rPr>
        <w:t xml:space="preserve">and </w:t>
      </w:r>
      <w:r>
        <w:rPr>
          <w:szCs w:val="22"/>
        </w:rPr>
        <w:t>the</w:t>
      </w:r>
      <w:r w:rsidR="002227D7" w:rsidRPr="002227D7">
        <w:rPr>
          <w:szCs w:val="22"/>
        </w:rPr>
        <w:t xml:space="preserve"> </w:t>
      </w:r>
      <w:proofErr w:type="spellStart"/>
      <w:r w:rsidR="00856959">
        <w:rPr>
          <w:szCs w:val="22"/>
        </w:rPr>
        <w:t>trilinear</w:t>
      </w:r>
      <w:proofErr w:type="spellEnd"/>
      <w:r>
        <w:rPr>
          <w:szCs w:val="22"/>
        </w:rPr>
        <w:t xml:space="preserve"> interpolation in 3D LUT encoding process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_Ref361223284 \n </w:instrText>
      </w:r>
      <w:r>
        <w:rPr>
          <w:szCs w:val="22"/>
        </w:rPr>
        <w:fldChar w:fldCharType="separate"/>
      </w:r>
      <w:r>
        <w:rPr>
          <w:szCs w:val="22"/>
        </w:rPr>
        <w:t>[4]</w:t>
      </w:r>
      <w:r>
        <w:rPr>
          <w:szCs w:val="22"/>
        </w:rPr>
        <w:fldChar w:fldCharType="end"/>
      </w:r>
      <w:r>
        <w:rPr>
          <w:szCs w:val="22"/>
        </w:rPr>
        <w:t>.</w:t>
      </w:r>
    </w:p>
    <w:p w:rsidR="00B83368" w:rsidRDefault="006C4EF8" w:rsidP="00565058">
      <w:pPr>
        <w:tabs>
          <w:tab w:val="clear" w:pos="360"/>
        </w:tabs>
        <w:overflowPunct/>
        <w:jc w:val="both"/>
        <w:textAlignment w:val="auto"/>
        <w:rPr>
          <w:lang w:eastAsia="ko-KR"/>
        </w:rPr>
      </w:pPr>
      <w:r>
        <w:rPr>
          <w:lang w:eastAsia="ko-KR"/>
        </w:rPr>
        <w:t>F</w:t>
      </w:r>
      <w:r w:rsidR="00BB3FAB">
        <w:rPr>
          <w:lang w:eastAsia="ko-KR"/>
        </w:rPr>
        <w:t>or use</w:t>
      </w:r>
      <w:r w:rsidR="002227D7">
        <w:rPr>
          <w:lang w:eastAsia="ko-KR"/>
        </w:rPr>
        <w:t xml:space="preserve"> </w:t>
      </w:r>
      <w:r w:rsidR="00BB3FAB">
        <w:rPr>
          <w:lang w:eastAsia="ko-KR"/>
        </w:rPr>
        <w:t>case 1</w:t>
      </w:r>
      <w:r>
        <w:rPr>
          <w:lang w:eastAsia="ko-KR"/>
        </w:rPr>
        <w:t>, only the first picture of the sequence is used for the 3D LUT derivation</w:t>
      </w:r>
      <w:r w:rsidR="003D0C9D">
        <w:rPr>
          <w:lang w:eastAsia="ko-KR"/>
        </w:rPr>
        <w:t>.</w:t>
      </w:r>
      <w:r w:rsidR="00BB3FAB">
        <w:rPr>
          <w:lang w:eastAsia="ko-KR"/>
        </w:rPr>
        <w:t xml:space="preserve"> </w:t>
      </w:r>
      <w:r w:rsidR="003D0C9D">
        <w:rPr>
          <w:lang w:eastAsia="ko-KR"/>
        </w:rPr>
        <w:t>For</w:t>
      </w:r>
      <w:r w:rsidR="00BB3FAB">
        <w:rPr>
          <w:lang w:eastAsia="ko-KR"/>
        </w:rPr>
        <w:t xml:space="preserve"> use</w:t>
      </w:r>
      <w:r w:rsidR="002227D7">
        <w:rPr>
          <w:lang w:eastAsia="ko-KR"/>
        </w:rPr>
        <w:t xml:space="preserve"> </w:t>
      </w:r>
      <w:r w:rsidR="00BB3FAB">
        <w:rPr>
          <w:lang w:eastAsia="ko-KR"/>
        </w:rPr>
        <w:t>case 2</w:t>
      </w:r>
      <w:r w:rsidR="003D0C9D">
        <w:rPr>
          <w:lang w:eastAsia="ko-KR"/>
        </w:rPr>
        <w:t xml:space="preserve">, </w:t>
      </w:r>
      <w:r w:rsidR="002227D7">
        <w:rPr>
          <w:lang w:eastAsia="ko-KR"/>
        </w:rPr>
        <w:t>we</w:t>
      </w:r>
      <w:r w:rsidR="003D0C9D">
        <w:rPr>
          <w:lang w:eastAsia="ko-KR"/>
        </w:rPr>
        <w:t xml:space="preserve"> use all previous IRAP pictures in encoding order for 3D LUT training and apply derived 3D LUT for current IRAP period. </w:t>
      </w:r>
    </w:p>
    <w:p w:rsidR="00630E93" w:rsidRPr="00FC7B65" w:rsidRDefault="006E6ABA" w:rsidP="00630E93">
      <w:pPr>
        <w:jc w:val="both"/>
      </w:pPr>
      <w:bookmarkStart w:id="2" w:name="_Toc341951811"/>
      <w:r>
        <w:t xml:space="preserve">We use the same entropy coding method as in </w:t>
      </w:r>
      <w:r w:rsidR="00AC4A60">
        <w:fldChar w:fldCharType="begin"/>
      </w:r>
      <w:r w:rsidR="00AC4A60">
        <w:instrText xml:space="preserve"> REF _Ref361223284 \n \h </w:instrText>
      </w:r>
      <w:r w:rsidR="00AC4A60">
        <w:fldChar w:fldCharType="separate"/>
      </w:r>
      <w:r w:rsidR="00312DB4">
        <w:t>[4]</w:t>
      </w:r>
      <w:r w:rsidR="00AC4A60">
        <w:fldChar w:fldCharType="end"/>
      </w:r>
      <w:r>
        <w:t xml:space="preserve"> for 3D LUT coding, </w:t>
      </w:r>
      <w:r w:rsidR="00AC4A60">
        <w:t xml:space="preserve">and </w:t>
      </w:r>
      <w:r>
        <w:t>the 3D LUT is signaled in the PPS extension, in the same way as in</w:t>
      </w:r>
      <w:r w:rsidR="00AC4A60">
        <w:t xml:space="preserve"> </w:t>
      </w:r>
      <w:r w:rsidR="00AC4A60">
        <w:fldChar w:fldCharType="begin"/>
      </w:r>
      <w:r w:rsidR="00AC4A60">
        <w:instrText xml:space="preserve"> REF _Ref361223284 \n \h </w:instrText>
      </w:r>
      <w:r w:rsidR="00AC4A60">
        <w:fldChar w:fldCharType="separate"/>
      </w:r>
      <w:r w:rsidR="00312DB4">
        <w:t>[4]</w:t>
      </w:r>
      <w:r w:rsidR="00AC4A60">
        <w:fldChar w:fldCharType="end"/>
      </w:r>
      <w:r>
        <w:t xml:space="preserve">.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Simulation results</w:t>
      </w:r>
      <w:r w:rsidR="00F35982" w:rsidRPr="006D1415">
        <w:t xml:space="preserve"> </w:t>
      </w:r>
      <w:bookmarkEnd w:id="2"/>
    </w:p>
    <w:p w:rsidR="00D87811" w:rsidRDefault="00F3598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The compression performance is measured using BD rate </w:t>
      </w:r>
      <w:r w:rsidR="00CB5345">
        <w:t xml:space="preserve">compared with </w:t>
      </w:r>
      <w:r w:rsidR="002E78E3">
        <w:t>SCE</w:t>
      </w:r>
      <w:r w:rsidR="001F75C6">
        <w:t>1</w:t>
      </w:r>
      <w:r w:rsidR="002E78E3">
        <w:t xml:space="preserve"> anchors, using </w:t>
      </w:r>
      <w:r w:rsidR="006E6ABA">
        <w:t>the SCE</w:t>
      </w:r>
      <w:r w:rsidR="001F75C6">
        <w:t>1</w:t>
      </w:r>
      <w:r w:rsidR="006E6ABA">
        <w:t xml:space="preserve"> test conditions</w:t>
      </w:r>
      <w:r w:rsidR="0048059A">
        <w:t xml:space="preserve"> </w:t>
      </w:r>
      <w:r w:rsidR="001F75C6">
        <w:fldChar w:fldCharType="begin"/>
      </w:r>
      <w:r w:rsidR="001F75C6">
        <w:instrText xml:space="preserve"> REF _Ref361224128 \n \h </w:instrText>
      </w:r>
      <w:r w:rsidR="001F75C6">
        <w:fldChar w:fldCharType="separate"/>
      </w:r>
      <w:r w:rsidR="00312DB4">
        <w:t>[1]</w:t>
      </w:r>
      <w:r w:rsidR="001F75C6">
        <w:fldChar w:fldCharType="end"/>
      </w:r>
      <w:r>
        <w:t xml:space="preserve">. </w:t>
      </w:r>
      <w:r w:rsidR="00452338">
        <w:t xml:space="preserve">There are </w:t>
      </w:r>
      <w:r w:rsidR="007A63E0">
        <w:t xml:space="preserve">two </w:t>
      </w:r>
      <w:r w:rsidR="001F75C6">
        <w:t xml:space="preserve">tests (test A/B) listed in Table 2 of SCE1 document </w:t>
      </w:r>
      <w:r w:rsidR="001F75C6">
        <w:fldChar w:fldCharType="begin"/>
      </w:r>
      <w:r w:rsidR="001F75C6">
        <w:instrText xml:space="preserve"> REF _Ref361224128 \n \h </w:instrText>
      </w:r>
      <w:r w:rsidR="001F75C6">
        <w:fldChar w:fldCharType="separate"/>
      </w:r>
      <w:r w:rsidR="00312DB4">
        <w:t>[1]</w:t>
      </w:r>
      <w:r w:rsidR="001F75C6">
        <w:fldChar w:fldCharType="end"/>
      </w:r>
      <w:r w:rsidR="001F75C6">
        <w:t xml:space="preserve"> </w:t>
      </w:r>
      <w:r w:rsidR="006D7333">
        <w:t xml:space="preserve">for each of these </w:t>
      </w:r>
      <w:r w:rsidR="001F75C6">
        <w:t>two use</w:t>
      </w:r>
      <w:r w:rsidR="006D7333">
        <w:t xml:space="preserve"> </w:t>
      </w:r>
      <w:r w:rsidR="001F75C6">
        <w:t>cases</w:t>
      </w:r>
      <w:r w:rsidR="007A63E0">
        <w:t>.</w:t>
      </w:r>
      <w:r w:rsidR="00CB5345">
        <w:t xml:space="preserve"> </w:t>
      </w:r>
      <w:r w:rsidR="001F75C6">
        <w:t>In use</w:t>
      </w:r>
      <w:r w:rsidR="006D7333">
        <w:t xml:space="preserve"> </w:t>
      </w:r>
      <w:r w:rsidR="001F75C6">
        <w:t xml:space="preserve">case 1, only the first IRAP picture </w:t>
      </w:r>
      <w:r w:rsidR="00BB54C3">
        <w:t>is used for 3D LUT training</w:t>
      </w:r>
      <w:r w:rsidR="006D7333">
        <w:t>. The</w:t>
      </w:r>
      <w:r w:rsidR="00BB54C3">
        <w:t xml:space="preserve"> derived 3D LUT is</w:t>
      </w:r>
      <w:r w:rsidR="006D7333" w:rsidRPr="006D7333">
        <w:t xml:space="preserve"> </w:t>
      </w:r>
      <w:r w:rsidR="006D7333">
        <w:t>sent once at the beginning of the sequence and</w:t>
      </w:r>
      <w:r w:rsidR="00BB54C3">
        <w:t xml:space="preserve"> applied to all pictures </w:t>
      </w:r>
      <w:r w:rsidR="006D7333">
        <w:t>in the sequence</w:t>
      </w:r>
      <w:r w:rsidR="00BB54C3">
        <w:t>. In use</w:t>
      </w:r>
      <w:r w:rsidR="006D7333">
        <w:t xml:space="preserve"> </w:t>
      </w:r>
      <w:r w:rsidR="00BB54C3">
        <w:t>case 2, 3D LUT</w:t>
      </w:r>
      <w:r w:rsidR="006D7333">
        <w:t>s</w:t>
      </w:r>
      <w:r w:rsidR="00BB54C3">
        <w:t xml:space="preserve"> </w:t>
      </w:r>
      <w:r w:rsidR="006D7333">
        <w:t>are</w:t>
      </w:r>
      <w:r w:rsidR="00BB54C3">
        <w:t xml:space="preserve"> derived periodically </w:t>
      </w:r>
      <w:r w:rsidR="006D7333">
        <w:t xml:space="preserve">at about 1 second interval </w:t>
      </w:r>
      <w:r w:rsidR="00BB54C3">
        <w:t>(64 pictures for 60Hz and 48 pictures for 50Hz)</w:t>
      </w:r>
      <w:r w:rsidR="006D7333">
        <w:t>; the 3D LUTs are sent at ~1 second interval</w:t>
      </w:r>
      <w:r w:rsidR="00BB54C3">
        <w:t xml:space="preserve"> </w:t>
      </w:r>
      <w:r w:rsidR="006D7333">
        <w:t xml:space="preserve">and </w:t>
      </w:r>
      <w:r w:rsidR="00BB54C3">
        <w:t xml:space="preserve">applied to all pictures in that </w:t>
      </w:r>
      <w:r w:rsidR="006D7333">
        <w:t xml:space="preserve">~1 second </w:t>
      </w:r>
      <w:r w:rsidR="00BB54C3">
        <w:t xml:space="preserve">period. </w:t>
      </w:r>
      <w:r w:rsidR="008A63B6">
        <w:t xml:space="preserve">The 3D LUT size is </w:t>
      </w:r>
      <w:r w:rsidR="00BB54C3">
        <w:t>9</w:t>
      </w:r>
      <w:r w:rsidR="00B87CE3">
        <w:t>x</w:t>
      </w:r>
      <w:r w:rsidR="00BB54C3">
        <w:t>9</w:t>
      </w:r>
      <w:r w:rsidR="00B87CE3">
        <w:t>x</w:t>
      </w:r>
      <w:r w:rsidR="00BB54C3">
        <w:t>9</w:t>
      </w:r>
      <w:r w:rsidR="00B87CE3">
        <w:t xml:space="preserve"> </w:t>
      </w:r>
      <w:r w:rsidR="008A63B6">
        <w:t xml:space="preserve">for all tests. </w:t>
      </w:r>
      <w:r w:rsidR="00A56CA4">
        <w:fldChar w:fldCharType="begin"/>
      </w:r>
      <w:r w:rsidR="002E5D24">
        <w:instrText xml:space="preserve"> REF _Ref368998184 \h </w:instrText>
      </w:r>
      <w:r w:rsidR="00A56CA4">
        <w:fldChar w:fldCharType="separate"/>
      </w:r>
      <w:r w:rsidR="00312DB4">
        <w:t xml:space="preserve">Table </w:t>
      </w:r>
      <w:r w:rsidR="00312DB4">
        <w:rPr>
          <w:noProof/>
        </w:rPr>
        <w:t>1</w:t>
      </w:r>
      <w:r w:rsidR="00A56CA4">
        <w:fldChar w:fldCharType="end"/>
      </w:r>
      <w:r w:rsidR="009621C8">
        <w:t xml:space="preserve"> </w:t>
      </w:r>
      <w:r w:rsidR="00AF2592">
        <w:t xml:space="preserve">gives </w:t>
      </w:r>
      <w:r w:rsidR="0048059A">
        <w:t xml:space="preserve">the detailed average BD rate reduction </w:t>
      </w:r>
      <w:r w:rsidR="00250D93">
        <w:t xml:space="preserve">for </w:t>
      </w:r>
      <w:r w:rsidR="00BB54C3">
        <w:t>use</w:t>
      </w:r>
      <w:r w:rsidR="006D7333">
        <w:t xml:space="preserve"> </w:t>
      </w:r>
      <w:r w:rsidR="00BB54C3">
        <w:t>case 1</w:t>
      </w:r>
      <w:r w:rsidR="00250D93">
        <w:t xml:space="preserve"> </w:t>
      </w:r>
      <w:r w:rsidR="0048059A">
        <w:t xml:space="preserve">compared with </w:t>
      </w:r>
      <w:r w:rsidR="002E78E3">
        <w:t>SCE</w:t>
      </w:r>
      <w:r w:rsidR="00BB54C3">
        <w:t>1</w:t>
      </w:r>
      <w:r w:rsidR="002E78E3">
        <w:t xml:space="preserve"> anchors</w:t>
      </w:r>
      <w:r w:rsidR="00AF2592">
        <w:t xml:space="preserve">. </w:t>
      </w:r>
      <w:r w:rsidR="00A56CA4">
        <w:fldChar w:fldCharType="begin"/>
      </w:r>
      <w:r w:rsidR="002E5D24">
        <w:instrText xml:space="preserve"> REF _Ref369001934 \h </w:instrText>
      </w:r>
      <w:r w:rsidR="00A56CA4">
        <w:fldChar w:fldCharType="separate"/>
      </w:r>
      <w:r w:rsidR="00312DB4">
        <w:t xml:space="preserve">Table </w:t>
      </w:r>
      <w:r w:rsidR="00312DB4">
        <w:rPr>
          <w:noProof/>
        </w:rPr>
        <w:t>2</w:t>
      </w:r>
      <w:r w:rsidR="00A56CA4">
        <w:fldChar w:fldCharType="end"/>
      </w:r>
      <w:r w:rsidR="00E41828">
        <w:t xml:space="preserve"> </w:t>
      </w:r>
      <w:r w:rsidR="00D87811">
        <w:t>give</w:t>
      </w:r>
      <w:r w:rsidR="009621C8">
        <w:t>s</w:t>
      </w:r>
      <w:r w:rsidR="00D87811">
        <w:t xml:space="preserve"> the </w:t>
      </w:r>
      <w:r w:rsidR="009621C8">
        <w:t xml:space="preserve">detailed </w:t>
      </w:r>
      <w:r w:rsidR="00D87811">
        <w:t>average BD rate reduction</w:t>
      </w:r>
      <w:r w:rsidR="009621C8">
        <w:t xml:space="preserve"> for </w:t>
      </w:r>
      <w:r w:rsidR="00BB54C3">
        <w:t>use</w:t>
      </w:r>
      <w:r w:rsidR="006D7333">
        <w:t xml:space="preserve"> </w:t>
      </w:r>
      <w:r w:rsidR="00BB54C3">
        <w:t>case 2</w:t>
      </w:r>
      <w:r w:rsidR="00444756">
        <w:t xml:space="preserve"> </w:t>
      </w:r>
      <w:r w:rsidR="00250D93">
        <w:t xml:space="preserve">compared with </w:t>
      </w:r>
      <w:r w:rsidR="002E78E3">
        <w:t>SCE</w:t>
      </w:r>
      <w:r w:rsidR="00BB54C3">
        <w:t>1</w:t>
      </w:r>
      <w:r w:rsidR="002E78E3">
        <w:t xml:space="preserve"> anchors</w:t>
      </w:r>
      <w:r w:rsidR="009621C8">
        <w:t>.</w:t>
      </w:r>
      <w:r w:rsidR="00732350">
        <w:t xml:space="preserve"> </w:t>
      </w:r>
    </w:p>
    <w:p w:rsidR="00F643B4" w:rsidRDefault="00D87811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eastAsia="Malgun Gothic"/>
          <w:kern w:val="2"/>
        </w:rPr>
      </w:pPr>
      <w:r>
        <w:rPr>
          <w:kern w:val="2"/>
          <w:lang w:eastAsia="zh-CN"/>
        </w:rPr>
        <w:t>As shown in</w:t>
      </w:r>
      <w:r w:rsidR="00E41828">
        <w:rPr>
          <w:kern w:val="2"/>
          <w:lang w:eastAsia="zh-CN"/>
        </w:rPr>
        <w:t xml:space="preserve"> </w:t>
      </w:r>
      <w:r w:rsidR="00A56CA4">
        <w:rPr>
          <w:kern w:val="2"/>
          <w:lang w:eastAsia="zh-CN"/>
        </w:rPr>
        <w:fldChar w:fldCharType="begin"/>
      </w:r>
      <w:r w:rsidR="008A63B6">
        <w:rPr>
          <w:kern w:val="2"/>
          <w:lang w:eastAsia="zh-CN"/>
        </w:rPr>
        <w:instrText xml:space="preserve"> REF _Ref368998184 \h </w:instrText>
      </w:r>
      <w:r w:rsidR="00A56CA4">
        <w:rPr>
          <w:kern w:val="2"/>
          <w:lang w:eastAsia="zh-CN"/>
        </w:rPr>
      </w:r>
      <w:r w:rsidR="00A56CA4">
        <w:rPr>
          <w:kern w:val="2"/>
          <w:lang w:eastAsia="zh-CN"/>
        </w:rPr>
        <w:fldChar w:fldCharType="separate"/>
      </w:r>
      <w:r w:rsidR="00312DB4">
        <w:t xml:space="preserve">Table </w:t>
      </w:r>
      <w:r w:rsidR="00312DB4">
        <w:rPr>
          <w:noProof/>
        </w:rPr>
        <w:t>1</w:t>
      </w:r>
      <w:r w:rsidR="00A56CA4">
        <w:rPr>
          <w:kern w:val="2"/>
          <w:lang w:eastAsia="zh-CN"/>
        </w:rPr>
        <w:fldChar w:fldCharType="end"/>
      </w:r>
      <w:r w:rsidR="00711345">
        <w:rPr>
          <w:kern w:val="2"/>
          <w:lang w:eastAsia="zh-CN"/>
        </w:rPr>
        <w:t>, compared with SCE</w:t>
      </w:r>
      <w:r w:rsidR="00BB54C3">
        <w:rPr>
          <w:kern w:val="2"/>
          <w:lang w:eastAsia="zh-CN"/>
        </w:rPr>
        <w:t>1</w:t>
      </w:r>
      <w:r w:rsidR="00711345">
        <w:rPr>
          <w:kern w:val="2"/>
          <w:lang w:eastAsia="zh-CN"/>
        </w:rPr>
        <w:t xml:space="preserve"> anchors, </w:t>
      </w:r>
      <w:r>
        <w:rPr>
          <w:kern w:val="2"/>
          <w:lang w:eastAsia="zh-CN"/>
        </w:rPr>
        <w:t xml:space="preserve">the proposed </w:t>
      </w:r>
      <w:r w:rsidR="00BB54C3">
        <w:rPr>
          <w:kern w:val="2"/>
          <w:lang w:eastAsia="zh-CN"/>
        </w:rPr>
        <w:t xml:space="preserve">3D LUT with </w:t>
      </w:r>
      <w:r w:rsidR="006008B9">
        <w:rPr>
          <w:kern w:val="2"/>
          <w:lang w:eastAsia="zh-CN"/>
        </w:rPr>
        <w:t xml:space="preserve">the first picture </w:t>
      </w:r>
      <w:r w:rsidR="00BB54C3">
        <w:rPr>
          <w:kern w:val="2"/>
          <w:lang w:eastAsia="zh-CN"/>
        </w:rPr>
        <w:t xml:space="preserve">online training </w:t>
      </w:r>
      <w:r>
        <w:rPr>
          <w:kern w:val="2"/>
          <w:lang w:eastAsia="zh-CN"/>
        </w:rPr>
        <w:t xml:space="preserve">achieves </w:t>
      </w:r>
      <w:r>
        <w:rPr>
          <w:rFonts w:eastAsia="Malgun Gothic"/>
          <w:kern w:val="2"/>
        </w:rPr>
        <w:t>average {Y, U, V} BD rate gain of {</w:t>
      </w:r>
      <w:r w:rsidR="006008B9">
        <w:t>-3</w:t>
      </w:r>
      <w:r w:rsidR="006008B9" w:rsidRPr="00F643B4">
        <w:t>.</w:t>
      </w:r>
      <w:r w:rsidR="006008B9">
        <w:t>1</w:t>
      </w:r>
      <w:r w:rsidR="006008B9" w:rsidRPr="00F643B4">
        <w:t>%</w:t>
      </w:r>
      <w:r w:rsidR="006008B9">
        <w:t>, -5.6%, -5.0%</w:t>
      </w:r>
      <w:r>
        <w:rPr>
          <w:rFonts w:eastAsia="Malgun Gothic"/>
          <w:kern w:val="2"/>
        </w:rPr>
        <w:t>}, and {</w:t>
      </w:r>
      <w:r w:rsidR="006008B9">
        <w:t>-3</w:t>
      </w:r>
      <w:r w:rsidR="006008B9" w:rsidRPr="00F643B4">
        <w:t>.</w:t>
      </w:r>
      <w:r w:rsidR="006008B9">
        <w:t>9</w:t>
      </w:r>
      <w:r w:rsidR="006008B9" w:rsidRPr="00F643B4">
        <w:t>%</w:t>
      </w:r>
      <w:r w:rsidR="006008B9">
        <w:t>, -5.1%, -7.1%</w:t>
      </w:r>
      <w:r>
        <w:rPr>
          <w:rFonts w:eastAsia="Malgun Gothic"/>
          <w:kern w:val="2"/>
        </w:rPr>
        <w:t xml:space="preserve">} for </w:t>
      </w:r>
      <w:r w:rsidR="00250D93">
        <w:rPr>
          <w:rFonts w:eastAsia="Malgun Gothic"/>
          <w:kern w:val="2"/>
        </w:rPr>
        <w:t>AI</w:t>
      </w:r>
      <w:r w:rsidR="00711345">
        <w:rPr>
          <w:rFonts w:eastAsia="Malgun Gothic"/>
          <w:kern w:val="2"/>
        </w:rPr>
        <w:t xml:space="preserve"> and</w:t>
      </w:r>
      <w:r w:rsidR="00250D93">
        <w:rPr>
          <w:rFonts w:eastAsia="Malgun Gothic"/>
          <w:kern w:val="2"/>
        </w:rPr>
        <w:t xml:space="preserve"> </w:t>
      </w:r>
      <w:r>
        <w:rPr>
          <w:rFonts w:eastAsia="Malgun Gothic"/>
          <w:kern w:val="2"/>
        </w:rPr>
        <w:t>RA</w:t>
      </w:r>
      <w:r w:rsidR="00250D93">
        <w:rPr>
          <w:rFonts w:eastAsia="Malgun Gothic"/>
          <w:kern w:val="2"/>
        </w:rPr>
        <w:t>-2x</w:t>
      </w:r>
      <w:r w:rsidR="00711345">
        <w:rPr>
          <w:rFonts w:eastAsia="Malgun Gothic"/>
          <w:kern w:val="2"/>
        </w:rPr>
        <w:t>,</w:t>
      </w:r>
      <w:r>
        <w:rPr>
          <w:rFonts w:eastAsia="Malgun Gothic"/>
          <w:kern w:val="2"/>
        </w:rPr>
        <w:t xml:space="preserve"> respectively</w:t>
      </w:r>
      <w:r w:rsidR="00711345">
        <w:rPr>
          <w:rFonts w:eastAsia="Malgun Gothic"/>
          <w:kern w:val="2"/>
        </w:rPr>
        <w:t xml:space="preserve">. As shown in </w:t>
      </w:r>
      <w:r w:rsidR="006008B9">
        <w:rPr>
          <w:rFonts w:eastAsia="Malgun Gothic"/>
          <w:kern w:val="2"/>
        </w:rPr>
        <w:fldChar w:fldCharType="begin"/>
      </w:r>
      <w:r w:rsidR="006008B9">
        <w:rPr>
          <w:rFonts w:eastAsia="Malgun Gothic"/>
          <w:kern w:val="2"/>
        </w:rPr>
        <w:instrText xml:space="preserve"> REF _Ref369001934 \h </w:instrText>
      </w:r>
      <w:r w:rsidR="006008B9">
        <w:rPr>
          <w:rFonts w:eastAsia="Malgun Gothic"/>
          <w:kern w:val="2"/>
        </w:rPr>
      </w:r>
      <w:r w:rsidR="006008B9">
        <w:rPr>
          <w:rFonts w:eastAsia="Malgun Gothic"/>
          <w:kern w:val="2"/>
        </w:rPr>
        <w:fldChar w:fldCharType="separate"/>
      </w:r>
      <w:r w:rsidR="00312DB4">
        <w:t xml:space="preserve">Table </w:t>
      </w:r>
      <w:r w:rsidR="00312DB4">
        <w:rPr>
          <w:noProof/>
        </w:rPr>
        <w:t>2</w:t>
      </w:r>
      <w:r w:rsidR="006008B9">
        <w:rPr>
          <w:rFonts w:eastAsia="Malgun Gothic"/>
          <w:kern w:val="2"/>
        </w:rPr>
        <w:fldChar w:fldCharType="end"/>
      </w:r>
      <w:r w:rsidR="00711345">
        <w:rPr>
          <w:kern w:val="2"/>
          <w:lang w:eastAsia="zh-CN"/>
        </w:rPr>
        <w:t>,</w:t>
      </w:r>
      <w:r w:rsidR="00250D93">
        <w:rPr>
          <w:rFonts w:eastAsia="Malgun Gothic"/>
          <w:kern w:val="2"/>
        </w:rPr>
        <w:t xml:space="preserve"> </w:t>
      </w:r>
      <w:r w:rsidR="00711345">
        <w:rPr>
          <w:rFonts w:eastAsia="Malgun Gothic"/>
          <w:kern w:val="2"/>
        </w:rPr>
        <w:t xml:space="preserve">the proposed </w:t>
      </w:r>
      <w:r w:rsidR="006008B9">
        <w:rPr>
          <w:rFonts w:eastAsia="Malgun Gothic"/>
          <w:kern w:val="2"/>
        </w:rPr>
        <w:t xml:space="preserve">3D LUT with periodical updating </w:t>
      </w:r>
      <w:r w:rsidR="00711345">
        <w:rPr>
          <w:rFonts w:eastAsia="Malgun Gothic"/>
          <w:kern w:val="2"/>
        </w:rPr>
        <w:t xml:space="preserve">method </w:t>
      </w:r>
      <w:r w:rsidR="00250D93">
        <w:rPr>
          <w:kern w:val="2"/>
          <w:lang w:eastAsia="zh-CN"/>
        </w:rPr>
        <w:t xml:space="preserve">achieves </w:t>
      </w:r>
      <w:r w:rsidR="00250D93">
        <w:rPr>
          <w:rFonts w:eastAsia="Malgun Gothic"/>
          <w:kern w:val="2"/>
        </w:rPr>
        <w:t>average {Y, U, V} BD rate gain of {</w:t>
      </w:r>
      <w:r w:rsidR="006008B9">
        <w:t>-7</w:t>
      </w:r>
      <w:r w:rsidR="006008B9" w:rsidRPr="00F643B4">
        <w:t>.</w:t>
      </w:r>
      <w:r w:rsidR="006008B9">
        <w:t>8</w:t>
      </w:r>
      <w:r w:rsidR="006008B9" w:rsidRPr="00F643B4">
        <w:t>%</w:t>
      </w:r>
      <w:r w:rsidR="006008B9">
        <w:t>, -8.9%, -11.5%</w:t>
      </w:r>
      <w:r w:rsidR="00250D93">
        <w:rPr>
          <w:rFonts w:eastAsia="Malgun Gothic"/>
          <w:kern w:val="2"/>
        </w:rPr>
        <w:t>}, and {</w:t>
      </w:r>
      <w:r w:rsidR="006008B9">
        <w:t>-6</w:t>
      </w:r>
      <w:r w:rsidR="006008B9" w:rsidRPr="00F643B4">
        <w:t>.</w:t>
      </w:r>
      <w:r w:rsidR="006008B9">
        <w:t>2</w:t>
      </w:r>
      <w:r w:rsidR="006008B9" w:rsidRPr="00F643B4">
        <w:t>%</w:t>
      </w:r>
      <w:r w:rsidR="006008B9">
        <w:t>, -6.5%, -10.8%</w:t>
      </w:r>
      <w:r w:rsidR="00250D93">
        <w:rPr>
          <w:rFonts w:eastAsia="Malgun Gothic"/>
          <w:kern w:val="2"/>
        </w:rPr>
        <w:t>} for AI</w:t>
      </w:r>
      <w:r w:rsidR="00711345">
        <w:rPr>
          <w:rFonts w:eastAsia="Malgun Gothic"/>
          <w:kern w:val="2"/>
        </w:rPr>
        <w:t xml:space="preserve"> and</w:t>
      </w:r>
      <w:r w:rsidR="00250D93">
        <w:rPr>
          <w:rFonts w:eastAsia="Malgun Gothic"/>
          <w:kern w:val="2"/>
        </w:rPr>
        <w:t xml:space="preserve"> RA-2x</w:t>
      </w:r>
      <w:r w:rsidR="00711345">
        <w:rPr>
          <w:rFonts w:eastAsia="Malgun Gothic"/>
          <w:kern w:val="2"/>
        </w:rPr>
        <w:t>,</w:t>
      </w:r>
      <w:r w:rsidR="00250D93">
        <w:rPr>
          <w:rFonts w:eastAsia="Malgun Gothic"/>
          <w:kern w:val="2"/>
        </w:rPr>
        <w:t xml:space="preserve"> respectively</w:t>
      </w:r>
      <w:r>
        <w:rPr>
          <w:rFonts w:eastAsia="Malgun Gothic"/>
          <w:kern w:val="2"/>
        </w:rPr>
        <w:t xml:space="preserve">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F35982" w:rsidRDefault="00F3598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Readers are referred to the accompanying spreadsheet</w:t>
      </w:r>
      <w:r w:rsidR="000E2454">
        <w:t>s</w:t>
      </w:r>
      <w:r>
        <w:t xml:space="preserve"> for further detail</w:t>
      </w:r>
      <w:r w:rsidR="00452338">
        <w:t>s</w:t>
      </w:r>
      <w:r>
        <w:t xml:space="preserve">. </w:t>
      </w:r>
      <w:r w:rsidR="00B87CE3">
        <w:t xml:space="preserve">The encoding time </w:t>
      </w:r>
      <w:r w:rsidR="00476D2B">
        <w:t>is</w:t>
      </w:r>
      <w:r w:rsidR="00B87CE3">
        <w:t xml:space="preserve"> not </w:t>
      </w:r>
      <w:r w:rsidR="0091223E">
        <w:t>reliable</w:t>
      </w:r>
      <w:r w:rsidR="00B87CE3">
        <w:t xml:space="preserve"> because the </w:t>
      </w:r>
      <w:r w:rsidR="0091223E">
        <w:t xml:space="preserve">cores in </w:t>
      </w:r>
      <w:r w:rsidR="00B87CE3">
        <w:t xml:space="preserve">grid </w:t>
      </w:r>
      <w:r w:rsidR="0091223E">
        <w:t>for simulations are</w:t>
      </w:r>
      <w:r w:rsidR="00B87CE3">
        <w:t xml:space="preserve"> not homogeneous.</w:t>
      </w:r>
      <w:r w:rsidR="00476D2B">
        <w:t xml:space="preserve"> The decoding time </w:t>
      </w:r>
      <w:r w:rsidR="00BB54C3">
        <w:t xml:space="preserve">for both anchor and test </w:t>
      </w:r>
      <w:r w:rsidR="007820B3">
        <w:t>was</w:t>
      </w:r>
      <w:r w:rsidR="00476D2B">
        <w:t xml:space="preserve"> collected from the same workstation.</w:t>
      </w:r>
    </w:p>
    <w:p w:rsidR="00CA3890" w:rsidRDefault="00CA3890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="000335BA" w:rsidRPr="000335BA">
        <w:t>SHM4.0_irap_UC1_anchor_vs_3DLut</w:t>
      </w:r>
      <w:r w:rsidR="007A63E0" w:rsidRPr="007A63E0">
        <w:t>.xls</w:t>
      </w:r>
      <w:r w:rsidR="007A63E0">
        <w:t xml:space="preserve">” is </w:t>
      </w:r>
      <w:r w:rsidR="00E34D4E">
        <w:t xml:space="preserve">the data sheet </w:t>
      </w:r>
      <w:r w:rsidR="007A63E0">
        <w:t xml:space="preserve">for the </w:t>
      </w:r>
      <w:r w:rsidR="00C344FD">
        <w:t xml:space="preserve">3D LUT </w:t>
      </w:r>
      <w:r w:rsidR="007A63E0">
        <w:t xml:space="preserve">results of </w:t>
      </w:r>
      <w:proofErr w:type="spellStart"/>
      <w:r w:rsidR="000335BA">
        <w:t>usecase</w:t>
      </w:r>
      <w:proofErr w:type="spellEnd"/>
      <w:r w:rsidR="000335BA">
        <w:t xml:space="preserve"> 1</w:t>
      </w:r>
      <w:r w:rsidR="007A63E0">
        <w:t xml:space="preserve"> compared with </w:t>
      </w:r>
      <w:r w:rsidR="00711345">
        <w:t>SCE</w:t>
      </w:r>
      <w:r w:rsidR="00C344FD">
        <w:t>1</w:t>
      </w:r>
      <w:r w:rsidR="00711345">
        <w:t xml:space="preserve"> anchors</w:t>
      </w:r>
      <w:r>
        <w:t>.</w:t>
      </w:r>
    </w:p>
    <w:p w:rsidR="00CA3890" w:rsidRDefault="00CA3890" w:rsidP="00CA389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“</w:t>
      </w:r>
      <w:r w:rsidR="000335BA" w:rsidRPr="000335BA">
        <w:t>SHM4.0_irap_UC2_anchor_vs_3DLut</w:t>
      </w:r>
      <w:r w:rsidR="007A63E0" w:rsidRPr="007A63E0">
        <w:t>.xls</w:t>
      </w:r>
      <w:r>
        <w:t xml:space="preserve">” is </w:t>
      </w:r>
      <w:r w:rsidR="00E34D4E">
        <w:t xml:space="preserve">the data sheet </w:t>
      </w:r>
      <w:r>
        <w:t xml:space="preserve">for the </w:t>
      </w:r>
      <w:r w:rsidR="00C344FD">
        <w:t xml:space="preserve">3D LUT </w:t>
      </w:r>
      <w:r>
        <w:t xml:space="preserve">results of </w:t>
      </w:r>
      <w:proofErr w:type="spellStart"/>
      <w:r w:rsidR="00C344FD">
        <w:t>usecase</w:t>
      </w:r>
      <w:proofErr w:type="spellEnd"/>
      <w:r w:rsidR="00C344FD">
        <w:t xml:space="preserve"> 2</w:t>
      </w:r>
      <w:r w:rsidR="007A63E0">
        <w:t xml:space="preserve"> compared with</w:t>
      </w:r>
      <w:r w:rsidR="00711345">
        <w:t xml:space="preserve"> SCE</w:t>
      </w:r>
      <w:r w:rsidR="00C344FD">
        <w:t>1</w:t>
      </w:r>
      <w:r w:rsidR="00711345">
        <w:t xml:space="preserve"> anchors</w:t>
      </w:r>
      <w:r>
        <w:t>.</w:t>
      </w:r>
    </w:p>
    <w:p w:rsidR="00DB673C" w:rsidRDefault="00DB673C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3" w:name="_Ref368998184"/>
      <w:bookmarkStart w:id="4" w:name="_Ref361310567"/>
      <w:r>
        <w:t xml:space="preserve">Table </w:t>
      </w:r>
      <w:r w:rsidR="00A56CA4">
        <w:fldChar w:fldCharType="begin"/>
      </w:r>
      <w:r>
        <w:instrText xml:space="preserve"> SEQ Table \* ARABIC </w:instrText>
      </w:r>
      <w:r w:rsidR="00A56CA4">
        <w:fldChar w:fldCharType="separate"/>
      </w:r>
      <w:r w:rsidR="00312DB4">
        <w:rPr>
          <w:noProof/>
        </w:rPr>
        <w:t>1</w:t>
      </w:r>
      <w:r w:rsidR="00A56CA4">
        <w:fldChar w:fldCharType="end"/>
      </w:r>
      <w:bookmarkEnd w:id="3"/>
      <w:r>
        <w:t xml:space="preserve">. Average BD rate reduction for </w:t>
      </w:r>
      <w:proofErr w:type="spellStart"/>
      <w:r w:rsidR="000335BA">
        <w:t>usecase</w:t>
      </w:r>
      <w:proofErr w:type="spellEnd"/>
      <w:r w:rsidR="000335BA">
        <w:t xml:space="preserve"> 1</w:t>
      </w:r>
      <w:r w:rsidRPr="008E65DC">
        <w:t xml:space="preserve"> </w:t>
      </w:r>
      <w:r>
        <w:t>compared with SCE</w:t>
      </w:r>
      <w:r w:rsidR="000335BA">
        <w:t>1</w:t>
      </w:r>
      <w:r>
        <w:t xml:space="preserve"> anchors</w:t>
      </w:r>
    </w:p>
    <w:tbl>
      <w:tblPr>
        <w:tblW w:w="8041" w:type="dxa"/>
        <w:jc w:val="center"/>
        <w:tblInd w:w="108" w:type="dxa"/>
        <w:tblLook w:val="04A0" w:firstRow="1" w:lastRow="0" w:firstColumn="1" w:lastColumn="0" w:noHBand="0" w:noVBand="1"/>
      </w:tblPr>
      <w:tblGrid>
        <w:gridCol w:w="3169"/>
        <w:gridCol w:w="812"/>
        <w:gridCol w:w="812"/>
        <w:gridCol w:w="812"/>
        <w:gridCol w:w="812"/>
        <w:gridCol w:w="812"/>
        <w:gridCol w:w="812"/>
      </w:tblGrid>
      <w:tr w:rsidR="00C344FD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C344FD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Test</w:t>
            </w:r>
            <w:r w:rsidR="001231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B</w:t>
            </w:r>
          </w:p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AI HEVC 2x 10-bit base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C344FD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Test</w:t>
            </w:r>
            <w:r w:rsidR="001231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A</w:t>
            </w:r>
          </w:p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AI HEVC 2x 8-bit base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</w:tr>
      <w:tr w:rsidR="00C344FD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A+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-5.0%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</w:tr>
      <w:tr w:rsidR="00C344FD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Overall (Test vs Ref)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-2.9%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-5.5%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-5.0%</w:t>
            </w:r>
          </w:p>
        </w:tc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-3.4%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-5.8%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lastRenderedPageBreak/>
              <w:t>Overall (Test vs single layer)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15.3%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16.1%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12.7%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17.3%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17.5%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13.9%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Overall (Ref vs single layer)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18.5%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18.1%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19.4%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  <w:t>EL only (Test vs Ref)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-6.0%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-8.5%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-7.4%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-9.2%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-7.9%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1D1B1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color w:val="1D1B10"/>
                <w:sz w:val="16"/>
                <w:szCs w:val="16"/>
                <w:lang w:eastAsia="zh-CN"/>
              </w:rPr>
              <w:t>Overall (Test EL+BL vs single EL+BL)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-23.2%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-22.9%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-25.3%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-22.0%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-22.1%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-24.8%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99.9%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79.2%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100.7%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101.1%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C344FD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Test</w:t>
            </w:r>
            <w:r w:rsidR="001231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B</w:t>
            </w:r>
          </w:p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 HEVC 2x 10-bit base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C344FD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Test</w:t>
            </w:r>
            <w:r w:rsidR="001231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A</w:t>
            </w:r>
          </w:p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 HEVC 2x 8-bit base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C344FD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</w:tr>
      <w:tr w:rsidR="00C344FD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A+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-7.3%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-5.2%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-6.9%</w:t>
            </w:r>
          </w:p>
        </w:tc>
      </w:tr>
      <w:tr w:rsidR="00C344FD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Overall (Test vs Ref)</w:t>
            </w:r>
          </w:p>
        </w:tc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-3.8%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-5.1%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-7.3%</w:t>
            </w:r>
          </w:p>
        </w:tc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-4.0%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-5.2%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-6.9%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Overall (Test vs single layer)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27.1%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17.4%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28.4%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18.9%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Overall (Ref vs single layer)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27.5%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33.7%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26.9%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29.2%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35.2%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27.8%</w:t>
            </w:r>
          </w:p>
        </w:tc>
      </w:tr>
      <w:tr w:rsidR="00C344FD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  <w:t>EL only (Test vs Ref)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-6.9%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-7.9%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-10.0%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-7.2%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-8.1%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-9.7%</w:t>
            </w:r>
          </w:p>
        </w:tc>
      </w:tr>
      <w:tr w:rsidR="00C344FD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  <w:t>Overall (Test EL+BL vs single EL+BL)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-17.7%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-14.0%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-20.7%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-17.0%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-13.5%</w:t>
            </w:r>
          </w:p>
        </w:tc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-20.0%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69.7%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57.7%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107.1%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107.4%</w:t>
            </w:r>
          </w:p>
        </w:tc>
      </w:tr>
      <w:tr w:rsidR="000335BA" w:rsidRPr="000335BA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35BA" w:rsidRPr="000335BA" w:rsidRDefault="000335BA" w:rsidP="000335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0335BA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</w:tbl>
    <w:p w:rsidR="00032A2C" w:rsidRDefault="00032A2C" w:rsidP="00032A2C">
      <w:pPr>
        <w:spacing w:before="0"/>
      </w:pPr>
    </w:p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5" w:name="_Ref369001934"/>
      <w:bookmarkStart w:id="6" w:name="_Ref375145019"/>
      <w:r>
        <w:t xml:space="preserve">Table </w:t>
      </w:r>
      <w:r w:rsidR="00A56CA4">
        <w:fldChar w:fldCharType="begin"/>
      </w:r>
      <w:r w:rsidR="00EA2D55">
        <w:instrText xml:space="preserve"> SEQ Table \* ARABIC </w:instrText>
      </w:r>
      <w:r w:rsidR="00A56CA4">
        <w:fldChar w:fldCharType="separate"/>
      </w:r>
      <w:r w:rsidR="00312DB4">
        <w:rPr>
          <w:noProof/>
        </w:rPr>
        <w:t>2</w:t>
      </w:r>
      <w:r w:rsidR="00A56CA4">
        <w:fldChar w:fldCharType="end"/>
      </w:r>
      <w:bookmarkEnd w:id="4"/>
      <w:bookmarkEnd w:id="5"/>
      <w:r w:rsidR="00560DCB">
        <w:t xml:space="preserve">. </w:t>
      </w:r>
      <w:r w:rsidR="00000874">
        <w:t xml:space="preserve">Average BD rate reduction for </w:t>
      </w:r>
      <w:proofErr w:type="spellStart"/>
      <w:r w:rsidR="000335BA">
        <w:t>usecase</w:t>
      </w:r>
      <w:proofErr w:type="spellEnd"/>
      <w:r w:rsidR="000335BA">
        <w:t xml:space="preserve"> 2</w:t>
      </w:r>
      <w:r w:rsidR="008E65DC">
        <w:t xml:space="preserve"> compared with </w:t>
      </w:r>
      <w:r w:rsidR="00AC774F">
        <w:t>SCE</w:t>
      </w:r>
      <w:r w:rsidR="00C344FD">
        <w:t>1</w:t>
      </w:r>
      <w:r w:rsidR="00AC774F">
        <w:t xml:space="preserve"> anchors</w:t>
      </w:r>
      <w:bookmarkEnd w:id="6"/>
    </w:p>
    <w:tbl>
      <w:tblPr>
        <w:tblW w:w="8041" w:type="dxa"/>
        <w:jc w:val="center"/>
        <w:tblInd w:w="108" w:type="dxa"/>
        <w:tblLook w:val="04A0" w:firstRow="1" w:lastRow="0" w:firstColumn="1" w:lastColumn="0" w:noHBand="0" w:noVBand="1"/>
      </w:tblPr>
      <w:tblGrid>
        <w:gridCol w:w="3169"/>
        <w:gridCol w:w="812"/>
        <w:gridCol w:w="812"/>
        <w:gridCol w:w="812"/>
        <w:gridCol w:w="812"/>
        <w:gridCol w:w="812"/>
        <w:gridCol w:w="812"/>
      </w:tblGrid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Test</w:t>
            </w:r>
            <w:r w:rsidR="001231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B</w:t>
            </w:r>
          </w:p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AI HEVC 2x 10-bit base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Test</w:t>
            </w:r>
            <w:r w:rsidR="001231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A</w:t>
            </w:r>
          </w:p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AI HEVC 2x 8-bit base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A+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-8.9%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-11.6%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-8.9%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-11.5%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Overall (Test vs Ref)</w:t>
            </w:r>
          </w:p>
        </w:tc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-7.8%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-8.9%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-11.6%</w:t>
            </w:r>
          </w:p>
        </w:tc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-7.8%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-8.9%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-11.5%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Overall (Test vs single layer)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9.2%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11.8%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4.7%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11.8%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13.6%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6.1%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Overall (Ref vs single layer)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18.5%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22.8%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18.1%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24.7%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19.4%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  <w:t>EL only (Test vs Ref)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-15.2%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-15.9%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-18.6%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-15.2%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-15.9%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-18.4%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1D1B1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1D1B10"/>
                <w:sz w:val="16"/>
                <w:szCs w:val="16"/>
                <w:lang w:eastAsia="zh-CN"/>
              </w:rPr>
              <w:t>Overall (Test EL+BL vs single EL+BL)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-28.3%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-26.5%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-31.9%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-26.6%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-25.4%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1D1B10"/>
                <w:sz w:val="16"/>
                <w:szCs w:val="16"/>
                <w:lang w:eastAsia="zh-CN"/>
              </w:rPr>
              <w:t>-31.1%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90.9%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93.0%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98.3%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98.6%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3186" w:rsidRDefault="00123186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Test B</w:t>
            </w:r>
          </w:p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 HEVC 2x 10-bit base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23186" w:rsidRDefault="00123186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Test A</w:t>
            </w:r>
          </w:p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 HEVC 2x 8-bit base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U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V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 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Class A+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-11.0%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-10.6%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Overall (Test vs Ref)</w:t>
            </w:r>
          </w:p>
        </w:tc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-6.3%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-6.5%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-11.0%</w:t>
            </w:r>
          </w:p>
        </w:tc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-6.2%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-6.5%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-10.6%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Overall (Test vs single layer)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19.3%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25.1%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12.7%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21.2%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26.6%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14.3%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CN"/>
              </w:rPr>
              <w:t>Overall (Ref vs single layer)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27.5%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33.7%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26.9%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29.2%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35.2%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27.9%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  <w:t>EL only (Test vs Ref)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-11.7%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-11.4%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-16.0%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-11.5%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-11.4%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-15.4%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lang w:eastAsia="zh-CN"/>
              </w:rPr>
              <w:t>Overall (Test EL+BL vs single EL+BL)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-20.5%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-15.7%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-24.6%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-19.4%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-15.0%</w:t>
            </w:r>
          </w:p>
        </w:tc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808080"/>
                <w:sz w:val="16"/>
                <w:szCs w:val="16"/>
                <w:lang w:eastAsia="zh-CN"/>
              </w:rPr>
              <w:t>-23.8%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proofErr w:type="spellStart"/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Enc</w:t>
            </w:r>
            <w:proofErr w:type="spellEnd"/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 xml:space="preserve"> Time[%]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64.0%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65.1%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Dec Time[%]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106.1%</w:t>
            </w:r>
          </w:p>
        </w:tc>
        <w:tc>
          <w:tcPr>
            <w:tcW w:w="24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106.3%</w:t>
            </w:r>
          </w:p>
        </w:tc>
      </w:tr>
      <w:tr w:rsidR="00C344FD" w:rsidRPr="00C344FD" w:rsidTr="00C344FD">
        <w:trPr>
          <w:trHeight w:val="24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BL Match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44FD" w:rsidRPr="00C344FD" w:rsidRDefault="00C344FD" w:rsidP="00C344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</w:pPr>
            <w:r w:rsidRPr="00C344FD">
              <w:rPr>
                <w:rFonts w:ascii="Arial" w:eastAsia="Times New Roman" w:hAnsi="Arial" w:cs="Arial"/>
                <w:color w:val="000000"/>
                <w:sz w:val="16"/>
                <w:szCs w:val="16"/>
                <w:lang w:eastAsia="zh-CN"/>
              </w:rPr>
              <w:t>Matched</w:t>
            </w:r>
          </w:p>
        </w:tc>
      </w:tr>
    </w:tbl>
    <w:p w:rsidR="0085652C" w:rsidRDefault="0085652C" w:rsidP="0085652C">
      <w:pPr>
        <w:rPr>
          <w:sz w:val="18"/>
          <w:szCs w:val="18"/>
        </w:rPr>
      </w:pPr>
    </w:p>
    <w:p w:rsidR="00D1561B" w:rsidRDefault="00D1561B" w:rsidP="0085652C">
      <w:r>
        <w:t>The gain of use</w:t>
      </w:r>
      <w:r w:rsidR="006D7333">
        <w:t xml:space="preserve"> </w:t>
      </w:r>
      <w:r>
        <w:t>case 1 is much lower than that of use</w:t>
      </w:r>
      <w:r w:rsidR="006D7333">
        <w:t xml:space="preserve"> </w:t>
      </w:r>
      <w:r>
        <w:t>case 2</w:t>
      </w:r>
      <w:r w:rsidR="006D7333">
        <w:t>, primarily</w:t>
      </w:r>
      <w:r>
        <w:t xml:space="preserve"> because the hue of two test sequences “BirthdayFlashPart1” and “BirthdayFlashPart2” change</w:t>
      </w:r>
      <w:r w:rsidR="006D7333">
        <w:t>d</w:t>
      </w:r>
      <w:r>
        <w:t xml:space="preserve"> in</w:t>
      </w:r>
      <w:r w:rsidR="006D7333">
        <w:t xml:space="preserve"> the</w:t>
      </w:r>
      <w:r>
        <w:t xml:space="preserve"> middle</w:t>
      </w:r>
      <w:r w:rsidR="006D7333">
        <w:t xml:space="preserve"> of the sequence, as shown in </w:t>
      </w:r>
      <w:r w:rsidR="006D7333">
        <w:fldChar w:fldCharType="begin"/>
      </w:r>
      <w:r w:rsidR="006D7333">
        <w:instrText xml:space="preserve"> REF _Ref375254639 \h </w:instrText>
      </w:r>
      <w:r w:rsidR="006D7333">
        <w:fldChar w:fldCharType="separate"/>
      </w:r>
      <w:r w:rsidR="006D7333">
        <w:t xml:space="preserve">Figure </w:t>
      </w:r>
      <w:r w:rsidR="006D7333">
        <w:rPr>
          <w:noProof/>
        </w:rPr>
        <w:t>2</w:t>
      </w:r>
      <w:r w:rsidR="006D7333">
        <w:fldChar w:fldCharType="end"/>
      </w:r>
      <w:r w:rsidR="006D7333">
        <w:t xml:space="preserve"> and </w:t>
      </w:r>
      <w:r w:rsidR="006D7333">
        <w:fldChar w:fldCharType="begin"/>
      </w:r>
      <w:r w:rsidR="006D7333">
        <w:instrText xml:space="preserve"> REF _Ref375254668 \h </w:instrText>
      </w:r>
      <w:r w:rsidR="006D7333">
        <w:fldChar w:fldCharType="separate"/>
      </w:r>
      <w:r w:rsidR="006D7333">
        <w:t xml:space="preserve">Figure </w:t>
      </w:r>
      <w:r w:rsidR="006D7333">
        <w:rPr>
          <w:noProof/>
        </w:rPr>
        <w:t>3</w:t>
      </w:r>
      <w:r w:rsidR="006D7333">
        <w:fldChar w:fldCharType="end"/>
      </w:r>
      <w:r>
        <w:t xml:space="preserve">. </w:t>
      </w:r>
      <w:r w:rsidR="006D7333">
        <w:t>Therefore, the</w:t>
      </w:r>
      <w:r>
        <w:t xml:space="preserve"> 3D LUT derived with the first picture in use</w:t>
      </w:r>
      <w:r w:rsidR="006D7333">
        <w:t xml:space="preserve"> </w:t>
      </w:r>
      <w:r>
        <w:t xml:space="preserve">case 1 is not so effective for those pictures after </w:t>
      </w:r>
      <w:r w:rsidR="006D7333">
        <w:t>the hue changed</w:t>
      </w:r>
      <w:r>
        <w:t>.</w:t>
      </w:r>
    </w:p>
    <w:p w:rsidR="00D1561B" w:rsidRDefault="006C4EF8" w:rsidP="006C4EF8">
      <w:pPr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zh-CN"/>
        </w:rPr>
        <w:lastRenderedPageBreak/>
        <w:drawing>
          <wp:inline distT="0" distB="0" distL="0" distR="0">
            <wp:extent cx="2340864" cy="128930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thdayFlashPart1_Pic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864" cy="1289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18"/>
          <w:szCs w:val="18"/>
          <w:lang w:eastAsia="zh-CN"/>
        </w:rPr>
        <w:drawing>
          <wp:inline distT="0" distB="0" distL="0" distR="0">
            <wp:extent cx="2340864" cy="128930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thdayFlashPart1_Pic140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864" cy="1289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EF8" w:rsidRDefault="006C4EF8" w:rsidP="006C4EF8">
      <w:pPr>
        <w:pStyle w:val="ListParagraph"/>
        <w:numPr>
          <w:ilvl w:val="0"/>
          <w:numId w:val="14"/>
        </w:numPr>
        <w:jc w:val="center"/>
        <w:rPr>
          <w:sz w:val="18"/>
          <w:szCs w:val="18"/>
        </w:rPr>
      </w:pPr>
      <w:r>
        <w:rPr>
          <w:sz w:val="18"/>
          <w:szCs w:val="18"/>
        </w:rPr>
        <w:t>Picture 0                (b) Picture 140</w:t>
      </w:r>
    </w:p>
    <w:p w:rsidR="006C4EF8" w:rsidRDefault="006C4EF8" w:rsidP="006C4EF8">
      <w:pPr>
        <w:pStyle w:val="Caption"/>
        <w:jc w:val="center"/>
      </w:pPr>
      <w:proofErr w:type="gramStart"/>
      <w:r>
        <w:t xml:space="preserve">Figure </w:t>
      </w:r>
      <w:r w:rsidR="001C5396">
        <w:fldChar w:fldCharType="begin"/>
      </w:r>
      <w:r w:rsidR="001C5396">
        <w:instrText xml:space="preserve"> SEQ Figure \* ARABIC </w:instrText>
      </w:r>
      <w:r w:rsidR="001C5396">
        <w:fldChar w:fldCharType="separate"/>
      </w:r>
      <w:r>
        <w:rPr>
          <w:noProof/>
        </w:rPr>
        <w:t>2</w:t>
      </w:r>
      <w:r w:rsidR="001C5396">
        <w:rPr>
          <w:noProof/>
        </w:rPr>
        <w:fldChar w:fldCharType="end"/>
      </w:r>
      <w:r>
        <w:t>.</w:t>
      </w:r>
      <w:proofErr w:type="gramEnd"/>
      <w:r>
        <w:t xml:space="preserve"> </w:t>
      </w:r>
      <w:r w:rsidRPr="006C4EF8">
        <w:rPr>
          <w:b w:val="0"/>
        </w:rPr>
        <w:t>Hue changes of BirthdayFlashPart1</w:t>
      </w:r>
    </w:p>
    <w:p w:rsidR="006C4EF8" w:rsidRDefault="006C4EF8" w:rsidP="006C4EF8">
      <w:pPr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zh-CN"/>
        </w:rPr>
        <w:drawing>
          <wp:inline distT="0" distB="0" distL="0" distR="0">
            <wp:extent cx="2340864" cy="128930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thdayFlashPart2_Pic0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864" cy="1289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18"/>
          <w:szCs w:val="18"/>
          <w:lang w:eastAsia="zh-CN"/>
        </w:rPr>
        <w:drawing>
          <wp:inline distT="0" distB="0" distL="0" distR="0">
            <wp:extent cx="2340864" cy="128930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thdayFlashPart2_Pic100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864" cy="1289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EF8" w:rsidRDefault="006C4EF8" w:rsidP="006C4EF8">
      <w:pPr>
        <w:pStyle w:val="ListParagraph"/>
        <w:numPr>
          <w:ilvl w:val="0"/>
          <w:numId w:val="15"/>
        </w:numPr>
        <w:jc w:val="center"/>
        <w:rPr>
          <w:sz w:val="18"/>
          <w:szCs w:val="18"/>
        </w:rPr>
      </w:pPr>
      <w:r>
        <w:rPr>
          <w:sz w:val="18"/>
          <w:szCs w:val="18"/>
        </w:rPr>
        <w:t>Picture 0                (b) Picture 100</w:t>
      </w:r>
    </w:p>
    <w:p w:rsidR="006C4EF8" w:rsidRDefault="006C4EF8" w:rsidP="006C4EF8">
      <w:pPr>
        <w:pStyle w:val="Caption"/>
        <w:jc w:val="center"/>
      </w:pPr>
      <w:r>
        <w:t xml:space="preserve">Figure </w:t>
      </w:r>
      <w:r w:rsidR="001C5396">
        <w:fldChar w:fldCharType="begin"/>
      </w:r>
      <w:r w:rsidR="001C5396">
        <w:instrText xml:space="preserve"> SEQ Figure \* ARABIC </w:instrText>
      </w:r>
      <w:r w:rsidR="001C5396">
        <w:fldChar w:fldCharType="separate"/>
      </w:r>
      <w:r>
        <w:rPr>
          <w:noProof/>
        </w:rPr>
        <w:t>3</w:t>
      </w:r>
      <w:r w:rsidR="001C5396">
        <w:rPr>
          <w:noProof/>
        </w:rPr>
        <w:fldChar w:fldCharType="end"/>
      </w:r>
      <w:r>
        <w:t xml:space="preserve">. </w:t>
      </w:r>
      <w:r w:rsidRPr="006C4EF8">
        <w:rPr>
          <w:b w:val="0"/>
        </w:rPr>
        <w:t>Hue changes of BirthdayFlashPart</w:t>
      </w:r>
      <w:r>
        <w:rPr>
          <w:b w:val="0"/>
        </w:rPr>
        <w:t>2</w:t>
      </w:r>
    </w:p>
    <w:p w:rsidR="00026E1D" w:rsidRPr="006D1415" w:rsidRDefault="00873BB5" w:rsidP="00026E1D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Conclusions</w:t>
      </w:r>
      <w:r w:rsidR="00026E1D" w:rsidRPr="006D1415">
        <w:t xml:space="preserve"> </w:t>
      </w:r>
    </w:p>
    <w:p w:rsidR="00026E1D" w:rsidRDefault="00D75A72" w:rsidP="007506E6">
      <w:pPr>
        <w:jc w:val="both"/>
      </w:pPr>
      <w:r>
        <w:t>In</w:t>
      </w:r>
      <w:r w:rsidR="00921BD0">
        <w:t xml:space="preserve"> this proposal</w:t>
      </w:r>
      <w:r>
        <w:t xml:space="preserve">, </w:t>
      </w:r>
      <w:r w:rsidR="00D17D3E">
        <w:t>the bit-depth</w:t>
      </w:r>
      <w:r w:rsidR="00921BD0">
        <w:t xml:space="preserve"> </w:t>
      </w:r>
      <w:r w:rsidR="008C23AA">
        <w:t>conversion</w:t>
      </w:r>
      <w:r w:rsidR="00D17D3E">
        <w:t xml:space="preserve"> and color gamut </w:t>
      </w:r>
      <w:r w:rsidR="008C23AA">
        <w:t>conversion</w:t>
      </w:r>
      <w:r w:rsidR="00D17D3E">
        <w:t xml:space="preserve"> </w:t>
      </w:r>
      <w:r w:rsidR="008C23AA">
        <w:t xml:space="preserve">are </w:t>
      </w:r>
      <w:r w:rsidR="00D17D3E">
        <w:t xml:space="preserve">combined </w:t>
      </w:r>
      <w:r w:rsidR="002E78E3">
        <w:t xml:space="preserve">into one combined </w:t>
      </w:r>
      <w:r w:rsidR="008C23AA">
        <w:t xml:space="preserve">3D LUT </w:t>
      </w:r>
      <w:r w:rsidR="00921BD0">
        <w:t xml:space="preserve">for </w:t>
      </w:r>
      <w:r w:rsidR="00FF69BE">
        <w:t>SHVC</w:t>
      </w:r>
      <w:r w:rsidR="00D17D3E">
        <w:t xml:space="preserve"> </w:t>
      </w:r>
      <w:r w:rsidR="008C23AA">
        <w:t xml:space="preserve">color gamut scalability </w:t>
      </w:r>
      <w:r w:rsidR="00D17D3E">
        <w:t>coding</w:t>
      </w:r>
      <w:r w:rsidR="00921BD0">
        <w:t xml:space="preserve">. </w:t>
      </w:r>
      <w:r w:rsidR="008C23AA">
        <w:t xml:space="preserve">Compared with </w:t>
      </w:r>
      <w:r w:rsidR="00C344FD">
        <w:t>SCE1 anchor</w:t>
      </w:r>
      <w:r w:rsidR="006D7333">
        <w:t>s, which uses</w:t>
      </w:r>
      <w:r w:rsidR="00C344FD">
        <w:t xml:space="preserve"> weighted prediction </w:t>
      </w:r>
      <w:r w:rsidR="006D7333">
        <w:t>the</w:t>
      </w:r>
      <w:r w:rsidR="00C344FD">
        <w:t xml:space="preserve"> ILR picture</w:t>
      </w:r>
      <w:r w:rsidR="006D7333">
        <w:t>s</w:t>
      </w:r>
      <w:r w:rsidR="007E4134">
        <w:t xml:space="preserve"> and simple bit</w:t>
      </w:r>
      <w:r w:rsidR="00123186">
        <w:t>-</w:t>
      </w:r>
      <w:r w:rsidR="007E4134">
        <w:t>shifting if the bit</w:t>
      </w:r>
      <w:r w:rsidR="006D7333">
        <w:t xml:space="preserve"> </w:t>
      </w:r>
      <w:r w:rsidR="007E4134">
        <w:t xml:space="preserve">depth is different </w:t>
      </w:r>
      <w:r w:rsidR="006D7333">
        <w:t xml:space="preserve">between the </w:t>
      </w:r>
      <w:r w:rsidR="007E4134">
        <w:t>two layers</w:t>
      </w:r>
      <w:r w:rsidR="008C23AA">
        <w:t xml:space="preserve">, </w:t>
      </w:r>
      <w:r w:rsidR="007E4134">
        <w:t>3D LUT</w:t>
      </w:r>
      <w:r w:rsidR="008C23AA">
        <w:t xml:space="preserve"> method can </w:t>
      </w:r>
      <w:r w:rsidR="00D17D3E">
        <w:t>achieve higher coding efficiency</w:t>
      </w:r>
      <w:r w:rsidR="002E78E3">
        <w:t xml:space="preserve">, with average </w:t>
      </w:r>
      <w:r w:rsidR="00D71DD8">
        <w:t xml:space="preserve">BD rate </w:t>
      </w:r>
      <w:r w:rsidR="00B83368">
        <w:t>gain</w:t>
      </w:r>
      <w:r w:rsidR="002E78E3">
        <w:t>s</w:t>
      </w:r>
      <w:r w:rsidR="004E0C98">
        <w:t xml:space="preserve"> </w:t>
      </w:r>
      <w:r w:rsidR="002E78E3">
        <w:t>of</w:t>
      </w:r>
      <w:r w:rsidR="00D71DD8">
        <w:t xml:space="preserve"> </w:t>
      </w:r>
      <w:r w:rsidR="00B83368">
        <w:t>{-</w:t>
      </w:r>
      <w:r w:rsidR="00123186">
        <w:t>3</w:t>
      </w:r>
      <w:r w:rsidR="00D71DD8" w:rsidRPr="00F643B4">
        <w:t>.</w:t>
      </w:r>
      <w:r w:rsidR="00123186">
        <w:t>1</w:t>
      </w:r>
      <w:r w:rsidR="00D71DD8" w:rsidRPr="00F643B4">
        <w:t>%</w:t>
      </w:r>
      <w:r w:rsidR="00B83368">
        <w:t>, -</w:t>
      </w:r>
      <w:r w:rsidR="00123186">
        <w:t>5</w:t>
      </w:r>
      <w:r w:rsidR="00B83368">
        <w:t>.</w:t>
      </w:r>
      <w:r w:rsidR="00123186">
        <w:t>6</w:t>
      </w:r>
      <w:r w:rsidR="00B83368">
        <w:t>%, -</w:t>
      </w:r>
      <w:r w:rsidR="00423952">
        <w:t>5</w:t>
      </w:r>
      <w:r w:rsidR="00B83368">
        <w:t>.</w:t>
      </w:r>
      <w:r w:rsidR="00123186">
        <w:t>0</w:t>
      </w:r>
      <w:r w:rsidR="00B83368">
        <w:t>%}</w:t>
      </w:r>
      <w:r w:rsidR="00D71DD8">
        <w:t xml:space="preserve"> for AI</w:t>
      </w:r>
      <w:r w:rsidR="00123186">
        <w:t>,</w:t>
      </w:r>
      <w:r w:rsidR="00D71DD8">
        <w:t xml:space="preserve"> </w:t>
      </w:r>
      <w:r w:rsidR="00B83368">
        <w:t>{-</w:t>
      </w:r>
      <w:r w:rsidR="00123186">
        <w:t>3</w:t>
      </w:r>
      <w:r w:rsidR="00D71DD8" w:rsidRPr="00F643B4">
        <w:t>.</w:t>
      </w:r>
      <w:r w:rsidR="00123186">
        <w:t>9</w:t>
      </w:r>
      <w:r w:rsidR="00D71DD8" w:rsidRPr="00F643B4">
        <w:t>%</w:t>
      </w:r>
      <w:r w:rsidR="00B83368">
        <w:t>, -</w:t>
      </w:r>
      <w:r w:rsidR="00123186">
        <w:t>5</w:t>
      </w:r>
      <w:r w:rsidR="00B83368">
        <w:t>.</w:t>
      </w:r>
      <w:r w:rsidR="00123186">
        <w:t>1</w:t>
      </w:r>
      <w:r w:rsidR="00B83368">
        <w:t>%, -</w:t>
      </w:r>
      <w:r w:rsidR="00123186">
        <w:t>7</w:t>
      </w:r>
      <w:r w:rsidR="00B83368">
        <w:t>.</w:t>
      </w:r>
      <w:r w:rsidR="00423952">
        <w:t>1</w:t>
      </w:r>
      <w:r w:rsidR="00B83368">
        <w:t>%}</w:t>
      </w:r>
      <w:r w:rsidR="00D71DD8">
        <w:t xml:space="preserve"> for RA</w:t>
      </w:r>
      <w:r w:rsidR="00F643B4">
        <w:t>-2x</w:t>
      </w:r>
      <w:r w:rsidR="00123186">
        <w:t xml:space="preserve"> for use</w:t>
      </w:r>
      <w:r w:rsidR="006D7333">
        <w:t xml:space="preserve"> </w:t>
      </w:r>
      <w:r w:rsidR="00123186">
        <w:t>case 1, and {-7</w:t>
      </w:r>
      <w:r w:rsidR="00123186" w:rsidRPr="00F643B4">
        <w:t>.</w:t>
      </w:r>
      <w:r w:rsidR="00123186">
        <w:t>8</w:t>
      </w:r>
      <w:r w:rsidR="00123186" w:rsidRPr="00F643B4">
        <w:t>%</w:t>
      </w:r>
      <w:r w:rsidR="00123186">
        <w:t>, -8.9%, -11.5%} for AI, {-6</w:t>
      </w:r>
      <w:r w:rsidR="00123186" w:rsidRPr="00F643B4">
        <w:t>.</w:t>
      </w:r>
      <w:r w:rsidR="00123186">
        <w:t>2</w:t>
      </w:r>
      <w:r w:rsidR="00123186" w:rsidRPr="00F643B4">
        <w:t>%</w:t>
      </w:r>
      <w:r w:rsidR="00123186">
        <w:t>, -6.5%, -10.8%} for RA-2x for use</w:t>
      </w:r>
      <w:r w:rsidR="006D7333">
        <w:t xml:space="preserve"> </w:t>
      </w:r>
      <w:r w:rsidR="00123186">
        <w:t>case 2</w:t>
      </w:r>
      <w:r w:rsidR="00921BD0">
        <w:t>.</w:t>
      </w:r>
      <w:r w:rsidR="002D730C">
        <w:t xml:space="preserve"> </w:t>
      </w:r>
    </w:p>
    <w:p w:rsidR="00921BD0" w:rsidRDefault="00921BD0" w:rsidP="00F35982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r>
        <w:rPr>
          <w:b/>
          <w:szCs w:val="22"/>
        </w:rPr>
        <w:t xml:space="preserve">InterDigital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7" w:name="_Toc258950902"/>
      <w:bookmarkStart w:id="8" w:name="_Toc341951835"/>
      <w:r w:rsidRPr="00855F5E">
        <w:rPr>
          <w:rFonts w:hint="eastAsia"/>
        </w:rPr>
        <w:t>References</w:t>
      </w:r>
      <w:bookmarkEnd w:id="7"/>
      <w:bookmarkEnd w:id="8"/>
    </w:p>
    <w:p w:rsidR="00B67E05" w:rsidRDefault="000055D1" w:rsidP="00F35982">
      <w:pPr>
        <w:pStyle w:val="SPIEreferencelisting"/>
        <w:rPr>
          <w:sz w:val="22"/>
        </w:rPr>
      </w:pPr>
      <w:bookmarkStart w:id="9" w:name="_Ref361224128"/>
      <w:bookmarkStart w:id="10" w:name="_Ref341953128"/>
      <w:bookmarkStart w:id="11" w:name="_Ref352504500"/>
      <w:bookmarkStart w:id="12" w:name="_Ref295304050"/>
      <w:bookmarkStart w:id="13" w:name="_Ref305686033"/>
      <w:bookmarkStart w:id="14" w:name="_Ref352522379"/>
      <w:bookmarkStart w:id="15" w:name="_Ref211137291"/>
      <w:r>
        <w:rPr>
          <w:sz w:val="22"/>
        </w:rPr>
        <w:t xml:space="preserve">P. Bordes, Y. Ye, E. </w:t>
      </w:r>
      <w:proofErr w:type="spellStart"/>
      <w:r>
        <w:rPr>
          <w:sz w:val="22"/>
        </w:rPr>
        <w:t>Alshina</w:t>
      </w:r>
      <w:proofErr w:type="spellEnd"/>
      <w:r>
        <w:rPr>
          <w:sz w:val="22"/>
        </w:rPr>
        <w:t xml:space="preserve">, X. Li, S.-H. Kim, A. Duenas, K. </w:t>
      </w:r>
      <w:proofErr w:type="spellStart"/>
      <w:r>
        <w:rPr>
          <w:sz w:val="22"/>
        </w:rPr>
        <w:t>Ugur</w:t>
      </w:r>
      <w:proofErr w:type="spellEnd"/>
      <w:r>
        <w:rPr>
          <w:sz w:val="22"/>
        </w:rPr>
        <w:t>, K. Sato,</w:t>
      </w:r>
      <w:r w:rsidR="00BB38CF" w:rsidRPr="00EB6114">
        <w:rPr>
          <w:sz w:val="22"/>
        </w:rPr>
        <w:t xml:space="preserve"> “</w:t>
      </w:r>
      <w:r>
        <w:rPr>
          <w:sz w:val="22"/>
        </w:rPr>
        <w:t>Description of HEVC Scalable Extensions Core Experiment SCE1: Color Gamut and Bit-Depth Scalability</w:t>
      </w:r>
      <w:r w:rsidR="00BB38CF" w:rsidRPr="00EB6114">
        <w:rPr>
          <w:sz w:val="22"/>
        </w:rPr>
        <w:t>”, JCTVC-</w:t>
      </w:r>
      <w:r>
        <w:rPr>
          <w:sz w:val="22"/>
        </w:rPr>
        <w:t>O</w:t>
      </w:r>
      <w:r w:rsidR="00BB38CF" w:rsidRPr="00EB6114">
        <w:rPr>
          <w:sz w:val="22"/>
        </w:rPr>
        <w:t>1</w:t>
      </w:r>
      <w:r>
        <w:rPr>
          <w:sz w:val="22"/>
        </w:rPr>
        <w:t>101</w:t>
      </w:r>
      <w:r w:rsidR="00BB38CF" w:rsidRPr="00EB6114">
        <w:rPr>
          <w:sz w:val="22"/>
        </w:rPr>
        <w:t xml:space="preserve">, </w:t>
      </w:r>
      <w:r>
        <w:rPr>
          <w:sz w:val="22"/>
        </w:rPr>
        <w:t>Oct</w:t>
      </w:r>
      <w:r w:rsidR="00BB38CF" w:rsidRPr="00EB6114">
        <w:rPr>
          <w:sz w:val="22"/>
        </w:rPr>
        <w:t>. 2013</w:t>
      </w:r>
      <w:r>
        <w:rPr>
          <w:sz w:val="22"/>
        </w:rPr>
        <w:t>, CH</w:t>
      </w:r>
      <w:r w:rsidR="00BB38CF" w:rsidRPr="00EB6114">
        <w:rPr>
          <w:sz w:val="22"/>
        </w:rPr>
        <w:t>.</w:t>
      </w:r>
      <w:bookmarkEnd w:id="9"/>
    </w:p>
    <w:p w:rsidR="000055D1" w:rsidRDefault="000055D1" w:rsidP="00F35982">
      <w:pPr>
        <w:pStyle w:val="SPIEreferencelisting"/>
        <w:rPr>
          <w:sz w:val="22"/>
        </w:rPr>
      </w:pPr>
      <w:bookmarkStart w:id="16" w:name="_Ref375148626"/>
      <w:bookmarkStart w:id="17" w:name="_Ref361224130"/>
      <w:r w:rsidRPr="000055D1">
        <w:rPr>
          <w:sz w:val="22"/>
        </w:rPr>
        <w:t>Y. He, Y. Ye, J. Dong, “Non-SCE4/AHG14: Combined bit-depth and color gamut conversion with 3D LUT for SHVC color gamut scalability”, JCTVC-O0161, Oct. 2013, CH.</w:t>
      </w:r>
      <w:bookmarkEnd w:id="16"/>
    </w:p>
    <w:p w:rsidR="00477F54" w:rsidRDefault="00477F54" w:rsidP="00F35982">
      <w:pPr>
        <w:pStyle w:val="SPIEreferencelisting"/>
        <w:rPr>
          <w:sz w:val="22"/>
        </w:rPr>
      </w:pPr>
      <w:bookmarkStart w:id="18" w:name="_Ref370118570"/>
      <w:bookmarkEnd w:id="10"/>
      <w:bookmarkEnd w:id="11"/>
      <w:bookmarkEnd w:id="12"/>
      <w:bookmarkEnd w:id="13"/>
      <w:bookmarkEnd w:id="14"/>
      <w:bookmarkEnd w:id="15"/>
      <w:bookmarkEnd w:id="17"/>
      <w:r>
        <w:rPr>
          <w:sz w:val="22"/>
        </w:rPr>
        <w:t xml:space="preserve">P. Bordes, P. Andrivon, F. Hiron, P. Salmon, R. </w:t>
      </w:r>
      <w:proofErr w:type="spellStart"/>
      <w:r>
        <w:rPr>
          <w:sz w:val="22"/>
        </w:rPr>
        <w:t>Boitard</w:t>
      </w:r>
      <w:proofErr w:type="spellEnd"/>
      <w:r>
        <w:rPr>
          <w:sz w:val="22"/>
        </w:rPr>
        <w:t>, “SCE4: Results on 5.3-test1 and 5.3-test2”, JCTVC-O0159, Oct. 2013</w:t>
      </w:r>
      <w:bookmarkEnd w:id="18"/>
      <w:r w:rsidR="005167B8">
        <w:rPr>
          <w:sz w:val="22"/>
        </w:rPr>
        <w:t>, CH.</w:t>
      </w:r>
    </w:p>
    <w:p w:rsidR="00CF193D" w:rsidRDefault="00CF193D" w:rsidP="00F35982">
      <w:pPr>
        <w:pStyle w:val="SPIEreferencelisting"/>
        <w:rPr>
          <w:sz w:val="22"/>
        </w:rPr>
      </w:pPr>
      <w:bookmarkStart w:id="19" w:name="_Ref361223284"/>
      <w:r>
        <w:rPr>
          <w:sz w:val="22"/>
        </w:rPr>
        <w:t>P</w:t>
      </w:r>
      <w:r w:rsidRPr="007D3277">
        <w:rPr>
          <w:sz w:val="22"/>
        </w:rPr>
        <w:t xml:space="preserve">. </w:t>
      </w:r>
      <w:r>
        <w:rPr>
          <w:sz w:val="22"/>
        </w:rPr>
        <w:t>Bordes, P</w:t>
      </w:r>
      <w:r w:rsidRPr="007D3277">
        <w:rPr>
          <w:sz w:val="22"/>
        </w:rPr>
        <w:t xml:space="preserve">. </w:t>
      </w:r>
      <w:r>
        <w:rPr>
          <w:sz w:val="22"/>
        </w:rPr>
        <w:t>Andrivon</w:t>
      </w:r>
      <w:r w:rsidRPr="007D3277">
        <w:rPr>
          <w:sz w:val="22"/>
        </w:rPr>
        <w:t xml:space="preserve">, </w:t>
      </w:r>
      <w:r>
        <w:rPr>
          <w:sz w:val="22"/>
        </w:rPr>
        <w:t>F. Hiron</w:t>
      </w:r>
      <w:r w:rsidRPr="007D3277">
        <w:rPr>
          <w:sz w:val="22"/>
        </w:rPr>
        <w:t>, “</w:t>
      </w:r>
      <w:r>
        <w:rPr>
          <w:sz w:val="22"/>
        </w:rPr>
        <w:t>AHG14</w:t>
      </w:r>
      <w:r w:rsidRPr="007D3277">
        <w:rPr>
          <w:sz w:val="22"/>
        </w:rPr>
        <w:t>:</w:t>
      </w:r>
      <w:r>
        <w:rPr>
          <w:sz w:val="22"/>
        </w:rPr>
        <w:t xml:space="preserve"> Color Gamut Scalable Video Coding using 3D LUT: New Results</w:t>
      </w:r>
      <w:r w:rsidRPr="007D3277">
        <w:rPr>
          <w:sz w:val="22"/>
        </w:rPr>
        <w:t>”, JCTVC-</w:t>
      </w:r>
      <w:r>
        <w:rPr>
          <w:sz w:val="22"/>
        </w:rPr>
        <w:t>N</w:t>
      </w:r>
      <w:r w:rsidRPr="007D3277">
        <w:rPr>
          <w:sz w:val="22"/>
        </w:rPr>
        <w:t>0</w:t>
      </w:r>
      <w:r>
        <w:rPr>
          <w:sz w:val="22"/>
        </w:rPr>
        <w:t>168</w:t>
      </w:r>
      <w:r w:rsidRPr="007D3277">
        <w:rPr>
          <w:sz w:val="22"/>
        </w:rPr>
        <w:t xml:space="preserve">, </w:t>
      </w:r>
      <w:r>
        <w:rPr>
          <w:sz w:val="22"/>
        </w:rPr>
        <w:t>Jul</w:t>
      </w:r>
      <w:r w:rsidRPr="007D3277">
        <w:rPr>
          <w:sz w:val="22"/>
        </w:rPr>
        <w:t>. 2013.</w:t>
      </w:r>
      <w:bookmarkEnd w:id="19"/>
    </w:p>
    <w:sectPr w:rsidR="00CF193D" w:rsidSect="00A01439">
      <w:footerReference w:type="default" r:id="rId2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396" w:rsidRDefault="001C5396">
      <w:r>
        <w:separator/>
      </w:r>
    </w:p>
  </w:endnote>
  <w:endnote w:type="continuationSeparator" w:id="0">
    <w:p w:rsidR="001C5396" w:rsidRDefault="001C5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61" w:rsidRDefault="00ED2F6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92C8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92C8D">
      <w:rPr>
        <w:rStyle w:val="PageNumber"/>
        <w:noProof/>
      </w:rPr>
      <w:t>2013-12-20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396" w:rsidRDefault="001C5396">
      <w:r>
        <w:separator/>
      </w:r>
    </w:p>
  </w:footnote>
  <w:footnote w:type="continuationSeparator" w:id="0">
    <w:p w:rsidR="001C5396" w:rsidRDefault="001C5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11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3807"/>
    <w:rsid w:val="0007053F"/>
    <w:rsid w:val="00071CF6"/>
    <w:rsid w:val="00072994"/>
    <w:rsid w:val="0007614F"/>
    <w:rsid w:val="00080FC0"/>
    <w:rsid w:val="000912FC"/>
    <w:rsid w:val="000A25E1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45EE"/>
    <w:rsid w:val="001F23F8"/>
    <w:rsid w:val="001F2594"/>
    <w:rsid w:val="001F4185"/>
    <w:rsid w:val="001F465B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6453"/>
    <w:rsid w:val="002506D3"/>
    <w:rsid w:val="002509E8"/>
    <w:rsid w:val="00250D93"/>
    <w:rsid w:val="00252848"/>
    <w:rsid w:val="00253D8C"/>
    <w:rsid w:val="00263398"/>
    <w:rsid w:val="00266F2F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D0AF6"/>
    <w:rsid w:val="002D1D7D"/>
    <w:rsid w:val="002D205A"/>
    <w:rsid w:val="002D4BC8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4F5B"/>
    <w:rsid w:val="00327C56"/>
    <w:rsid w:val="003315A1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7710"/>
    <w:rsid w:val="003868CC"/>
    <w:rsid w:val="00387363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600C"/>
    <w:rsid w:val="00423952"/>
    <w:rsid w:val="0042509A"/>
    <w:rsid w:val="00430818"/>
    <w:rsid w:val="00433DDB"/>
    <w:rsid w:val="0043729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57F0"/>
    <w:rsid w:val="00490060"/>
    <w:rsid w:val="004935C2"/>
    <w:rsid w:val="004961A0"/>
    <w:rsid w:val="00497F78"/>
    <w:rsid w:val="004A2A63"/>
    <w:rsid w:val="004B210C"/>
    <w:rsid w:val="004B6443"/>
    <w:rsid w:val="004C6686"/>
    <w:rsid w:val="004D08E4"/>
    <w:rsid w:val="004D405F"/>
    <w:rsid w:val="004D5147"/>
    <w:rsid w:val="004E0C98"/>
    <w:rsid w:val="004E0DF4"/>
    <w:rsid w:val="004E4F4F"/>
    <w:rsid w:val="004E6789"/>
    <w:rsid w:val="004F124F"/>
    <w:rsid w:val="004F3778"/>
    <w:rsid w:val="004F46C8"/>
    <w:rsid w:val="004F6111"/>
    <w:rsid w:val="004F61E3"/>
    <w:rsid w:val="004F72E7"/>
    <w:rsid w:val="00502E10"/>
    <w:rsid w:val="00503FBE"/>
    <w:rsid w:val="00507139"/>
    <w:rsid w:val="0051015C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7BE9"/>
    <w:rsid w:val="00550A66"/>
    <w:rsid w:val="00550C35"/>
    <w:rsid w:val="00560DCB"/>
    <w:rsid w:val="00565058"/>
    <w:rsid w:val="005663B5"/>
    <w:rsid w:val="00567EC7"/>
    <w:rsid w:val="00570013"/>
    <w:rsid w:val="00574DC3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217D"/>
    <w:rsid w:val="005B6351"/>
    <w:rsid w:val="005C174A"/>
    <w:rsid w:val="005C327C"/>
    <w:rsid w:val="005C385F"/>
    <w:rsid w:val="005C5E0C"/>
    <w:rsid w:val="005D23F3"/>
    <w:rsid w:val="005E02BF"/>
    <w:rsid w:val="005E1AC6"/>
    <w:rsid w:val="005F326F"/>
    <w:rsid w:val="005F6F1B"/>
    <w:rsid w:val="005F7ADF"/>
    <w:rsid w:val="006008B9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C409D"/>
    <w:rsid w:val="006C4EF8"/>
    <w:rsid w:val="006C5D39"/>
    <w:rsid w:val="006D1415"/>
    <w:rsid w:val="006D7333"/>
    <w:rsid w:val="006E2810"/>
    <w:rsid w:val="006E5417"/>
    <w:rsid w:val="006E6ABA"/>
    <w:rsid w:val="0070459C"/>
    <w:rsid w:val="00710981"/>
    <w:rsid w:val="00711345"/>
    <w:rsid w:val="00712146"/>
    <w:rsid w:val="00712F60"/>
    <w:rsid w:val="00714FD8"/>
    <w:rsid w:val="00720E3B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6B91"/>
    <w:rsid w:val="007E208D"/>
    <w:rsid w:val="007E2215"/>
    <w:rsid w:val="007E3E9D"/>
    <w:rsid w:val="007E4134"/>
    <w:rsid w:val="007E737B"/>
    <w:rsid w:val="007F1AB4"/>
    <w:rsid w:val="007F1F8B"/>
    <w:rsid w:val="007F67A1"/>
    <w:rsid w:val="00807F96"/>
    <w:rsid w:val="00811C05"/>
    <w:rsid w:val="008206C8"/>
    <w:rsid w:val="00821B53"/>
    <w:rsid w:val="0082421D"/>
    <w:rsid w:val="0083497D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42FE"/>
    <w:rsid w:val="00884DEF"/>
    <w:rsid w:val="00896CDD"/>
    <w:rsid w:val="008A4B4C"/>
    <w:rsid w:val="008A63B6"/>
    <w:rsid w:val="008B4891"/>
    <w:rsid w:val="008B6462"/>
    <w:rsid w:val="008B6939"/>
    <w:rsid w:val="008C239F"/>
    <w:rsid w:val="008C23AA"/>
    <w:rsid w:val="008C6C68"/>
    <w:rsid w:val="008E480C"/>
    <w:rsid w:val="008E65DC"/>
    <w:rsid w:val="008F309D"/>
    <w:rsid w:val="008F75BE"/>
    <w:rsid w:val="008F7796"/>
    <w:rsid w:val="00900089"/>
    <w:rsid w:val="00907757"/>
    <w:rsid w:val="0091223E"/>
    <w:rsid w:val="009212B0"/>
    <w:rsid w:val="00921534"/>
    <w:rsid w:val="00921BD0"/>
    <w:rsid w:val="009234A5"/>
    <w:rsid w:val="009253BA"/>
    <w:rsid w:val="00930CB3"/>
    <w:rsid w:val="009336F7"/>
    <w:rsid w:val="009374A7"/>
    <w:rsid w:val="0095627D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C24B5"/>
    <w:rsid w:val="009E1448"/>
    <w:rsid w:val="009F0748"/>
    <w:rsid w:val="009F496B"/>
    <w:rsid w:val="00A01439"/>
    <w:rsid w:val="00A02E6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6A6D"/>
    <w:rsid w:val="00A83253"/>
    <w:rsid w:val="00A832F5"/>
    <w:rsid w:val="00A92C8D"/>
    <w:rsid w:val="00A978A9"/>
    <w:rsid w:val="00AA6E8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490"/>
    <w:rsid w:val="00C115AB"/>
    <w:rsid w:val="00C1202B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32A4"/>
    <w:rsid w:val="00CB5345"/>
    <w:rsid w:val="00CC2AAE"/>
    <w:rsid w:val="00CC5A42"/>
    <w:rsid w:val="00CD0EAB"/>
    <w:rsid w:val="00CD54F9"/>
    <w:rsid w:val="00CD623F"/>
    <w:rsid w:val="00CE2CD1"/>
    <w:rsid w:val="00CE2FBB"/>
    <w:rsid w:val="00CE3314"/>
    <w:rsid w:val="00CE3CCC"/>
    <w:rsid w:val="00CF193D"/>
    <w:rsid w:val="00CF34DB"/>
    <w:rsid w:val="00CF4012"/>
    <w:rsid w:val="00CF558F"/>
    <w:rsid w:val="00CF6CC8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51BF0"/>
    <w:rsid w:val="00D55942"/>
    <w:rsid w:val="00D56A44"/>
    <w:rsid w:val="00D64AEA"/>
    <w:rsid w:val="00D70E26"/>
    <w:rsid w:val="00D713B6"/>
    <w:rsid w:val="00D71DD8"/>
    <w:rsid w:val="00D75A72"/>
    <w:rsid w:val="00D80576"/>
    <w:rsid w:val="00D807BF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61DAC"/>
    <w:rsid w:val="00E632B7"/>
    <w:rsid w:val="00E6504B"/>
    <w:rsid w:val="00E66A90"/>
    <w:rsid w:val="00E72B80"/>
    <w:rsid w:val="00E75FE3"/>
    <w:rsid w:val="00E77B83"/>
    <w:rsid w:val="00E8651F"/>
    <w:rsid w:val="00E86C4C"/>
    <w:rsid w:val="00E918C0"/>
    <w:rsid w:val="00E94B78"/>
    <w:rsid w:val="00E96D3D"/>
    <w:rsid w:val="00EA2D55"/>
    <w:rsid w:val="00EB10C6"/>
    <w:rsid w:val="00EB6114"/>
    <w:rsid w:val="00EB7AB1"/>
    <w:rsid w:val="00EC15D4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7B57"/>
    <w:rsid w:val="00F31969"/>
    <w:rsid w:val="00F35982"/>
    <w:rsid w:val="00F412B6"/>
    <w:rsid w:val="00F51EE7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43D8"/>
    <w:rsid w:val="00F95B23"/>
    <w:rsid w:val="00F96BAD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ie.dong@interdigital.com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CB9D-BDC6-4FCC-A78F-19E197BC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4647</TotalTime>
  <Pages>1</Pages>
  <Words>1756</Words>
  <Characters>10014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11747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He, Yuwen</cp:lastModifiedBy>
  <cp:revision>72</cp:revision>
  <cp:lastPrinted>2013-04-08T19:19:00Z</cp:lastPrinted>
  <dcterms:created xsi:type="dcterms:W3CDTF">2013-07-15T06:05:00Z</dcterms:created>
  <dcterms:modified xsi:type="dcterms:W3CDTF">2014-01-03T23:51:00Z</dcterms:modified>
</cp:coreProperties>
</file>