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7D003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6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65039">
              <w:rPr>
                <w:szCs w:val="22"/>
                <w:lang w:val="en-CA"/>
              </w:rPr>
              <w:t>San José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US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9</w:t>
            </w:r>
            <w:r w:rsidR="00FA139D">
              <w:rPr>
                <w:szCs w:val="22"/>
                <w:lang w:val="en-CA"/>
              </w:rPr>
              <w:t>–</w:t>
            </w:r>
            <w:r w:rsidR="00346148"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7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065039">
              <w:rPr>
                <w:szCs w:val="22"/>
                <w:lang w:val="en-CA"/>
              </w:rPr>
              <w:t>Jan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065039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1B0EB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1B0EBA">
              <w:rPr>
                <w:lang w:val="en-CA"/>
              </w:rPr>
              <w:t>P</w:t>
            </w:r>
            <w:r w:rsidR="001B0EBA">
              <w:rPr>
                <w:u w:val="single"/>
                <w:lang w:val="en-CA"/>
              </w:rPr>
              <w:t>0032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7179AE" w:rsidP="007209C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RCE1</w:t>
            </w:r>
            <w:r w:rsidRPr="003819CE">
              <w:rPr>
                <w:b/>
                <w:szCs w:val="22"/>
                <w:lang w:val="en-CA"/>
              </w:rPr>
              <w:t xml:space="preserve">: Summary report on HEVC Range Extensions Core Experiment </w:t>
            </w:r>
            <w:r>
              <w:rPr>
                <w:b/>
                <w:szCs w:val="22"/>
                <w:lang w:val="en-CA"/>
              </w:rPr>
              <w:t>1</w:t>
            </w:r>
            <w:r w:rsidRPr="003819CE">
              <w:rPr>
                <w:b/>
                <w:szCs w:val="22"/>
                <w:lang w:val="en-CA"/>
              </w:rPr>
              <w:t xml:space="preserve"> (RCE</w:t>
            </w:r>
            <w:r>
              <w:rPr>
                <w:b/>
                <w:szCs w:val="22"/>
                <w:lang w:val="en-CA"/>
              </w:rPr>
              <w:t>1</w:t>
            </w:r>
            <w:r w:rsidRPr="003819CE">
              <w:rPr>
                <w:b/>
                <w:szCs w:val="22"/>
                <w:lang w:val="en-CA"/>
              </w:rPr>
              <w:t xml:space="preserve">) on </w:t>
            </w:r>
            <w:r w:rsidR="007209C4">
              <w:rPr>
                <w:b/>
                <w:bCs/>
                <w:szCs w:val="22"/>
                <w:lang w:val="en-AU"/>
              </w:rPr>
              <w:t>h</w:t>
            </w:r>
            <w:r w:rsidRPr="007179AE">
              <w:rPr>
                <w:b/>
                <w:bCs/>
                <w:szCs w:val="22"/>
                <w:lang w:val="en-AU"/>
              </w:rPr>
              <w:t>igh bit rate coding at high bit depths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5398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7179AE" w:rsidP="0055398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7179AE" w:rsidRDefault="007179AE" w:rsidP="007179A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 Joshi</w:t>
            </w:r>
          </w:p>
          <w:p w:rsidR="007179AE" w:rsidRDefault="007179AE" w:rsidP="007179AE">
            <w:pPr>
              <w:spacing w:before="60" w:after="60"/>
              <w:rPr>
                <w:szCs w:val="22"/>
                <w:lang w:val="en-CA"/>
              </w:rPr>
            </w:pPr>
          </w:p>
          <w:p w:rsidR="00E61DAC" w:rsidRPr="005B217D" w:rsidRDefault="007179AE" w:rsidP="007179A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Karl Sharman</w:t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7179A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E61DAC" w:rsidRDefault="008C44E4" w:rsidP="007179AE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7179AE" w:rsidRPr="00C15E7D">
                <w:rPr>
                  <w:rStyle w:val="Hyperlink"/>
                  <w:szCs w:val="22"/>
                  <w:lang w:val="en-CA"/>
                </w:rPr>
                <w:t>rajanj@qti.qualcomm.com</w:t>
              </w:r>
            </w:hyperlink>
            <w:r w:rsidR="007179AE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  <w:hyperlink r:id="rId11" w:history="1">
              <w:r w:rsidR="007179AE" w:rsidRPr="00C15E7D">
                <w:rPr>
                  <w:rStyle w:val="Hyperlink"/>
                  <w:szCs w:val="22"/>
                  <w:lang w:val="en-CA"/>
                </w:rPr>
                <w:t>karl.sharman@eu.sony.com</w:t>
              </w:r>
            </w:hyperlink>
          </w:p>
          <w:p w:rsidR="007179AE" w:rsidRPr="005B217D" w:rsidRDefault="007179AE" w:rsidP="007179AE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179A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CE coordinators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45F6B" w:rsidRPr="005B217D" w:rsidRDefault="002834EF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1F2518" w:rsidRDefault="007209C4" w:rsidP="007209C4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This is a summary report on </w:t>
      </w:r>
      <w:r w:rsidRPr="00B36720">
        <w:rPr>
          <w:szCs w:val="22"/>
          <w:lang w:val="en-CA"/>
        </w:rPr>
        <w:t xml:space="preserve">HEVC Range Extensions Core Experiment </w:t>
      </w:r>
      <w:r>
        <w:rPr>
          <w:szCs w:val="22"/>
          <w:lang w:val="en-CA"/>
        </w:rPr>
        <w:t>1</w:t>
      </w:r>
      <w:r w:rsidRPr="00B36720">
        <w:rPr>
          <w:szCs w:val="22"/>
          <w:lang w:val="en-CA"/>
        </w:rPr>
        <w:t xml:space="preserve"> on </w:t>
      </w:r>
      <w:r>
        <w:rPr>
          <w:szCs w:val="22"/>
          <w:lang w:val="en-CA"/>
        </w:rPr>
        <w:t>high bit rate coding at high bit depths</w:t>
      </w:r>
      <w:r>
        <w:rPr>
          <w:szCs w:val="22"/>
          <w:lang w:eastAsia="ja-JP"/>
        </w:rPr>
        <w:t>. The core experiment investigated techniques for reducing the number of context-coded bins and for coding bypass bins as raw and their combinations</w:t>
      </w:r>
      <w:r>
        <w:rPr>
          <w:szCs w:val="22"/>
          <w:lang w:val="en-CA" w:eastAsia="ko-KR"/>
        </w:rPr>
        <w:t>.</w:t>
      </w:r>
      <w:r>
        <w:rPr>
          <w:szCs w:val="22"/>
          <w:lang w:eastAsia="ja-JP"/>
        </w:rPr>
        <w:t xml:space="preserve"> Performance of the proposed methods was evaluated primarily under AHG18 conditions. </w:t>
      </w:r>
      <w:r w:rsidR="001F2518">
        <w:rPr>
          <w:szCs w:val="22"/>
          <w:lang w:eastAsia="ja-JP"/>
        </w:rPr>
        <w:t>Performance was also evaluated under AHG5 and AHG8 (lossless) test conditions to analyze the methods at normal bit-depths.</w:t>
      </w:r>
    </w:p>
    <w:p w:rsidR="007209C4" w:rsidRDefault="007209C4" w:rsidP="007209C4">
      <w:pPr>
        <w:pStyle w:val="Heading1"/>
        <w:ind w:left="432" w:hanging="432"/>
        <w:rPr>
          <w:lang w:val="en-CA"/>
        </w:rPr>
      </w:pPr>
      <w:r>
        <w:rPr>
          <w:lang w:val="en-CA"/>
        </w:rPr>
        <w:t>Document List</w:t>
      </w:r>
    </w:p>
    <w:p w:rsidR="007209C4" w:rsidRDefault="007209C4" w:rsidP="007209C4">
      <w:pPr>
        <w:pStyle w:val="Heading2"/>
        <w:rPr>
          <w:lang w:val="en-CA" w:eastAsia="ko-KR"/>
        </w:rPr>
      </w:pPr>
      <w:r>
        <w:rPr>
          <w:lang w:val="en-CA" w:eastAsia="ko-KR"/>
        </w:rPr>
        <w:t>Subtest A</w:t>
      </w:r>
    </w:p>
    <w:p w:rsidR="00C10772" w:rsidRDefault="001F2518" w:rsidP="001F2518">
      <w:pPr>
        <w:pStyle w:val="ListParagraph"/>
        <w:numPr>
          <w:ilvl w:val="0"/>
          <w:numId w:val="12"/>
        </w:numPr>
        <w:jc w:val="both"/>
        <w:rPr>
          <w:lang w:val="en-CA"/>
        </w:rPr>
      </w:pPr>
      <w:r>
        <w:rPr>
          <w:lang w:val="en-CA"/>
        </w:rPr>
        <w:t>JCTVC-P0073, “RCE1: Results for subtest A” R. Joshi, J. Sole, and Marta Karczewicz (Qualcomm)</w:t>
      </w:r>
    </w:p>
    <w:p w:rsidR="00C45B8B" w:rsidRDefault="00C45B8B" w:rsidP="00C969DB">
      <w:pPr>
        <w:pStyle w:val="ListParagraph"/>
        <w:numPr>
          <w:ilvl w:val="1"/>
          <w:numId w:val="12"/>
        </w:numPr>
        <w:jc w:val="both"/>
        <w:rPr>
          <w:lang w:val="en-CA"/>
        </w:rPr>
      </w:pPr>
      <w:r>
        <w:rPr>
          <w:lang w:val="en-CA"/>
        </w:rPr>
        <w:t>Crosscheck: subtest A1, JCTVC-P0247 (</w:t>
      </w:r>
      <w:proofErr w:type="spellStart"/>
      <w:r>
        <w:rPr>
          <w:lang w:val="en-CA"/>
        </w:rPr>
        <w:t>Mediatek</w:t>
      </w:r>
      <w:proofErr w:type="spellEnd"/>
      <w:r>
        <w:rPr>
          <w:lang w:val="en-CA"/>
        </w:rPr>
        <w:t>)</w:t>
      </w:r>
    </w:p>
    <w:p w:rsidR="00C45B8B" w:rsidRPr="00C45B8B" w:rsidRDefault="001B0EBA" w:rsidP="00C45B8B">
      <w:pPr>
        <w:pStyle w:val="ListParagraph"/>
        <w:numPr>
          <w:ilvl w:val="1"/>
          <w:numId w:val="12"/>
        </w:numPr>
        <w:jc w:val="both"/>
        <w:rPr>
          <w:lang w:val="en-CA"/>
        </w:rPr>
      </w:pPr>
      <w:r>
        <w:rPr>
          <w:lang w:val="en-CA"/>
        </w:rPr>
        <w:t>Crosscheck: subtest A2, JCTVC-P0194 (Samsung)Crosscheck: subtest A4, JCTVC-P0220 (Canon)</w:t>
      </w:r>
    </w:p>
    <w:p w:rsidR="001F2518" w:rsidRPr="002A1F3A" w:rsidRDefault="001F2518" w:rsidP="002A1F3A">
      <w:pPr>
        <w:pStyle w:val="Heading2"/>
      </w:pPr>
      <w:r w:rsidRPr="002A1F3A">
        <w:t>Subtest B</w:t>
      </w:r>
    </w:p>
    <w:p w:rsidR="002A1F3A" w:rsidRPr="00C969DB" w:rsidRDefault="002A1F3A" w:rsidP="001F2518">
      <w:pPr>
        <w:pStyle w:val="ListParagraph"/>
        <w:numPr>
          <w:ilvl w:val="0"/>
          <w:numId w:val="12"/>
        </w:numPr>
        <w:jc w:val="both"/>
        <w:rPr>
          <w:lang w:val="en-CA"/>
        </w:rPr>
      </w:pPr>
      <w:r>
        <w:rPr>
          <w:lang w:val="en-CA"/>
        </w:rPr>
        <w:t>JCTVC-P0060, “</w:t>
      </w:r>
      <w:r>
        <w:t>RCE1: Results for tests B1, B2 and B3a” K. Sharman, N. Saunders, J. Gamei (Sony)</w:t>
      </w:r>
    </w:p>
    <w:p w:rsidR="001B0EBA" w:rsidRDefault="001B0EBA" w:rsidP="00C969DB">
      <w:pPr>
        <w:pStyle w:val="ListParagraph"/>
        <w:numPr>
          <w:ilvl w:val="1"/>
          <w:numId w:val="12"/>
        </w:numPr>
        <w:jc w:val="both"/>
        <w:rPr>
          <w:lang w:val="en-CA"/>
        </w:rPr>
      </w:pPr>
      <w:r>
        <w:rPr>
          <w:lang w:val="en-CA"/>
        </w:rPr>
        <w:t>Crosscheck: subtest B1, JCTVC-P0077 (Qualcomm)</w:t>
      </w:r>
    </w:p>
    <w:p w:rsidR="001B0EBA" w:rsidRPr="001B0EBA" w:rsidRDefault="001B0EBA" w:rsidP="00C969DB">
      <w:pPr>
        <w:pStyle w:val="ListParagraph"/>
        <w:ind w:left="1440"/>
        <w:jc w:val="both"/>
        <w:rPr>
          <w:lang w:val="en-CA"/>
        </w:rPr>
      </w:pPr>
    </w:p>
    <w:p w:rsidR="001F2518" w:rsidRDefault="001F2518" w:rsidP="001F2518">
      <w:pPr>
        <w:pStyle w:val="ListParagraph"/>
        <w:numPr>
          <w:ilvl w:val="0"/>
          <w:numId w:val="12"/>
        </w:numPr>
        <w:jc w:val="both"/>
        <w:rPr>
          <w:lang w:val="en-CA"/>
        </w:rPr>
      </w:pPr>
      <w:r>
        <w:rPr>
          <w:lang w:val="en-CA"/>
        </w:rPr>
        <w:t>JCTVC-P0074, “RCE1: Results for subtests B5, B6, B7” R. Joshi, J. Sole, and Marta Karczewicz (Qualcomm)</w:t>
      </w:r>
    </w:p>
    <w:p w:rsidR="001F2518" w:rsidRDefault="001F2518" w:rsidP="001F2518">
      <w:pPr>
        <w:pStyle w:val="ListParagraph"/>
        <w:numPr>
          <w:ilvl w:val="1"/>
          <w:numId w:val="12"/>
        </w:numPr>
        <w:jc w:val="both"/>
        <w:rPr>
          <w:lang w:val="en-CA"/>
        </w:rPr>
      </w:pPr>
      <w:r>
        <w:rPr>
          <w:lang w:val="en-CA"/>
        </w:rPr>
        <w:t>Crosscheck</w:t>
      </w:r>
      <w:r w:rsidR="001B0EBA">
        <w:rPr>
          <w:lang w:val="en-CA"/>
        </w:rPr>
        <w:t>: subtest B5, JCTVC-P0221 (Canon)</w:t>
      </w:r>
    </w:p>
    <w:p w:rsidR="001F2518" w:rsidRDefault="001F2518" w:rsidP="001F2518">
      <w:pPr>
        <w:pStyle w:val="ListParagraph"/>
        <w:numPr>
          <w:ilvl w:val="1"/>
          <w:numId w:val="12"/>
        </w:numPr>
        <w:jc w:val="both"/>
        <w:rPr>
          <w:lang w:val="en-CA"/>
        </w:rPr>
      </w:pPr>
      <w:r>
        <w:rPr>
          <w:lang w:val="en-CA"/>
        </w:rPr>
        <w:t>Crosscheck</w:t>
      </w:r>
      <w:r w:rsidR="001B0EBA">
        <w:rPr>
          <w:lang w:val="en-CA"/>
        </w:rPr>
        <w:t>: subtest B6, JCTVC-P0195 (Samsung)</w:t>
      </w:r>
    </w:p>
    <w:p w:rsidR="001B0EBA" w:rsidRDefault="001B0EBA" w:rsidP="001F2518">
      <w:pPr>
        <w:pStyle w:val="ListParagraph"/>
        <w:numPr>
          <w:ilvl w:val="1"/>
          <w:numId w:val="12"/>
        </w:numPr>
        <w:jc w:val="both"/>
        <w:rPr>
          <w:lang w:val="en-CA"/>
        </w:rPr>
      </w:pPr>
      <w:r>
        <w:rPr>
          <w:lang w:val="en-CA"/>
        </w:rPr>
        <w:t>Crosscheck: subtest B7, JCTVC-P0245 (Sharp)</w:t>
      </w:r>
    </w:p>
    <w:p w:rsidR="00C06739" w:rsidRDefault="00C06739" w:rsidP="00C06739">
      <w:pPr>
        <w:pStyle w:val="Heading2"/>
        <w:rPr>
          <w:lang w:val="en-CA"/>
        </w:rPr>
      </w:pPr>
      <w:r>
        <w:rPr>
          <w:lang w:val="en-CA"/>
        </w:rPr>
        <w:t>Non-CE contributions</w:t>
      </w:r>
    </w:p>
    <w:p w:rsidR="00C06739" w:rsidRPr="00C06739" w:rsidRDefault="00C06739" w:rsidP="00C06739">
      <w:pPr>
        <w:pStyle w:val="ListParagraph"/>
        <w:numPr>
          <w:ilvl w:val="0"/>
          <w:numId w:val="12"/>
        </w:numPr>
        <w:jc w:val="both"/>
        <w:rPr>
          <w:lang w:val="en-CA"/>
        </w:rPr>
      </w:pPr>
      <w:r>
        <w:rPr>
          <w:lang w:val="en-CA"/>
        </w:rPr>
        <w:t>JCTVC-P0075, “</w:t>
      </w:r>
      <w:r>
        <w:t>non-[RCE1, RCE2]: Combination of RCE1 subtests B5 and B6 with RCE2 subtest A1</w:t>
      </w:r>
      <w:r>
        <w:rPr>
          <w:lang w:val="en-CA"/>
        </w:rPr>
        <w:t>” R. Joshi, L. Guo, J. Sole, and Marta Karczewicz (Qualcomm)</w:t>
      </w:r>
    </w:p>
    <w:p w:rsidR="001F2518" w:rsidRDefault="002A1F3A" w:rsidP="002A1F3A">
      <w:pPr>
        <w:pStyle w:val="Heading1"/>
        <w:rPr>
          <w:lang w:val="en-CA"/>
        </w:rPr>
      </w:pPr>
      <w:r>
        <w:rPr>
          <w:lang w:val="en-CA"/>
        </w:rPr>
        <w:lastRenderedPageBreak/>
        <w:t>Tested Methods</w:t>
      </w:r>
    </w:p>
    <w:p w:rsidR="002A1F3A" w:rsidRDefault="002A1F3A" w:rsidP="002A1F3A">
      <w:pPr>
        <w:jc w:val="both"/>
        <w:rPr>
          <w:lang w:val="en-CA"/>
        </w:rPr>
      </w:pPr>
      <w:r w:rsidRPr="00083699">
        <w:rPr>
          <w:lang w:val="en-CA"/>
        </w:rPr>
        <w:t xml:space="preserve">The CE </w:t>
      </w:r>
      <w:r>
        <w:rPr>
          <w:lang w:val="en-CA"/>
        </w:rPr>
        <w:t>was</w:t>
      </w:r>
      <w:r w:rsidRPr="00083699">
        <w:rPr>
          <w:lang w:val="en-CA"/>
        </w:rPr>
        <w:t xml:space="preserve"> set up to explore combinations of alignment mechanisms with alignment conditions and change of the point in the entropy coder where the bypass bins are used.</w:t>
      </w:r>
    </w:p>
    <w:p w:rsidR="002A1F3A" w:rsidRPr="00083699" w:rsidRDefault="002A1F3A" w:rsidP="002A1F3A">
      <w:pPr>
        <w:rPr>
          <w:lang w:val="en-CA"/>
        </w:rPr>
      </w:pPr>
      <w:r w:rsidRPr="00083699">
        <w:rPr>
          <w:lang w:val="en-CA"/>
        </w:rPr>
        <w:t xml:space="preserve">Two alignment mechanisms </w:t>
      </w:r>
      <w:r>
        <w:rPr>
          <w:lang w:val="en-CA"/>
        </w:rPr>
        <w:t>for bypass bins were</w:t>
      </w:r>
      <w:r w:rsidRPr="00083699">
        <w:rPr>
          <w:lang w:val="en-CA"/>
        </w:rPr>
        <w:t xml:space="preserve"> tested:</w:t>
      </w:r>
    </w:p>
    <w:p w:rsidR="002A1F3A" w:rsidRPr="00083699" w:rsidRDefault="002A1F3A" w:rsidP="002A1F3A">
      <w:pPr>
        <w:textAlignment w:val="auto"/>
        <w:rPr>
          <w:lang w:val="en-CA"/>
        </w:rPr>
      </w:pPr>
      <w:r>
        <w:rPr>
          <w:b/>
          <w:lang w:val="en-CA"/>
        </w:rPr>
        <w:t xml:space="preserve">Method 1 </w:t>
      </w:r>
      <w:r>
        <w:rPr>
          <w:lang w:val="en-CA"/>
        </w:rPr>
        <w:t xml:space="preserve">[M0178, N0190, O0046, </w:t>
      </w:r>
      <w:r w:rsidRPr="000F48D4">
        <w:rPr>
          <w:lang w:val="en-CA"/>
        </w:rPr>
        <w:t>O0207</w:t>
      </w:r>
      <w:r>
        <w:rPr>
          <w:lang w:val="en-CA"/>
        </w:rPr>
        <w:t>]</w:t>
      </w:r>
      <w:r>
        <w:rPr>
          <w:b/>
          <w:lang w:val="en-CA"/>
        </w:rPr>
        <w:t xml:space="preserve">: </w:t>
      </w:r>
      <w:r w:rsidRPr="00083699">
        <w:rPr>
          <w:lang w:val="en-CA"/>
        </w:rPr>
        <w:t>Alignment to 256</w:t>
      </w:r>
      <w:r>
        <w:rPr>
          <w:lang w:val="en-CA"/>
        </w:rPr>
        <w:t xml:space="preserve">. This </w:t>
      </w:r>
      <w:r w:rsidRPr="00083699">
        <w:rPr>
          <w:lang w:val="en-CA"/>
        </w:rPr>
        <w:t>can be expressed as:</w:t>
      </w:r>
    </w:p>
    <w:p w:rsidR="002A1F3A" w:rsidRPr="00083699" w:rsidRDefault="002A1F3A" w:rsidP="002A1F3A">
      <w:pPr>
        <w:pStyle w:val="ListParagraph"/>
        <w:rPr>
          <w:rFonts w:ascii="Courier New" w:hAnsi="Courier New" w:cs="Courier New"/>
          <w:sz w:val="18"/>
          <w:lang w:val="en-CA"/>
        </w:rPr>
      </w:pPr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proofErr w:type="spellStart"/>
      <w:proofErr w:type="gramStart"/>
      <w:r w:rsidRPr="00083699">
        <w:rPr>
          <w:rFonts w:ascii="Courier New" w:hAnsi="Courier New" w:cs="Courier New"/>
          <w:sz w:val="18"/>
          <w:lang w:val="en-CA"/>
        </w:rPr>
        <w:t>ivlCurrRange</w:t>
      </w:r>
      <w:proofErr w:type="spellEnd"/>
      <w:proofErr w:type="gramEnd"/>
      <w:r w:rsidRPr="00083699">
        <w:rPr>
          <w:rFonts w:ascii="Courier New" w:hAnsi="Courier New" w:cs="Courier New"/>
          <w:sz w:val="18"/>
          <w:lang w:val="en-CA"/>
        </w:rPr>
        <w:t xml:space="preserve"> = 256 </w:t>
      </w:r>
    </w:p>
    <w:p w:rsidR="002A1F3A" w:rsidRDefault="002A1F3A" w:rsidP="002A1F3A">
      <w:pPr>
        <w:rPr>
          <w:lang w:val="en-CA"/>
        </w:rPr>
      </w:pPr>
      <w:r w:rsidRPr="00083699">
        <w:rPr>
          <w:lang w:val="en-CA"/>
        </w:rPr>
        <w:t>Following this stage all subsequent EP bins can be interpreted as raw binary data.</w:t>
      </w:r>
    </w:p>
    <w:p w:rsidR="002A1F3A" w:rsidRPr="00083699" w:rsidRDefault="002A1F3A" w:rsidP="002A1F3A">
      <w:pPr>
        <w:textAlignment w:val="auto"/>
        <w:rPr>
          <w:lang w:val="en-CA"/>
        </w:rPr>
      </w:pPr>
      <w:r>
        <w:rPr>
          <w:b/>
          <w:lang w:val="en-CA"/>
        </w:rPr>
        <w:t>Method 2</w:t>
      </w:r>
      <w:r>
        <w:rPr>
          <w:lang w:val="en-CA"/>
        </w:rPr>
        <w:t xml:space="preserve"> [M0178, N0190, O0046]: </w:t>
      </w:r>
      <w:r w:rsidRPr="00083699">
        <w:rPr>
          <w:lang w:val="en-CA"/>
        </w:rPr>
        <w:t>Alignment to 384</w:t>
      </w:r>
      <w:r>
        <w:rPr>
          <w:lang w:val="en-CA"/>
        </w:rPr>
        <w:t xml:space="preserve">. This </w:t>
      </w:r>
      <w:r w:rsidRPr="00083699">
        <w:rPr>
          <w:lang w:val="en-CA"/>
        </w:rPr>
        <w:t>can be expressed as:</w:t>
      </w:r>
    </w:p>
    <w:p w:rsidR="002A1F3A" w:rsidRPr="00083699" w:rsidRDefault="002A1F3A" w:rsidP="002A1F3A">
      <w:pPr>
        <w:ind w:left="1080"/>
        <w:rPr>
          <w:rFonts w:ascii="Courier New" w:hAnsi="Courier New" w:cs="Courier New"/>
          <w:sz w:val="18"/>
          <w:lang w:val="en-CA"/>
        </w:rPr>
      </w:pPr>
      <w:r w:rsidRPr="00083699">
        <w:rPr>
          <w:lang w:val="en-CA"/>
        </w:rPr>
        <w:tab/>
      </w:r>
      <w:proofErr w:type="gramStart"/>
      <w:r w:rsidRPr="00083699">
        <w:rPr>
          <w:rFonts w:ascii="Courier New" w:hAnsi="Courier New" w:cs="Courier New"/>
          <w:sz w:val="18"/>
          <w:lang w:val="en-CA"/>
        </w:rPr>
        <w:t>if</w:t>
      </w:r>
      <w:proofErr w:type="gramEnd"/>
      <w:r w:rsidRPr="00083699">
        <w:rPr>
          <w:rFonts w:ascii="Courier New" w:hAnsi="Courier New" w:cs="Courier New"/>
          <w:sz w:val="18"/>
          <w:lang w:val="en-CA"/>
        </w:rPr>
        <w:t xml:space="preserve"> (</w:t>
      </w:r>
      <w:proofErr w:type="spellStart"/>
      <w:r w:rsidRPr="00083699">
        <w:rPr>
          <w:rFonts w:ascii="Courier New" w:hAnsi="Courier New" w:cs="Courier New"/>
          <w:sz w:val="18"/>
          <w:lang w:val="en-CA"/>
        </w:rPr>
        <w:t>ivlCurrRange</w:t>
      </w:r>
      <w:proofErr w:type="spellEnd"/>
      <w:r w:rsidRPr="00083699">
        <w:rPr>
          <w:rFonts w:ascii="Courier New" w:hAnsi="Courier New" w:cs="Courier New"/>
          <w:sz w:val="18"/>
          <w:lang w:val="en-CA"/>
        </w:rPr>
        <w:t xml:space="preserve"> &gt;= 384)</w:t>
      </w:r>
    </w:p>
    <w:p w:rsidR="002A1F3A" w:rsidRPr="00083699" w:rsidRDefault="002A1F3A" w:rsidP="002A1F3A">
      <w:pPr>
        <w:ind w:left="1080"/>
        <w:rPr>
          <w:rFonts w:ascii="Courier New" w:hAnsi="Courier New" w:cs="Courier New"/>
          <w:sz w:val="18"/>
          <w:lang w:val="en-CA"/>
        </w:rPr>
      </w:pPr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proofErr w:type="gramStart"/>
      <w:r w:rsidRPr="00083699">
        <w:rPr>
          <w:rFonts w:ascii="Courier New" w:hAnsi="Courier New" w:cs="Courier New"/>
          <w:sz w:val="18"/>
          <w:lang w:val="en-CA"/>
        </w:rPr>
        <w:t>if</w:t>
      </w:r>
      <w:proofErr w:type="gramEnd"/>
      <w:r w:rsidRPr="00083699">
        <w:rPr>
          <w:rFonts w:ascii="Courier New" w:hAnsi="Courier New" w:cs="Courier New"/>
          <w:sz w:val="18"/>
          <w:lang w:val="en-CA"/>
        </w:rPr>
        <w:t xml:space="preserve"> (</w:t>
      </w:r>
      <w:proofErr w:type="spellStart"/>
      <w:r w:rsidRPr="00083699">
        <w:rPr>
          <w:rFonts w:ascii="Courier New" w:hAnsi="Courier New" w:cs="Courier New"/>
          <w:sz w:val="18"/>
          <w:lang w:val="en-CA"/>
        </w:rPr>
        <w:t>ivlOffset</w:t>
      </w:r>
      <w:proofErr w:type="spellEnd"/>
      <w:r w:rsidRPr="00083699">
        <w:rPr>
          <w:rFonts w:ascii="Courier New" w:hAnsi="Courier New" w:cs="Courier New"/>
          <w:sz w:val="18"/>
          <w:lang w:val="en-CA"/>
        </w:rPr>
        <w:t xml:space="preserve"> &lt; 256)</w:t>
      </w:r>
      <w:r w:rsidRPr="00083699">
        <w:rPr>
          <w:rFonts w:ascii="Courier New" w:hAnsi="Courier New" w:cs="Courier New"/>
          <w:sz w:val="18"/>
          <w:lang w:val="en-CA"/>
        </w:rPr>
        <w:tab/>
      </w:r>
      <w:proofErr w:type="spellStart"/>
      <w:r w:rsidRPr="00083699">
        <w:rPr>
          <w:rFonts w:ascii="Courier New" w:hAnsi="Courier New" w:cs="Courier New"/>
          <w:sz w:val="18"/>
          <w:lang w:val="en-CA"/>
        </w:rPr>
        <w:t>nextEPBitIsZero</w:t>
      </w:r>
      <w:proofErr w:type="spellEnd"/>
      <w:r w:rsidRPr="00083699">
        <w:rPr>
          <w:rFonts w:ascii="Courier New" w:hAnsi="Courier New" w:cs="Courier New"/>
          <w:sz w:val="18"/>
          <w:lang w:val="en-CA"/>
        </w:rPr>
        <w:t xml:space="preserve"> = true</w:t>
      </w:r>
    </w:p>
    <w:p w:rsidR="002A1F3A" w:rsidRPr="00083699" w:rsidRDefault="002A1F3A" w:rsidP="002A1F3A">
      <w:pPr>
        <w:ind w:left="1080"/>
        <w:rPr>
          <w:rFonts w:ascii="Courier New" w:hAnsi="Courier New" w:cs="Courier New"/>
          <w:sz w:val="18"/>
          <w:lang w:val="en-CA"/>
        </w:rPr>
      </w:pPr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proofErr w:type="gramStart"/>
      <w:r w:rsidRPr="00083699">
        <w:rPr>
          <w:rFonts w:ascii="Courier New" w:hAnsi="Courier New" w:cs="Courier New"/>
          <w:sz w:val="18"/>
          <w:lang w:val="en-CA"/>
        </w:rPr>
        <w:t>else</w:t>
      </w:r>
      <w:proofErr w:type="gramEnd"/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proofErr w:type="spellStart"/>
      <w:r w:rsidRPr="00083699">
        <w:rPr>
          <w:rFonts w:ascii="Courier New" w:hAnsi="Courier New" w:cs="Courier New"/>
          <w:sz w:val="18"/>
          <w:lang w:val="en-CA"/>
        </w:rPr>
        <w:t>ivlOffset</w:t>
      </w:r>
      <w:proofErr w:type="spellEnd"/>
      <w:r w:rsidRPr="00083699">
        <w:rPr>
          <w:rFonts w:ascii="Courier New" w:hAnsi="Courier New" w:cs="Courier New"/>
          <w:sz w:val="18"/>
          <w:lang w:val="en-CA"/>
        </w:rPr>
        <w:t xml:space="preserve"> -= 128</w:t>
      </w:r>
    </w:p>
    <w:p w:rsidR="002A1F3A" w:rsidRPr="00083699" w:rsidRDefault="002A1F3A" w:rsidP="002A1F3A">
      <w:pPr>
        <w:ind w:left="1080"/>
        <w:rPr>
          <w:rFonts w:ascii="Courier New" w:hAnsi="Courier New" w:cs="Courier New"/>
          <w:sz w:val="18"/>
          <w:lang w:val="en-CA"/>
        </w:rPr>
      </w:pPr>
      <w:r w:rsidRPr="00083699">
        <w:rPr>
          <w:rFonts w:ascii="Courier New" w:hAnsi="Courier New" w:cs="Courier New"/>
          <w:sz w:val="18"/>
          <w:lang w:val="en-CA"/>
        </w:rPr>
        <w:tab/>
      </w:r>
      <w:proofErr w:type="spellStart"/>
      <w:proofErr w:type="gramStart"/>
      <w:r w:rsidRPr="00083699">
        <w:rPr>
          <w:rFonts w:ascii="Courier New" w:hAnsi="Courier New" w:cs="Courier New"/>
          <w:sz w:val="18"/>
          <w:lang w:val="en-CA"/>
        </w:rPr>
        <w:t>ivlCurrRange</w:t>
      </w:r>
      <w:proofErr w:type="spellEnd"/>
      <w:proofErr w:type="gramEnd"/>
      <w:r w:rsidRPr="00083699">
        <w:rPr>
          <w:rFonts w:ascii="Courier New" w:hAnsi="Courier New" w:cs="Courier New"/>
          <w:sz w:val="18"/>
          <w:lang w:val="en-CA"/>
        </w:rPr>
        <w:t xml:space="preserve"> = 256</w:t>
      </w:r>
    </w:p>
    <w:p w:rsidR="002A1F3A" w:rsidRPr="00083699" w:rsidRDefault="002A1F3A" w:rsidP="002A1F3A">
      <w:pPr>
        <w:rPr>
          <w:lang w:val="en-CA"/>
        </w:rPr>
      </w:pPr>
      <w:r w:rsidRPr="00083699">
        <w:rPr>
          <w:lang w:val="en-CA"/>
        </w:rPr>
        <w:t>Following this stage all subsequent EP bins can be interpreted as raw binary data.</w:t>
      </w:r>
    </w:p>
    <w:p w:rsidR="002A1F3A" w:rsidRDefault="002A1F3A" w:rsidP="002A1F3A">
      <w:pPr>
        <w:pStyle w:val="Heading2"/>
        <w:ind w:left="720" w:hanging="720"/>
        <w:rPr>
          <w:lang w:val="en-CA"/>
        </w:rPr>
      </w:pPr>
      <w:r>
        <w:rPr>
          <w:lang w:val="en-CA"/>
        </w:rPr>
        <w:t>Bypass of context coded bins for coefficient coding (subtest A)</w:t>
      </w:r>
    </w:p>
    <w:p w:rsidR="002A1F3A" w:rsidRDefault="002A1F3A" w:rsidP="002A1F3A">
      <w:pPr>
        <w:rPr>
          <w:lang w:val="en-CA"/>
        </w:rPr>
      </w:pPr>
      <w:r w:rsidRPr="00083699">
        <w:rPr>
          <w:szCs w:val="22"/>
        </w:rPr>
        <w:t xml:space="preserve">In this subtest, various positions for </w:t>
      </w:r>
      <w:r w:rsidRPr="00083699">
        <w:rPr>
          <w:lang w:val="en-CA"/>
        </w:rPr>
        <w:t>switching to bypass in transform coeffi</w:t>
      </w:r>
      <w:r>
        <w:rPr>
          <w:lang w:val="en-CA"/>
        </w:rPr>
        <w:t>ci</w:t>
      </w:r>
      <w:r w:rsidRPr="00083699">
        <w:rPr>
          <w:lang w:val="en-CA"/>
        </w:rPr>
        <w:t xml:space="preserve">ent coding </w:t>
      </w:r>
      <w:r>
        <w:rPr>
          <w:lang w:val="en-CA"/>
        </w:rPr>
        <w:t>were</w:t>
      </w:r>
      <w:r w:rsidRPr="00083699">
        <w:rPr>
          <w:lang w:val="en-CA"/>
        </w:rPr>
        <w:t xml:space="preserve"> explored.</w:t>
      </w:r>
    </w:p>
    <w:p w:rsidR="002A1F3A" w:rsidRPr="0019749A" w:rsidRDefault="002A1F3A" w:rsidP="002A1F3A">
      <w:pPr>
        <w:jc w:val="both"/>
        <w:rPr>
          <w:lang w:val="en-CA"/>
        </w:rPr>
      </w:pPr>
      <w:r w:rsidRPr="00083699">
        <w:rPr>
          <w:b/>
          <w:lang w:val="en-CA"/>
        </w:rPr>
        <w:t xml:space="preserve">Subtest </w:t>
      </w:r>
      <w:r>
        <w:rPr>
          <w:b/>
          <w:lang w:val="en-CA"/>
        </w:rPr>
        <w:t>A</w:t>
      </w:r>
      <w:r w:rsidRPr="00083699">
        <w:rPr>
          <w:b/>
          <w:lang w:val="en-CA"/>
        </w:rPr>
        <w:t>.1</w:t>
      </w:r>
      <w:r w:rsidRPr="00327F87">
        <w:rPr>
          <w:lang w:val="en-CA"/>
        </w:rPr>
        <w:t xml:space="preserve"> [O0208</w:t>
      </w:r>
      <w:r>
        <w:rPr>
          <w:lang w:val="en-CA"/>
        </w:rPr>
        <w:t>, Qualcomm</w:t>
      </w:r>
      <w:r w:rsidRPr="00327F87">
        <w:rPr>
          <w:lang w:val="en-CA"/>
        </w:rPr>
        <w:t xml:space="preserve">]: </w:t>
      </w:r>
      <w:r w:rsidRPr="00083699">
        <w:rPr>
          <w:lang w:val="en-CA"/>
        </w:rPr>
        <w:t>Bypass after the significance map</w:t>
      </w:r>
      <w:r>
        <w:rPr>
          <w:lang w:val="en-CA"/>
        </w:rPr>
        <w:t xml:space="preserve"> </w:t>
      </w:r>
      <w:r>
        <w:rPr>
          <w:szCs w:val="22"/>
        </w:rPr>
        <w:t>if the Golomb</w:t>
      </w:r>
      <w:r w:rsidRPr="00083699">
        <w:rPr>
          <w:szCs w:val="22"/>
        </w:rPr>
        <w:t xml:space="preserve"> Rice parameter value at the en</w:t>
      </w:r>
      <w:r>
        <w:rPr>
          <w:szCs w:val="22"/>
        </w:rPr>
        <w:t>d of the previous 4×4 subblock is greater than or equal to 4.</w:t>
      </w:r>
    </w:p>
    <w:p w:rsidR="002A1F3A" w:rsidRDefault="002A1F3A" w:rsidP="002A1F3A">
      <w:pPr>
        <w:jc w:val="both"/>
        <w:rPr>
          <w:szCs w:val="22"/>
        </w:rPr>
      </w:pPr>
      <w:r w:rsidRPr="00083699">
        <w:rPr>
          <w:b/>
          <w:lang w:val="en-CA"/>
        </w:rPr>
        <w:t xml:space="preserve">Subtest </w:t>
      </w:r>
      <w:r>
        <w:rPr>
          <w:b/>
          <w:lang w:val="en-CA"/>
        </w:rPr>
        <w:t>A</w:t>
      </w:r>
      <w:r w:rsidRPr="00083699">
        <w:rPr>
          <w:b/>
          <w:lang w:val="en-CA"/>
        </w:rPr>
        <w:t>.2</w:t>
      </w:r>
      <w:r>
        <w:rPr>
          <w:lang w:val="en-CA"/>
        </w:rPr>
        <w:t xml:space="preserve"> [O0209, Qualcomm]: </w:t>
      </w:r>
      <w:r w:rsidRPr="0019749A">
        <w:rPr>
          <w:lang w:val="en-CA"/>
        </w:rPr>
        <w:t xml:space="preserve">Bypass </w:t>
      </w:r>
      <w:r w:rsidRPr="00083699">
        <w:rPr>
          <w:szCs w:val="22"/>
        </w:rPr>
        <w:t>all the context-coded flags for the current 4×4 subblock (coded subblock flags, significance flags, greater than 1 flags and greater than 2 flags)</w:t>
      </w:r>
      <w:r w:rsidRPr="0019749A">
        <w:rPr>
          <w:szCs w:val="22"/>
        </w:rPr>
        <w:t xml:space="preserve"> </w:t>
      </w:r>
      <w:r>
        <w:rPr>
          <w:szCs w:val="22"/>
        </w:rPr>
        <w:t>if the Golomb</w:t>
      </w:r>
      <w:r w:rsidRPr="00083699">
        <w:rPr>
          <w:szCs w:val="22"/>
        </w:rPr>
        <w:t xml:space="preserve"> Rice parameter value at the en</w:t>
      </w:r>
      <w:r>
        <w:rPr>
          <w:szCs w:val="22"/>
        </w:rPr>
        <w:t>d of the previous 4×4 subblock is greater than or equal to 4.</w:t>
      </w:r>
    </w:p>
    <w:p w:rsidR="002A1F3A" w:rsidRDefault="002A1F3A" w:rsidP="002A1F3A">
      <w:pPr>
        <w:jc w:val="both"/>
        <w:rPr>
          <w:szCs w:val="22"/>
        </w:rPr>
      </w:pPr>
      <w:r w:rsidRPr="00083699">
        <w:rPr>
          <w:b/>
          <w:szCs w:val="22"/>
        </w:rPr>
        <w:t xml:space="preserve">Subtest </w:t>
      </w:r>
      <w:r>
        <w:rPr>
          <w:b/>
          <w:szCs w:val="22"/>
        </w:rPr>
        <w:t>A</w:t>
      </w:r>
      <w:r w:rsidRPr="00083699">
        <w:rPr>
          <w:b/>
          <w:szCs w:val="22"/>
        </w:rPr>
        <w:t>.3</w:t>
      </w:r>
      <w:r>
        <w:rPr>
          <w:szCs w:val="22"/>
        </w:rPr>
        <w:t xml:space="preserve"> [O0209 (ext.), Qualcomm]: </w:t>
      </w:r>
      <w:r w:rsidRPr="00B8432D">
        <w:rPr>
          <w:szCs w:val="22"/>
        </w:rPr>
        <w:t xml:space="preserve">Bypass all the context-coded flags in a transform block </w:t>
      </w:r>
      <w:r w:rsidR="00C06739">
        <w:rPr>
          <w:szCs w:val="22"/>
        </w:rPr>
        <w:t>if the Golomb</w:t>
      </w:r>
      <w:r w:rsidR="00C06739" w:rsidRPr="00083699">
        <w:rPr>
          <w:szCs w:val="22"/>
        </w:rPr>
        <w:t xml:space="preserve"> Rice parameter value at the en</w:t>
      </w:r>
      <w:r w:rsidR="00C06739">
        <w:rPr>
          <w:szCs w:val="22"/>
        </w:rPr>
        <w:t>d of the previous 4×4 subblock is greater than or equal to 4. In that case, the last significant coefficient position was sent as (</w:t>
      </w:r>
      <w:proofErr w:type="spellStart"/>
      <w:r w:rsidR="00C06739">
        <w:rPr>
          <w:szCs w:val="22"/>
        </w:rPr>
        <w:t>blkSizeX</w:t>
      </w:r>
      <w:proofErr w:type="spellEnd"/>
      <w:r w:rsidR="00C06739">
        <w:rPr>
          <w:szCs w:val="22"/>
        </w:rPr>
        <w:t xml:space="preserve"> – </w:t>
      </w:r>
      <w:proofErr w:type="spellStart"/>
      <w:r w:rsidR="00C06739">
        <w:rPr>
          <w:szCs w:val="22"/>
        </w:rPr>
        <w:t>lastX</w:t>
      </w:r>
      <w:proofErr w:type="spellEnd"/>
      <w:r w:rsidR="00C06739">
        <w:rPr>
          <w:szCs w:val="22"/>
        </w:rPr>
        <w:t xml:space="preserve">, </w:t>
      </w:r>
      <w:proofErr w:type="spellStart"/>
      <w:r w:rsidR="00C06739">
        <w:rPr>
          <w:szCs w:val="22"/>
        </w:rPr>
        <w:t>blkSizeY</w:t>
      </w:r>
      <w:proofErr w:type="spellEnd"/>
      <w:r w:rsidR="00C06739">
        <w:rPr>
          <w:szCs w:val="22"/>
        </w:rPr>
        <w:t xml:space="preserve"> – </w:t>
      </w:r>
      <w:proofErr w:type="spellStart"/>
      <w:r w:rsidR="00C06739">
        <w:rPr>
          <w:szCs w:val="22"/>
        </w:rPr>
        <w:t>lastY</w:t>
      </w:r>
      <w:proofErr w:type="spellEnd"/>
      <w:r w:rsidR="00C06739">
        <w:rPr>
          <w:szCs w:val="22"/>
        </w:rPr>
        <w:t>).</w:t>
      </w:r>
    </w:p>
    <w:p w:rsidR="002A1F3A" w:rsidRPr="00083699" w:rsidRDefault="002A1F3A" w:rsidP="002A1F3A">
      <w:pPr>
        <w:jc w:val="both"/>
        <w:rPr>
          <w:sz w:val="24"/>
          <w:szCs w:val="24"/>
        </w:rPr>
      </w:pPr>
      <w:r w:rsidRPr="00083699">
        <w:rPr>
          <w:b/>
          <w:szCs w:val="22"/>
        </w:rPr>
        <w:t xml:space="preserve">Subtest </w:t>
      </w:r>
      <w:r>
        <w:rPr>
          <w:b/>
          <w:szCs w:val="22"/>
        </w:rPr>
        <w:t>A</w:t>
      </w:r>
      <w:r w:rsidRPr="00083699">
        <w:rPr>
          <w:b/>
          <w:szCs w:val="22"/>
        </w:rPr>
        <w:t>.4</w:t>
      </w:r>
      <w:r>
        <w:rPr>
          <w:b/>
          <w:szCs w:val="22"/>
        </w:rPr>
        <w:t xml:space="preserve"> </w:t>
      </w:r>
      <w:r>
        <w:rPr>
          <w:szCs w:val="22"/>
        </w:rPr>
        <w:t xml:space="preserve">[meeting discussion]: All the bins (for coefficients as well as other syntax elements) are coded as raw. </w:t>
      </w:r>
      <w:r w:rsidRPr="00CC34ED">
        <w:rPr>
          <w:color w:val="000000"/>
          <w:szCs w:val="22"/>
        </w:rPr>
        <w:t xml:space="preserve">Residual data is modified according to subtest </w:t>
      </w:r>
      <w:r>
        <w:rPr>
          <w:color w:val="000000"/>
          <w:szCs w:val="22"/>
        </w:rPr>
        <w:t>A</w:t>
      </w:r>
      <w:r w:rsidRPr="00CC34ED">
        <w:rPr>
          <w:color w:val="000000"/>
          <w:szCs w:val="22"/>
        </w:rPr>
        <w:t>.3.</w:t>
      </w:r>
    </w:p>
    <w:p w:rsidR="002A1F3A" w:rsidRDefault="002A1F3A" w:rsidP="002A1F3A">
      <w:pPr>
        <w:pStyle w:val="Heading2"/>
        <w:ind w:left="720" w:hanging="720"/>
        <w:rPr>
          <w:lang w:val="en-CA"/>
        </w:rPr>
      </w:pPr>
      <w:r>
        <w:rPr>
          <w:lang w:val="en-CA"/>
        </w:rPr>
        <w:t>Combinations (subtest B)</w:t>
      </w:r>
    </w:p>
    <w:p w:rsidR="002A1F3A" w:rsidRPr="00356A09" w:rsidRDefault="002A1F3A" w:rsidP="002A1F3A">
      <w:pPr>
        <w:rPr>
          <w:lang w:val="en-CA"/>
        </w:rPr>
      </w:pPr>
      <w:r w:rsidRPr="00356A09">
        <w:rPr>
          <w:b/>
          <w:lang w:val="en-CA"/>
        </w:rPr>
        <w:t>Subtest</w:t>
      </w:r>
      <w:r>
        <w:rPr>
          <w:b/>
          <w:lang w:val="en-CA"/>
        </w:rPr>
        <w:t xml:space="preserve"> B</w:t>
      </w:r>
      <w:r w:rsidRPr="00356A09">
        <w:rPr>
          <w:b/>
          <w:lang w:val="en-CA"/>
        </w:rPr>
        <w:t>.</w:t>
      </w:r>
      <w:r>
        <w:rPr>
          <w:b/>
          <w:lang w:val="en-CA"/>
        </w:rPr>
        <w:t>1</w:t>
      </w:r>
      <w:r w:rsidRPr="00356A09">
        <w:rPr>
          <w:lang w:val="en-CA"/>
        </w:rPr>
        <w:t xml:space="preserve"> [M0178]: </w:t>
      </w:r>
      <w:r>
        <w:rPr>
          <w:lang w:val="en-CA"/>
        </w:rPr>
        <w:t>Always apply method 1 before any bypass bins in a 4×4 subblock.</w:t>
      </w:r>
    </w:p>
    <w:p w:rsidR="002A1F3A" w:rsidRPr="00083699" w:rsidRDefault="002A1F3A" w:rsidP="002A1F3A">
      <w:pPr>
        <w:rPr>
          <w:lang w:val="en-CA"/>
        </w:rPr>
      </w:pPr>
      <w:r w:rsidRPr="000F48D4">
        <w:rPr>
          <w:b/>
          <w:lang w:val="en-CA"/>
        </w:rPr>
        <w:t xml:space="preserve">Subtest </w:t>
      </w:r>
      <w:r>
        <w:rPr>
          <w:b/>
          <w:lang w:val="en-CA"/>
        </w:rPr>
        <w:t>B</w:t>
      </w:r>
      <w:r w:rsidRPr="000F48D4">
        <w:rPr>
          <w:b/>
          <w:lang w:val="en-CA"/>
        </w:rPr>
        <w:t>.</w:t>
      </w:r>
      <w:r>
        <w:rPr>
          <w:b/>
          <w:lang w:val="en-CA"/>
        </w:rPr>
        <w:t>2</w:t>
      </w:r>
      <w:r>
        <w:rPr>
          <w:lang w:val="en-CA"/>
        </w:rPr>
        <w:t xml:space="preserve"> [M0178]: Always apply method 2 before any bypass bins in a 4×4 subblock.</w:t>
      </w:r>
    </w:p>
    <w:p w:rsidR="002A1F3A" w:rsidRDefault="002A1F3A" w:rsidP="002A1F3A">
      <w:pPr>
        <w:rPr>
          <w:lang w:val="en-CA"/>
        </w:rPr>
      </w:pPr>
      <w:r w:rsidRPr="00083699">
        <w:rPr>
          <w:b/>
          <w:lang w:val="en-CA"/>
        </w:rPr>
        <w:t xml:space="preserve">Subtest </w:t>
      </w:r>
      <w:r>
        <w:rPr>
          <w:b/>
          <w:lang w:val="en-CA"/>
        </w:rPr>
        <w:t>B</w:t>
      </w:r>
      <w:r w:rsidRPr="00083699">
        <w:rPr>
          <w:b/>
          <w:lang w:val="en-CA"/>
        </w:rPr>
        <w:t>.</w:t>
      </w:r>
      <w:r>
        <w:rPr>
          <w:b/>
          <w:lang w:val="en-CA"/>
        </w:rPr>
        <w:t>3.a</w:t>
      </w:r>
      <w:r>
        <w:rPr>
          <w:lang w:val="en-CA"/>
        </w:rPr>
        <w:t xml:space="preserve"> [O0046]: </w:t>
      </w:r>
      <w:r>
        <w:rPr>
          <w:color w:val="000000"/>
        </w:rPr>
        <w:t xml:space="preserve">Method 1 before sign coding if any </w:t>
      </w:r>
      <w:proofErr w:type="spellStart"/>
      <w:r>
        <w:rPr>
          <w:color w:val="000000"/>
        </w:rPr>
        <w:t>coeff_abs_level_rem</w:t>
      </w:r>
      <w:proofErr w:type="spellEnd"/>
      <w:r>
        <w:rPr>
          <w:color w:val="000000"/>
        </w:rPr>
        <w:t xml:space="preserve"> syntax elements are present for the 4x4 subblock.</w:t>
      </w:r>
    </w:p>
    <w:p w:rsidR="002A1F3A" w:rsidRDefault="002A1F3A" w:rsidP="002A1F3A">
      <w:pPr>
        <w:rPr>
          <w:lang w:val="en-CA"/>
        </w:rPr>
      </w:pPr>
      <w:r w:rsidRPr="008C15F7">
        <w:rPr>
          <w:b/>
          <w:lang w:val="en-CA"/>
        </w:rPr>
        <w:t xml:space="preserve">Subtest </w:t>
      </w:r>
      <w:r>
        <w:rPr>
          <w:b/>
          <w:lang w:val="en-CA"/>
        </w:rPr>
        <w:t>B</w:t>
      </w:r>
      <w:r w:rsidRPr="008C15F7">
        <w:rPr>
          <w:b/>
          <w:lang w:val="en-CA"/>
        </w:rPr>
        <w:t>.3.</w:t>
      </w:r>
      <w:r>
        <w:rPr>
          <w:b/>
          <w:lang w:val="en-CA"/>
        </w:rPr>
        <w:t>b</w:t>
      </w:r>
      <w:r>
        <w:rPr>
          <w:lang w:val="en-CA"/>
        </w:rPr>
        <w:t xml:space="preserve"> [O0207]: Method 1 based on sign data hiding condition for a 4×4 subblock.</w:t>
      </w:r>
    </w:p>
    <w:p w:rsidR="002A1F3A" w:rsidRDefault="002A1F3A" w:rsidP="002A1F3A">
      <w:pPr>
        <w:rPr>
          <w:lang w:val="en-CA"/>
        </w:rPr>
      </w:pPr>
      <w:r w:rsidRPr="00083699">
        <w:rPr>
          <w:b/>
          <w:lang w:val="en-CA"/>
        </w:rPr>
        <w:t xml:space="preserve">Subtest </w:t>
      </w:r>
      <w:r>
        <w:rPr>
          <w:b/>
          <w:lang w:val="en-CA"/>
        </w:rPr>
        <w:t>B</w:t>
      </w:r>
      <w:r w:rsidRPr="00083699">
        <w:rPr>
          <w:b/>
          <w:lang w:val="en-CA"/>
        </w:rPr>
        <w:t>.</w:t>
      </w:r>
      <w:r>
        <w:rPr>
          <w:b/>
          <w:lang w:val="en-CA"/>
        </w:rPr>
        <w:t>5</w:t>
      </w:r>
      <w:r>
        <w:rPr>
          <w:lang w:val="en-CA"/>
        </w:rPr>
        <w:t>: Method 1 + A.1</w:t>
      </w:r>
    </w:p>
    <w:p w:rsidR="002A1F3A" w:rsidRDefault="002A1F3A" w:rsidP="002A1F3A">
      <w:pPr>
        <w:rPr>
          <w:lang w:val="en-CA"/>
        </w:rPr>
      </w:pPr>
      <w:r w:rsidRPr="000F48D4">
        <w:rPr>
          <w:b/>
          <w:lang w:val="en-CA"/>
        </w:rPr>
        <w:t xml:space="preserve">Subtest </w:t>
      </w:r>
      <w:r>
        <w:rPr>
          <w:b/>
          <w:lang w:val="en-CA"/>
        </w:rPr>
        <w:t>B</w:t>
      </w:r>
      <w:r w:rsidRPr="000F48D4">
        <w:rPr>
          <w:b/>
          <w:lang w:val="en-CA"/>
        </w:rPr>
        <w:t>.</w:t>
      </w:r>
      <w:r>
        <w:rPr>
          <w:b/>
          <w:lang w:val="en-CA"/>
        </w:rPr>
        <w:t>6</w:t>
      </w:r>
      <w:r>
        <w:rPr>
          <w:lang w:val="en-CA"/>
        </w:rPr>
        <w:t>: Method 1 + A.2</w:t>
      </w:r>
    </w:p>
    <w:p w:rsidR="002A1F3A" w:rsidRDefault="002A1F3A" w:rsidP="002A1F3A">
      <w:pPr>
        <w:rPr>
          <w:lang w:val="en-CA"/>
        </w:rPr>
      </w:pPr>
      <w:r w:rsidRPr="000F48D4">
        <w:rPr>
          <w:b/>
          <w:lang w:val="en-CA"/>
        </w:rPr>
        <w:t xml:space="preserve">Subtest </w:t>
      </w:r>
      <w:r>
        <w:rPr>
          <w:b/>
          <w:lang w:val="en-CA"/>
        </w:rPr>
        <w:t>B</w:t>
      </w:r>
      <w:r w:rsidRPr="000F48D4">
        <w:rPr>
          <w:b/>
          <w:lang w:val="en-CA"/>
        </w:rPr>
        <w:t>.</w:t>
      </w:r>
      <w:r>
        <w:rPr>
          <w:b/>
          <w:lang w:val="en-CA"/>
        </w:rPr>
        <w:t>7</w:t>
      </w:r>
      <w:r>
        <w:rPr>
          <w:lang w:val="en-CA"/>
        </w:rPr>
        <w:t>: Method 1 + A.3</w:t>
      </w:r>
    </w:p>
    <w:p w:rsidR="002A1F3A" w:rsidRPr="002A1F3A" w:rsidRDefault="002A1F3A" w:rsidP="002A1F3A">
      <w:pPr>
        <w:rPr>
          <w:lang w:val="en-CA"/>
        </w:rPr>
      </w:pPr>
    </w:p>
    <w:p w:rsidR="002A1F3A" w:rsidRDefault="00D566B4" w:rsidP="00D566B4">
      <w:pPr>
        <w:pStyle w:val="Heading1"/>
        <w:rPr>
          <w:lang w:val="en-CA"/>
        </w:rPr>
      </w:pPr>
      <w:r>
        <w:rPr>
          <w:lang w:val="en-CA"/>
        </w:rPr>
        <w:lastRenderedPageBreak/>
        <w:t>Summary of results</w:t>
      </w:r>
    </w:p>
    <w:p w:rsidR="00BE3B0F" w:rsidRDefault="00BE3B0F" w:rsidP="00BE3B0F">
      <w:pPr>
        <w:pStyle w:val="Heading2"/>
        <w:rPr>
          <w:lang w:val="en-CA"/>
        </w:rPr>
      </w:pPr>
      <w:r>
        <w:rPr>
          <w:lang w:val="en-CA"/>
        </w:rPr>
        <w:t>BD-rate comparisons</w:t>
      </w:r>
    </w:p>
    <w:p w:rsidR="00BE3B0F" w:rsidRDefault="0034005C" w:rsidP="00BE3B0F">
      <w:pPr>
        <w:rPr>
          <w:lang w:val="en-CA"/>
        </w:rPr>
      </w:pPr>
      <w:r w:rsidRPr="0034005C">
        <w:rPr>
          <w:noProof/>
        </w:rPr>
        <w:drawing>
          <wp:inline distT="0" distB="0" distL="0" distR="0" wp14:anchorId="67588B22" wp14:editId="4ADE90A9">
            <wp:extent cx="5943600" cy="7393851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93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B0F" w:rsidRDefault="00BE3B0F" w:rsidP="00BE3B0F">
      <w:pPr>
        <w:pStyle w:val="Heading2"/>
        <w:rPr>
          <w:lang w:val="en-CA"/>
        </w:rPr>
      </w:pPr>
      <w:r>
        <w:rPr>
          <w:lang w:val="en-CA"/>
        </w:rPr>
        <w:lastRenderedPageBreak/>
        <w:t>Average bin count statistics</w:t>
      </w:r>
    </w:p>
    <w:p w:rsidR="00BE3B0F" w:rsidRPr="00BE3B0F" w:rsidRDefault="00027E29" w:rsidP="00BE3B0F">
      <w:pPr>
        <w:rPr>
          <w:lang w:val="en-CA"/>
        </w:rPr>
      </w:pPr>
      <w:r w:rsidRPr="00FE1518">
        <w:rPr>
          <w:noProof/>
        </w:rPr>
        <w:drawing>
          <wp:inline distT="0" distB="0" distL="0" distR="0" wp14:anchorId="75FAC5AD" wp14:editId="307E8013">
            <wp:extent cx="5943600" cy="714883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4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B0F" w:rsidRPr="00BE3B0F" w:rsidRDefault="00BE3B0F" w:rsidP="00BE3B0F">
      <w:pPr>
        <w:rPr>
          <w:lang w:val="en-CA"/>
        </w:rPr>
      </w:pPr>
    </w:p>
    <w:p w:rsidR="0072042A" w:rsidRDefault="00D566B4" w:rsidP="004F5BCF">
      <w:pPr>
        <w:pStyle w:val="Heading1"/>
        <w:rPr>
          <w:lang w:val="en-CA"/>
        </w:rPr>
      </w:pPr>
      <w:r>
        <w:rPr>
          <w:lang w:val="en-CA"/>
        </w:rPr>
        <w:t>Summary of bin counts and throughput analysis</w:t>
      </w:r>
    </w:p>
    <w:p w:rsidR="00ED4173" w:rsidRDefault="00ED4173" w:rsidP="00C969DB">
      <w:pPr>
        <w:rPr>
          <w:lang w:val="en-CA"/>
        </w:rPr>
      </w:pPr>
      <w:r>
        <w:rPr>
          <w:lang w:val="en-CA"/>
        </w:rPr>
        <w:t>The table below indicates the worst cases bin numbers.</w:t>
      </w:r>
    </w:p>
    <w:p w:rsidR="00C969DB" w:rsidRDefault="00C969DB" w:rsidP="00C969DB">
      <w:pPr>
        <w:rPr>
          <w:lang w:val="en-CA"/>
        </w:rPr>
      </w:pPr>
      <w:r w:rsidRPr="00C969DB">
        <w:lastRenderedPageBreak/>
        <w:drawing>
          <wp:inline distT="0" distB="0" distL="0" distR="0" wp14:anchorId="7D5B1EAA" wp14:editId="2BB44E81">
            <wp:extent cx="5943600" cy="1882974"/>
            <wp:effectExtent l="0" t="0" r="0" b="317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2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D4173" w:rsidRDefault="00ED4173" w:rsidP="00C969DB">
      <w:pPr>
        <w:rPr>
          <w:lang w:val="en-CA"/>
        </w:rPr>
      </w:pPr>
    </w:p>
    <w:p w:rsidR="0048415C" w:rsidRPr="00C969DB" w:rsidRDefault="0048415C" w:rsidP="00C969DB">
      <w:pPr>
        <w:jc w:val="both"/>
        <w:rPr>
          <w:lang w:val="en-CA"/>
        </w:rPr>
      </w:pPr>
      <w:r>
        <w:rPr>
          <w:lang w:val="en-CA"/>
        </w:rPr>
        <w:t>Note that with the ‘</w:t>
      </w:r>
      <w:proofErr w:type="spellStart"/>
      <w:r w:rsidRPr="0048415C">
        <w:rPr>
          <w:lang w:val="en-CA"/>
        </w:rPr>
        <w:t>GolombRiceGroupAdaptation</w:t>
      </w:r>
      <w:proofErr w:type="spellEnd"/>
      <w:r>
        <w:rPr>
          <w:lang w:val="en-CA"/>
        </w:rPr>
        <w:t>’ disabled, the above 647s would all become 698.</w:t>
      </w:r>
      <w:r w:rsidR="00C969DB">
        <w:rPr>
          <w:lang w:val="en-CA"/>
        </w:rPr>
        <w:t xml:space="preserve"> </w:t>
      </w:r>
      <w:r w:rsidR="00C969DB">
        <w:rPr>
          <w:lang w:val="en-CA"/>
        </w:rPr>
        <w:t xml:space="preserve">The worst-case bound considering two 4×4 </w:t>
      </w:r>
      <w:proofErr w:type="spellStart"/>
      <w:r w:rsidR="00C969DB">
        <w:rPr>
          <w:lang w:val="en-CA"/>
        </w:rPr>
        <w:t>subblocks</w:t>
      </w:r>
      <w:proofErr w:type="spellEnd"/>
      <w:r w:rsidR="00C969DB">
        <w:rPr>
          <w:lang w:val="en-CA"/>
        </w:rPr>
        <w:t xml:space="preserve"> is a non-tight upper bound. As an example, for subtest A1, </w:t>
      </w:r>
      <w:proofErr w:type="gramStart"/>
      <w:r w:rsidR="00C969DB">
        <w:rPr>
          <w:lang w:val="en-CA"/>
        </w:rPr>
        <w:t>if  the</w:t>
      </w:r>
      <w:proofErr w:type="gramEnd"/>
      <w:r w:rsidR="00C969DB">
        <w:rPr>
          <w:lang w:val="en-CA"/>
        </w:rPr>
        <w:t xml:space="preserve"> 2</w:t>
      </w:r>
      <w:r w:rsidR="00C969DB" w:rsidRPr="00256856">
        <w:rPr>
          <w:vertAlign w:val="superscript"/>
          <w:lang w:val="en-CA"/>
        </w:rPr>
        <w:t>nd</w:t>
      </w:r>
      <w:r w:rsidR="00C969DB">
        <w:rPr>
          <w:lang w:val="en-CA"/>
        </w:rPr>
        <w:t xml:space="preserve"> 4x4 has the worst-case bypass bins,  the 3</w:t>
      </w:r>
      <w:r w:rsidR="00C969DB" w:rsidRPr="00256856">
        <w:rPr>
          <w:vertAlign w:val="superscript"/>
          <w:lang w:val="en-CA"/>
        </w:rPr>
        <w:t>rd</w:t>
      </w:r>
      <w:r w:rsidR="00C969DB">
        <w:rPr>
          <w:lang w:val="en-CA"/>
        </w:rPr>
        <w:t xml:space="preserve"> subblock would also have 16 context-coded bins in the worst case, resulting in an average of  19.</w:t>
      </w:r>
    </w:p>
    <w:p w:rsidR="001F2594" w:rsidRPr="005B217D" w:rsidRDefault="00D566B4" w:rsidP="00E11923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B42334" w:rsidRPr="00316718" w:rsidRDefault="00316718" w:rsidP="00B42334">
      <w:pPr>
        <w:jc w:val="both"/>
        <w:rPr>
          <w:szCs w:val="22"/>
          <w:lang w:val="en-CA"/>
        </w:rPr>
      </w:pPr>
      <w:r w:rsidRPr="00316718">
        <w:rPr>
          <w:szCs w:val="22"/>
          <w:lang w:val="en-CA"/>
        </w:rPr>
        <w:t xml:space="preserve">[1] </w:t>
      </w:r>
      <w:r>
        <w:rPr>
          <w:bCs/>
          <w:sz w:val="24"/>
          <w:szCs w:val="24"/>
          <w:lang w:val="en-AU"/>
        </w:rPr>
        <w:t>R. Joshi and K. Sharman</w:t>
      </w:r>
      <w:r>
        <w:rPr>
          <w:szCs w:val="22"/>
          <w:lang w:val="en-CA"/>
        </w:rPr>
        <w:t>, “</w:t>
      </w:r>
      <w:r w:rsidRPr="00316718">
        <w:rPr>
          <w:bCs/>
          <w:sz w:val="24"/>
          <w:szCs w:val="24"/>
          <w:lang w:val="en-AU"/>
        </w:rPr>
        <w:t>HEVC Range Extensions Core Experiment 1 (RCE1): High bit rate coding at high bit depths</w:t>
      </w:r>
      <w:r>
        <w:rPr>
          <w:bCs/>
          <w:sz w:val="24"/>
          <w:szCs w:val="24"/>
          <w:lang w:val="en-AU"/>
        </w:rPr>
        <w:t xml:space="preserve">” </w:t>
      </w:r>
      <w:r w:rsidRPr="00316718">
        <w:rPr>
          <w:szCs w:val="22"/>
          <w:lang w:val="en-CA"/>
        </w:rPr>
        <w:t>JCTVC-O1121</w:t>
      </w:r>
      <w:r>
        <w:rPr>
          <w:szCs w:val="22"/>
          <w:lang w:val="en-CA"/>
        </w:rPr>
        <w:t>, Geneva, CH, October 2013.</w:t>
      </w:r>
    </w:p>
    <w:p w:rsidR="007F1F8B" w:rsidRPr="005B217D" w:rsidRDefault="007F1F8B" w:rsidP="00B42334">
      <w:pPr>
        <w:rPr>
          <w:szCs w:val="22"/>
          <w:lang w:val="en-CA"/>
        </w:rPr>
      </w:pPr>
    </w:p>
    <w:sectPr w:rsidR="007F1F8B" w:rsidRPr="005B217D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4E4" w:rsidRDefault="008C44E4">
      <w:r>
        <w:separator/>
      </w:r>
    </w:p>
  </w:endnote>
  <w:endnote w:type="continuationSeparator" w:id="0">
    <w:p w:rsidR="008C44E4" w:rsidRDefault="008C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969DB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969DB">
      <w:rPr>
        <w:rStyle w:val="PageNumber"/>
        <w:noProof/>
      </w:rPr>
      <w:t>2014-01-09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4E4" w:rsidRDefault="008C44E4">
      <w:r>
        <w:separator/>
      </w:r>
    </w:p>
  </w:footnote>
  <w:footnote w:type="continuationSeparator" w:id="0">
    <w:p w:rsidR="008C44E4" w:rsidRDefault="008C4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43196C"/>
    <w:multiLevelType w:val="hybridMultilevel"/>
    <w:tmpl w:val="EBF24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2322C1E"/>
    <w:multiLevelType w:val="hybridMultilevel"/>
    <w:tmpl w:val="F0DA8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7E29"/>
    <w:rsid w:val="000458BC"/>
    <w:rsid w:val="00045C41"/>
    <w:rsid w:val="00046C03"/>
    <w:rsid w:val="00065039"/>
    <w:rsid w:val="0007614F"/>
    <w:rsid w:val="0008450E"/>
    <w:rsid w:val="000B1C6B"/>
    <w:rsid w:val="000B4FF9"/>
    <w:rsid w:val="000C09AC"/>
    <w:rsid w:val="000E00F3"/>
    <w:rsid w:val="000F158C"/>
    <w:rsid w:val="000F2F7B"/>
    <w:rsid w:val="00102F3D"/>
    <w:rsid w:val="00124E38"/>
    <w:rsid w:val="0012580B"/>
    <w:rsid w:val="00131F90"/>
    <w:rsid w:val="0013526E"/>
    <w:rsid w:val="001452BA"/>
    <w:rsid w:val="00171371"/>
    <w:rsid w:val="00175A24"/>
    <w:rsid w:val="00187E58"/>
    <w:rsid w:val="001A297E"/>
    <w:rsid w:val="001A368E"/>
    <w:rsid w:val="001A7329"/>
    <w:rsid w:val="001B0EBA"/>
    <w:rsid w:val="001B4E28"/>
    <w:rsid w:val="001C3525"/>
    <w:rsid w:val="001D1BD2"/>
    <w:rsid w:val="001E02BE"/>
    <w:rsid w:val="001E3A1F"/>
    <w:rsid w:val="001E3B37"/>
    <w:rsid w:val="001F2518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084B"/>
    <w:rsid w:val="002375C1"/>
    <w:rsid w:val="00263398"/>
    <w:rsid w:val="00275BCF"/>
    <w:rsid w:val="002834EF"/>
    <w:rsid w:val="00292257"/>
    <w:rsid w:val="002A1F3A"/>
    <w:rsid w:val="002A54E0"/>
    <w:rsid w:val="002B1595"/>
    <w:rsid w:val="002B191D"/>
    <w:rsid w:val="002D0AF6"/>
    <w:rsid w:val="002F164D"/>
    <w:rsid w:val="00306206"/>
    <w:rsid w:val="00316718"/>
    <w:rsid w:val="00317D85"/>
    <w:rsid w:val="00327C56"/>
    <w:rsid w:val="003315A1"/>
    <w:rsid w:val="003373EC"/>
    <w:rsid w:val="0034005C"/>
    <w:rsid w:val="00342FF4"/>
    <w:rsid w:val="00346148"/>
    <w:rsid w:val="003669EA"/>
    <w:rsid w:val="003706CC"/>
    <w:rsid w:val="00377710"/>
    <w:rsid w:val="003A2D8E"/>
    <w:rsid w:val="003B129F"/>
    <w:rsid w:val="003C20E4"/>
    <w:rsid w:val="003E6F90"/>
    <w:rsid w:val="003F5D0F"/>
    <w:rsid w:val="00414101"/>
    <w:rsid w:val="004234F0"/>
    <w:rsid w:val="00433DDB"/>
    <w:rsid w:val="00437619"/>
    <w:rsid w:val="00465A1E"/>
    <w:rsid w:val="0048415C"/>
    <w:rsid w:val="004A2A63"/>
    <w:rsid w:val="004B210C"/>
    <w:rsid w:val="004D405F"/>
    <w:rsid w:val="004E4F4F"/>
    <w:rsid w:val="004E6789"/>
    <w:rsid w:val="004F5BCF"/>
    <w:rsid w:val="004F61E3"/>
    <w:rsid w:val="00502E10"/>
    <w:rsid w:val="00504F55"/>
    <w:rsid w:val="0051015C"/>
    <w:rsid w:val="00516CF1"/>
    <w:rsid w:val="005264F8"/>
    <w:rsid w:val="00531AE9"/>
    <w:rsid w:val="0054186B"/>
    <w:rsid w:val="00550A66"/>
    <w:rsid w:val="0055398A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41A"/>
    <w:rsid w:val="00630AA2"/>
    <w:rsid w:val="00646707"/>
    <w:rsid w:val="00662E58"/>
    <w:rsid w:val="00664DCF"/>
    <w:rsid w:val="00687677"/>
    <w:rsid w:val="00696D86"/>
    <w:rsid w:val="006C5D39"/>
    <w:rsid w:val="006C7857"/>
    <w:rsid w:val="006D6D9B"/>
    <w:rsid w:val="006E2810"/>
    <w:rsid w:val="006E5417"/>
    <w:rsid w:val="00712F60"/>
    <w:rsid w:val="007179AE"/>
    <w:rsid w:val="0072042A"/>
    <w:rsid w:val="007209C4"/>
    <w:rsid w:val="00720E3B"/>
    <w:rsid w:val="0074393F"/>
    <w:rsid w:val="00745F6B"/>
    <w:rsid w:val="0075585E"/>
    <w:rsid w:val="00770571"/>
    <w:rsid w:val="007768FF"/>
    <w:rsid w:val="007824D3"/>
    <w:rsid w:val="00796178"/>
    <w:rsid w:val="00796EE3"/>
    <w:rsid w:val="007A7D29"/>
    <w:rsid w:val="007B4AB8"/>
    <w:rsid w:val="007C3C56"/>
    <w:rsid w:val="007D0037"/>
    <w:rsid w:val="007D49FA"/>
    <w:rsid w:val="007D7451"/>
    <w:rsid w:val="007E01A3"/>
    <w:rsid w:val="007F1F8B"/>
    <w:rsid w:val="007F67A1"/>
    <w:rsid w:val="00811C05"/>
    <w:rsid w:val="008206C8"/>
    <w:rsid w:val="00840476"/>
    <w:rsid w:val="00845CFF"/>
    <w:rsid w:val="0086387C"/>
    <w:rsid w:val="00874A6C"/>
    <w:rsid w:val="00876C65"/>
    <w:rsid w:val="00877958"/>
    <w:rsid w:val="008A4B4C"/>
    <w:rsid w:val="008C239F"/>
    <w:rsid w:val="008C44E4"/>
    <w:rsid w:val="008E480C"/>
    <w:rsid w:val="00904780"/>
    <w:rsid w:val="00907757"/>
    <w:rsid w:val="009212B0"/>
    <w:rsid w:val="00921FA1"/>
    <w:rsid w:val="009234A5"/>
    <w:rsid w:val="00933453"/>
    <w:rsid w:val="009336F7"/>
    <w:rsid w:val="0093636C"/>
    <w:rsid w:val="009374A7"/>
    <w:rsid w:val="00944088"/>
    <w:rsid w:val="0098551D"/>
    <w:rsid w:val="0099518F"/>
    <w:rsid w:val="009A523D"/>
    <w:rsid w:val="009B02A1"/>
    <w:rsid w:val="009F496B"/>
    <w:rsid w:val="00A01439"/>
    <w:rsid w:val="00A02E61"/>
    <w:rsid w:val="00A05CFF"/>
    <w:rsid w:val="00A547F8"/>
    <w:rsid w:val="00A56B97"/>
    <w:rsid w:val="00A6093D"/>
    <w:rsid w:val="00A76A6D"/>
    <w:rsid w:val="00A83253"/>
    <w:rsid w:val="00AA6E84"/>
    <w:rsid w:val="00AB395C"/>
    <w:rsid w:val="00AC26E3"/>
    <w:rsid w:val="00AE341B"/>
    <w:rsid w:val="00B07CA7"/>
    <w:rsid w:val="00B1279A"/>
    <w:rsid w:val="00B13B55"/>
    <w:rsid w:val="00B4194A"/>
    <w:rsid w:val="00B42334"/>
    <w:rsid w:val="00B5222E"/>
    <w:rsid w:val="00B53179"/>
    <w:rsid w:val="00B61C96"/>
    <w:rsid w:val="00B73A2A"/>
    <w:rsid w:val="00B865B1"/>
    <w:rsid w:val="00B94B06"/>
    <w:rsid w:val="00B94C28"/>
    <w:rsid w:val="00BC10BA"/>
    <w:rsid w:val="00BC5AFD"/>
    <w:rsid w:val="00BE3B0F"/>
    <w:rsid w:val="00C04F43"/>
    <w:rsid w:val="00C0609D"/>
    <w:rsid w:val="00C06739"/>
    <w:rsid w:val="00C10772"/>
    <w:rsid w:val="00C115AB"/>
    <w:rsid w:val="00C30249"/>
    <w:rsid w:val="00C331C5"/>
    <w:rsid w:val="00C3723B"/>
    <w:rsid w:val="00C45ACE"/>
    <w:rsid w:val="00C45B8B"/>
    <w:rsid w:val="00C606C9"/>
    <w:rsid w:val="00C734A8"/>
    <w:rsid w:val="00C80288"/>
    <w:rsid w:val="00C84003"/>
    <w:rsid w:val="00C85AC3"/>
    <w:rsid w:val="00C90650"/>
    <w:rsid w:val="00C969DB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566B4"/>
    <w:rsid w:val="00D807BF"/>
    <w:rsid w:val="00D82FCC"/>
    <w:rsid w:val="00DA17FC"/>
    <w:rsid w:val="00DA7887"/>
    <w:rsid w:val="00DB2C26"/>
    <w:rsid w:val="00DE497F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C6AA9"/>
    <w:rsid w:val="00ED4173"/>
    <w:rsid w:val="00ED5EBC"/>
    <w:rsid w:val="00EE7CD8"/>
    <w:rsid w:val="00EF48CC"/>
    <w:rsid w:val="00F73032"/>
    <w:rsid w:val="00F848FC"/>
    <w:rsid w:val="00F9282A"/>
    <w:rsid w:val="00F96BAD"/>
    <w:rsid w:val="00FA139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944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B13B55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1F2518"/>
    <w:pPr>
      <w:ind w:left="720"/>
      <w:contextualSpacing/>
    </w:pPr>
  </w:style>
  <w:style w:type="character" w:styleId="CommentReference">
    <w:name w:val="annotation reference"/>
    <w:basedOn w:val="DefaultParagraphFont"/>
    <w:rsid w:val="002A1F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A1F3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A1F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944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B13B55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1F2518"/>
    <w:pPr>
      <w:ind w:left="720"/>
      <w:contextualSpacing/>
    </w:pPr>
  </w:style>
  <w:style w:type="character" w:styleId="CommentReference">
    <w:name w:val="annotation reference"/>
    <w:basedOn w:val="DefaultParagraphFont"/>
    <w:rsid w:val="002A1F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A1F3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A1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arl.sharman@eu.sony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ajanj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5</Pages>
  <Words>733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4908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Rajan Joshi, Qualcomm</cp:lastModifiedBy>
  <cp:revision>25</cp:revision>
  <cp:lastPrinted>2014-01-02T12:23:00Z</cp:lastPrinted>
  <dcterms:created xsi:type="dcterms:W3CDTF">2014-01-02T12:23:00Z</dcterms:created>
  <dcterms:modified xsi:type="dcterms:W3CDTF">2014-01-10T16:30:00Z</dcterms:modified>
</cp:coreProperties>
</file>