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07F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FA139D">
              <w:rPr>
                <w:szCs w:val="22"/>
                <w:lang w:val="en-CA"/>
              </w:rPr>
              <w:t>4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FA139D">
              <w:rPr>
                <w:szCs w:val="22"/>
                <w:lang w:val="en-CA"/>
              </w:rPr>
              <w:t>Vienna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AT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25 July – 2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FA139D">
              <w:rPr>
                <w:szCs w:val="22"/>
                <w:lang w:val="en-CA"/>
              </w:rPr>
              <w:t>Aug.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42167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FA139D">
              <w:rPr>
                <w:lang w:val="en-CA"/>
              </w:rPr>
              <w:t>N</w:t>
            </w:r>
            <w:r w:rsidR="00421675" w:rsidRPr="00421675">
              <w:rPr>
                <w:lang w:val="en-CA"/>
              </w:rPr>
              <w:t>0234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717E7A" w:rsidP="00907F9F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Low-Complexity </w:t>
            </w:r>
            <w:r w:rsidR="00907F9F">
              <w:rPr>
                <w:b/>
                <w:szCs w:val="22"/>
                <w:lang w:val="en-CA"/>
              </w:rPr>
              <w:t xml:space="preserve">Generated </w:t>
            </w:r>
            <w:r w:rsidR="001D1B54">
              <w:rPr>
                <w:b/>
                <w:szCs w:val="22"/>
                <w:lang w:val="en-CA"/>
              </w:rPr>
              <w:t>Inter-layer Reference</w:t>
            </w:r>
            <w:r w:rsidR="00907F9F">
              <w:rPr>
                <w:b/>
                <w:szCs w:val="22"/>
                <w:lang w:val="en-CA"/>
              </w:rPr>
              <w:t xml:space="preserve"> for SHVC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D1B54" w:rsidRDefault="001D1B54" w:rsidP="001D1B5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</w:p>
          <w:p w:rsidR="001D1B54" w:rsidRDefault="001D1B54" w:rsidP="001D1B5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</w:p>
          <w:p w:rsidR="00E61DAC" w:rsidRPr="005B217D" w:rsidRDefault="001D1B54" w:rsidP="001D1B5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Marta Karczewicz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D1B54" w:rsidRDefault="001D5FEB" w:rsidP="001D1B54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1D1B54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1D1B54" w:rsidRDefault="001D5FEB" w:rsidP="001D1B54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1D1B54" w:rsidRPr="00DB605D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E61DAC" w:rsidRPr="005B217D" w:rsidRDefault="001D5FEB" w:rsidP="001D1B54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1D1B54" w:rsidRPr="00D23912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D1B5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661CE3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In this proposal, a second inter-layer reference is generated based on previously coded pictures by </w:t>
      </w:r>
      <w:r w:rsidR="00942431">
        <w:rPr>
          <w:lang w:val="en-CA"/>
        </w:rPr>
        <w:t xml:space="preserve">a </w:t>
      </w:r>
      <w:r>
        <w:rPr>
          <w:lang w:val="en-CA"/>
        </w:rPr>
        <w:t xml:space="preserve">GRP (generalized residual prediction) </w:t>
      </w:r>
      <w:proofErr w:type="gramStart"/>
      <w:r>
        <w:rPr>
          <w:lang w:val="en-CA"/>
        </w:rPr>
        <w:t>alike</w:t>
      </w:r>
      <w:proofErr w:type="gramEnd"/>
      <w:r>
        <w:rPr>
          <w:lang w:val="en-CA"/>
        </w:rPr>
        <w:t xml:space="preserve"> method.</w:t>
      </w:r>
      <w:r w:rsidR="001D1B54">
        <w:rPr>
          <w:lang w:val="en-CA"/>
        </w:rPr>
        <w:t xml:space="preserve"> To </w:t>
      </w:r>
      <w:r w:rsidR="00AE5018">
        <w:rPr>
          <w:lang w:val="en-CA"/>
        </w:rPr>
        <w:t xml:space="preserve">reduce computational cost and memory bandwidth requirement, sub-pixel motion compensation interpolation is avoided by rounding motion vectors to the closest integer-pixel positions. It is reported that </w:t>
      </w:r>
      <w:r w:rsidR="0044725A">
        <w:rPr>
          <w:lang w:val="en-CA"/>
        </w:rPr>
        <w:t>0.8%, 1.3% and 0.7%</w:t>
      </w:r>
      <w:r w:rsidR="00AE5018">
        <w:rPr>
          <w:lang w:val="en-CA"/>
        </w:rPr>
        <w:t xml:space="preserve"> </w:t>
      </w:r>
      <w:proofErr w:type="spellStart"/>
      <w:r w:rsidR="00AE5018">
        <w:rPr>
          <w:lang w:val="en-CA"/>
        </w:rPr>
        <w:t>luma</w:t>
      </w:r>
      <w:proofErr w:type="spellEnd"/>
      <w:r w:rsidR="00AE5018">
        <w:rPr>
          <w:lang w:val="en-CA"/>
        </w:rPr>
        <w:t xml:space="preserve"> BD-rate reduction </w:t>
      </w:r>
      <w:r w:rsidR="00942431">
        <w:rPr>
          <w:lang w:val="en-CA"/>
        </w:rPr>
        <w:t>was</w:t>
      </w:r>
      <w:r w:rsidR="00AE5018">
        <w:rPr>
          <w:lang w:val="en-CA"/>
        </w:rPr>
        <w:t xml:space="preserve"> obtained on average for RA, LD-B and LD-P cases</w:t>
      </w:r>
      <w:r w:rsidR="0044725A">
        <w:rPr>
          <w:lang w:val="en-CA"/>
        </w:rPr>
        <w:t>, respectively</w:t>
      </w:r>
      <w:r w:rsidR="00AE5018">
        <w:rPr>
          <w:lang w:val="en-CA"/>
        </w:rPr>
        <w:t>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907F9F" w:rsidRDefault="00907F9F" w:rsidP="00907F9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Generalized residual prediction</w:t>
      </w:r>
      <w:r w:rsidR="00717E7A">
        <w:rPr>
          <w:szCs w:val="22"/>
          <w:lang w:val="en-CA"/>
        </w:rPr>
        <w:t xml:space="preserve"> (GRP)</w:t>
      </w:r>
      <w:r>
        <w:rPr>
          <w:szCs w:val="22"/>
          <w:lang w:val="en-CA"/>
        </w:rPr>
        <w:t xml:space="preserve"> was proposed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_Ref347833518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[1</w:t>
      </w:r>
      <w:proofErr w:type="gramStart"/>
      <w:r>
        <w:rPr>
          <w:szCs w:val="22"/>
        </w:rPr>
        <w:t>]</w:t>
      </w:r>
      <w:proofErr w:type="gramEnd"/>
      <w:r>
        <w:rPr>
          <w:szCs w:val="22"/>
        </w:rPr>
        <w:fldChar w:fldCharType="end"/>
      </w:r>
      <w:r>
        <w:rPr>
          <w:szCs w:val="22"/>
        </w:rPr>
        <w:fldChar w:fldCharType="begin"/>
      </w:r>
      <w:r>
        <w:rPr>
          <w:szCs w:val="22"/>
        </w:rPr>
        <w:instrText xml:space="preserve"> REF _Ref347833520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[2]</w:t>
      </w:r>
      <w:r>
        <w:rPr>
          <w:szCs w:val="22"/>
        </w:rPr>
        <w:fldChar w:fldCharType="end"/>
      </w:r>
      <w:r>
        <w:rPr>
          <w:szCs w:val="22"/>
        </w:rPr>
        <w:fldChar w:fldCharType="begin"/>
      </w:r>
      <w:r>
        <w:rPr>
          <w:szCs w:val="22"/>
        </w:rPr>
        <w:instrText xml:space="preserve"> REF _Ref347833522 \r \h </w:instrText>
      </w:r>
      <w:r>
        <w:rPr>
          <w:szCs w:val="22"/>
        </w:rPr>
      </w:r>
      <w:r>
        <w:rPr>
          <w:szCs w:val="22"/>
        </w:rPr>
        <w:fldChar w:fldCharType="separate"/>
      </w:r>
      <w:r w:rsidR="00717E7A">
        <w:rPr>
          <w:szCs w:val="22"/>
        </w:rPr>
        <w:t>[3]</w:t>
      </w:r>
      <w:r>
        <w:rPr>
          <w:szCs w:val="22"/>
        </w:rPr>
        <w:fldChar w:fldCharType="end"/>
      </w:r>
      <w:r>
        <w:rPr>
          <w:szCs w:val="22"/>
        </w:rPr>
        <w:fldChar w:fldCharType="begin"/>
      </w:r>
      <w:r>
        <w:rPr>
          <w:szCs w:val="22"/>
        </w:rPr>
        <w:instrText xml:space="preserve"> REF _Ref347833523 \r \h </w:instrText>
      </w:r>
      <w:r>
        <w:rPr>
          <w:szCs w:val="22"/>
        </w:rPr>
      </w:r>
      <w:r>
        <w:rPr>
          <w:szCs w:val="22"/>
        </w:rPr>
        <w:fldChar w:fldCharType="separate"/>
      </w:r>
      <w:r w:rsidR="00717E7A">
        <w:rPr>
          <w:szCs w:val="22"/>
        </w:rPr>
        <w:t>[4]</w:t>
      </w:r>
      <w:r>
        <w:rPr>
          <w:szCs w:val="22"/>
        </w:rPr>
        <w:fldChar w:fldCharType="end"/>
      </w:r>
      <w:r w:rsidR="00717E7A">
        <w:rPr>
          <w:szCs w:val="22"/>
        </w:rPr>
        <w:fldChar w:fldCharType="begin"/>
      </w:r>
      <w:r w:rsidR="00717E7A">
        <w:rPr>
          <w:szCs w:val="22"/>
        </w:rPr>
        <w:instrText xml:space="preserve"> REF _Ref353019730 \r \h </w:instrText>
      </w:r>
      <w:r w:rsidR="00717E7A">
        <w:rPr>
          <w:szCs w:val="22"/>
        </w:rPr>
      </w:r>
      <w:r w:rsidR="00717E7A">
        <w:rPr>
          <w:szCs w:val="22"/>
        </w:rPr>
        <w:fldChar w:fldCharType="separate"/>
      </w:r>
      <w:r w:rsidR="00717E7A">
        <w:rPr>
          <w:szCs w:val="22"/>
        </w:rPr>
        <w:t>[5]</w:t>
      </w:r>
      <w:r w:rsidR="00717E7A">
        <w:rPr>
          <w:szCs w:val="22"/>
        </w:rPr>
        <w:fldChar w:fldCharType="end"/>
      </w:r>
      <w:r w:rsidR="00717E7A">
        <w:rPr>
          <w:szCs w:val="22"/>
        </w:rPr>
        <w:fldChar w:fldCharType="begin"/>
      </w:r>
      <w:r w:rsidR="00717E7A">
        <w:rPr>
          <w:szCs w:val="22"/>
        </w:rPr>
        <w:instrText xml:space="preserve"> REF _Ref353228762 \r \h </w:instrText>
      </w:r>
      <w:r w:rsidR="00717E7A">
        <w:rPr>
          <w:szCs w:val="22"/>
        </w:rPr>
      </w:r>
      <w:r w:rsidR="00717E7A">
        <w:rPr>
          <w:szCs w:val="22"/>
        </w:rPr>
        <w:fldChar w:fldCharType="separate"/>
      </w:r>
      <w:r w:rsidR="00717E7A">
        <w:rPr>
          <w:szCs w:val="22"/>
        </w:rPr>
        <w:t>[6]</w:t>
      </w:r>
      <w:r w:rsidR="00717E7A">
        <w:rPr>
          <w:szCs w:val="22"/>
        </w:rPr>
        <w:fldChar w:fldCharType="end"/>
      </w:r>
      <w:r>
        <w:rPr>
          <w:szCs w:val="22"/>
          <w:lang w:val="en-CA"/>
        </w:rPr>
        <w:t xml:space="preserve"> to improve the coding efficiency of </w:t>
      </w:r>
      <w:proofErr w:type="spellStart"/>
      <w:r w:rsidR="00717E7A">
        <w:rPr>
          <w:szCs w:val="22"/>
          <w:lang w:val="en-CA"/>
        </w:rPr>
        <w:t>IntraBL</w:t>
      </w:r>
      <w:proofErr w:type="spellEnd"/>
      <w:r w:rsidR="00717E7A">
        <w:rPr>
          <w:szCs w:val="22"/>
          <w:lang w:val="en-CA"/>
        </w:rPr>
        <w:t xml:space="preserve"> based </w:t>
      </w:r>
      <w:r>
        <w:rPr>
          <w:szCs w:val="22"/>
          <w:lang w:val="en-CA"/>
        </w:rPr>
        <w:t>SHVC. It uses previously coded base layer and enhancement layer pictures to predict the current enhancement layer picture.</w:t>
      </w:r>
      <w:r w:rsidR="0097273F">
        <w:rPr>
          <w:szCs w:val="22"/>
          <w:lang w:val="en-CA"/>
        </w:rPr>
        <w:t xml:space="preserve"> In </w:t>
      </w:r>
      <w:r w:rsidR="00717E7A">
        <w:rPr>
          <w:szCs w:val="22"/>
          <w:lang w:val="en-CA"/>
        </w:rPr>
        <w:fldChar w:fldCharType="begin"/>
      </w:r>
      <w:r w:rsidR="00717E7A">
        <w:rPr>
          <w:szCs w:val="22"/>
          <w:lang w:val="en-CA"/>
        </w:rPr>
        <w:instrText xml:space="preserve"> REF _Ref361145581 \r \h </w:instrText>
      </w:r>
      <w:r w:rsidR="00717E7A">
        <w:rPr>
          <w:szCs w:val="22"/>
          <w:lang w:val="en-CA"/>
        </w:rPr>
      </w:r>
      <w:r w:rsidR="00717E7A">
        <w:rPr>
          <w:szCs w:val="22"/>
          <w:lang w:val="en-CA"/>
        </w:rPr>
        <w:fldChar w:fldCharType="separate"/>
      </w:r>
      <w:r w:rsidR="00717E7A">
        <w:rPr>
          <w:szCs w:val="22"/>
          <w:lang w:val="en-CA"/>
        </w:rPr>
        <w:t>[7</w:t>
      </w:r>
      <w:proofErr w:type="gramStart"/>
      <w:r w:rsidR="00717E7A">
        <w:rPr>
          <w:szCs w:val="22"/>
          <w:lang w:val="en-CA"/>
        </w:rPr>
        <w:t>]</w:t>
      </w:r>
      <w:proofErr w:type="gramEnd"/>
      <w:r w:rsidR="00717E7A">
        <w:rPr>
          <w:szCs w:val="22"/>
          <w:lang w:val="en-CA"/>
        </w:rPr>
        <w:fldChar w:fldCharType="end"/>
      </w:r>
      <w:r w:rsidR="00717E7A">
        <w:rPr>
          <w:szCs w:val="22"/>
          <w:lang w:val="en-CA"/>
        </w:rPr>
        <w:fldChar w:fldCharType="begin"/>
      </w:r>
      <w:r w:rsidR="00717E7A">
        <w:rPr>
          <w:szCs w:val="22"/>
          <w:lang w:val="en-CA"/>
        </w:rPr>
        <w:instrText xml:space="preserve"> REF _Ref361145582 \r \h </w:instrText>
      </w:r>
      <w:r w:rsidR="00717E7A">
        <w:rPr>
          <w:szCs w:val="22"/>
          <w:lang w:val="en-CA"/>
        </w:rPr>
      </w:r>
      <w:r w:rsidR="00717E7A">
        <w:rPr>
          <w:szCs w:val="22"/>
          <w:lang w:val="en-CA"/>
        </w:rPr>
        <w:fldChar w:fldCharType="separate"/>
      </w:r>
      <w:r w:rsidR="00717E7A">
        <w:rPr>
          <w:szCs w:val="22"/>
          <w:lang w:val="en-CA"/>
        </w:rPr>
        <w:t>[8]</w:t>
      </w:r>
      <w:r w:rsidR="00717E7A">
        <w:rPr>
          <w:szCs w:val="22"/>
          <w:lang w:val="en-CA"/>
        </w:rPr>
        <w:fldChar w:fldCharType="end"/>
      </w:r>
      <w:r w:rsidR="00717E7A">
        <w:rPr>
          <w:szCs w:val="22"/>
          <w:lang w:val="en-CA"/>
        </w:rPr>
        <w:t xml:space="preserve">, the idea was </w:t>
      </w:r>
      <w:r w:rsidR="00195F30">
        <w:rPr>
          <w:szCs w:val="22"/>
          <w:lang w:val="en-CA"/>
        </w:rPr>
        <w:t>extended</w:t>
      </w:r>
      <w:r w:rsidR="00717E7A">
        <w:rPr>
          <w:szCs w:val="22"/>
          <w:lang w:val="en-CA"/>
        </w:rPr>
        <w:t xml:space="preserve"> </w:t>
      </w:r>
      <w:r w:rsidR="00195F30">
        <w:rPr>
          <w:szCs w:val="22"/>
          <w:lang w:val="en-CA"/>
        </w:rPr>
        <w:t>to</w:t>
      </w:r>
      <w:r w:rsidR="00717E7A">
        <w:rPr>
          <w:szCs w:val="22"/>
          <w:lang w:val="en-CA"/>
        </w:rPr>
        <w:t xml:space="preserve"> </w:t>
      </w:r>
      <w:proofErr w:type="spellStart"/>
      <w:r w:rsidR="00717E7A">
        <w:rPr>
          <w:szCs w:val="22"/>
          <w:lang w:val="en-CA"/>
        </w:rPr>
        <w:t>RefIdx</w:t>
      </w:r>
      <w:proofErr w:type="spellEnd"/>
      <w:r w:rsidR="00717E7A">
        <w:rPr>
          <w:szCs w:val="22"/>
          <w:lang w:val="en-CA"/>
        </w:rPr>
        <w:t xml:space="preserve"> based SHVC by generating a new inter-layer reference picture with GRP alike methods. Although good coding performance was obtained by </w:t>
      </w:r>
      <w:r w:rsidR="00717E7A">
        <w:rPr>
          <w:szCs w:val="22"/>
          <w:lang w:val="en-CA"/>
        </w:rPr>
        <w:fldChar w:fldCharType="begin"/>
      </w:r>
      <w:r w:rsidR="00717E7A">
        <w:rPr>
          <w:szCs w:val="22"/>
          <w:lang w:val="en-CA"/>
        </w:rPr>
        <w:instrText xml:space="preserve"> REF _Ref361145581 \r \h </w:instrText>
      </w:r>
      <w:r w:rsidR="00717E7A">
        <w:rPr>
          <w:szCs w:val="22"/>
          <w:lang w:val="en-CA"/>
        </w:rPr>
      </w:r>
      <w:r w:rsidR="00717E7A">
        <w:rPr>
          <w:szCs w:val="22"/>
          <w:lang w:val="en-CA"/>
        </w:rPr>
        <w:fldChar w:fldCharType="separate"/>
      </w:r>
      <w:r w:rsidR="00717E7A">
        <w:rPr>
          <w:szCs w:val="22"/>
          <w:lang w:val="en-CA"/>
        </w:rPr>
        <w:t>[7</w:t>
      </w:r>
      <w:proofErr w:type="gramStart"/>
      <w:r w:rsidR="00717E7A">
        <w:rPr>
          <w:szCs w:val="22"/>
          <w:lang w:val="en-CA"/>
        </w:rPr>
        <w:t>]</w:t>
      </w:r>
      <w:proofErr w:type="gramEnd"/>
      <w:r w:rsidR="00717E7A">
        <w:rPr>
          <w:szCs w:val="22"/>
          <w:lang w:val="en-CA"/>
        </w:rPr>
        <w:fldChar w:fldCharType="end"/>
      </w:r>
      <w:r w:rsidR="00717E7A">
        <w:rPr>
          <w:szCs w:val="22"/>
          <w:lang w:val="en-CA"/>
        </w:rPr>
        <w:fldChar w:fldCharType="begin"/>
      </w:r>
      <w:r w:rsidR="00717E7A">
        <w:rPr>
          <w:szCs w:val="22"/>
          <w:lang w:val="en-CA"/>
        </w:rPr>
        <w:instrText xml:space="preserve"> REF _Ref361145582 \r \h </w:instrText>
      </w:r>
      <w:r w:rsidR="00717E7A">
        <w:rPr>
          <w:szCs w:val="22"/>
          <w:lang w:val="en-CA"/>
        </w:rPr>
      </w:r>
      <w:r w:rsidR="00717E7A">
        <w:rPr>
          <w:szCs w:val="22"/>
          <w:lang w:val="en-CA"/>
        </w:rPr>
        <w:fldChar w:fldCharType="separate"/>
      </w:r>
      <w:r w:rsidR="00717E7A">
        <w:rPr>
          <w:szCs w:val="22"/>
          <w:lang w:val="en-CA"/>
        </w:rPr>
        <w:t>[8]</w:t>
      </w:r>
      <w:r w:rsidR="00717E7A">
        <w:rPr>
          <w:szCs w:val="22"/>
          <w:lang w:val="en-CA"/>
        </w:rPr>
        <w:fldChar w:fldCharType="end"/>
      </w:r>
      <w:r w:rsidR="00717E7A">
        <w:rPr>
          <w:szCs w:val="22"/>
          <w:lang w:val="en-CA"/>
        </w:rPr>
        <w:t>, the computational complexity and memory bandwidth requirement are high due to the additional motion compensation process</w:t>
      </w:r>
      <w:r w:rsidR="00195F30">
        <w:rPr>
          <w:szCs w:val="22"/>
          <w:lang w:val="en-CA"/>
        </w:rPr>
        <w:t xml:space="preserve"> introduced during the new inter-layer reference generation</w:t>
      </w:r>
      <w:r w:rsidR="00717E7A">
        <w:rPr>
          <w:szCs w:val="22"/>
          <w:lang w:val="en-CA"/>
        </w:rPr>
        <w:t>.</w:t>
      </w:r>
      <w:r w:rsidR="001A6CA0">
        <w:rPr>
          <w:szCs w:val="22"/>
          <w:lang w:val="en-CA"/>
        </w:rPr>
        <w:t xml:space="preserve"> In this document, a low-complexity </w:t>
      </w:r>
      <w:r w:rsidR="00195F30">
        <w:rPr>
          <w:szCs w:val="22"/>
          <w:lang w:val="en-CA"/>
        </w:rPr>
        <w:t xml:space="preserve">inter-layer GRP </w:t>
      </w:r>
      <w:r w:rsidR="001A6CA0">
        <w:rPr>
          <w:szCs w:val="22"/>
          <w:lang w:val="en-CA"/>
        </w:rPr>
        <w:t>reference generation method is proposed</w:t>
      </w:r>
      <w:r w:rsidR="001A6CA0">
        <w:rPr>
          <w:szCs w:val="22"/>
        </w:rPr>
        <w:t>.</w:t>
      </w: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Technical details</w:t>
      </w:r>
      <w:r w:rsidRPr="005B217D">
        <w:rPr>
          <w:lang w:val="en-CA"/>
        </w:rPr>
        <w:t xml:space="preserve"> </w:t>
      </w:r>
    </w:p>
    <w:p w:rsidR="001D1B54" w:rsidRDefault="001A6CA0" w:rsidP="001D1B54">
      <w:pPr>
        <w:jc w:val="both"/>
        <w:rPr>
          <w:lang w:val="en-CA"/>
        </w:rPr>
      </w:pPr>
      <w:r>
        <w:rPr>
          <w:lang w:val="en-CA"/>
        </w:rPr>
        <w:t>I</w:t>
      </w:r>
      <w:r w:rsidR="001D1B54">
        <w:rPr>
          <w:lang w:val="en-CA"/>
        </w:rPr>
        <w:t xml:space="preserve">t is proposed to generate a </w:t>
      </w:r>
      <w:r>
        <w:rPr>
          <w:lang w:val="en-CA"/>
        </w:rPr>
        <w:t xml:space="preserve">new </w:t>
      </w:r>
      <w:r w:rsidR="0054776D">
        <w:rPr>
          <w:lang w:val="en-CA"/>
        </w:rPr>
        <w:t xml:space="preserve">inter-layer </w:t>
      </w:r>
      <w:r w:rsidR="001D1B54">
        <w:rPr>
          <w:lang w:val="en-CA"/>
        </w:rPr>
        <w:t xml:space="preserve">reference </w:t>
      </w:r>
      <w:r w:rsidR="0054776D">
        <w:rPr>
          <w:lang w:val="en-CA"/>
        </w:rPr>
        <w:t>picture</w:t>
      </w:r>
      <w:r w:rsidR="001D1B54">
        <w:rPr>
          <w:lang w:val="en-CA"/>
        </w:rPr>
        <w:t xml:space="preserve"> </w:t>
      </w:r>
      <w:r>
        <w:rPr>
          <w:lang w:val="en-CA"/>
        </w:rPr>
        <w:t>(</w:t>
      </w:r>
      <w:proofErr w:type="spellStart"/>
      <w:r>
        <w:rPr>
          <w:lang w:val="en-CA"/>
        </w:rPr>
        <w:t>GRPRef</w:t>
      </w:r>
      <w:proofErr w:type="spellEnd"/>
      <w:r>
        <w:rPr>
          <w:lang w:val="en-CA"/>
        </w:rPr>
        <w:t xml:space="preserve">) </w:t>
      </w:r>
      <w:r w:rsidR="001D1B54">
        <w:rPr>
          <w:lang w:val="en-CA"/>
        </w:rPr>
        <w:t>based on enhancement references, base reference</w:t>
      </w:r>
      <w:r w:rsidR="0054776D">
        <w:rPr>
          <w:lang w:val="en-CA"/>
        </w:rPr>
        <w:t>s</w:t>
      </w:r>
      <w:r w:rsidR="001D1B54">
        <w:rPr>
          <w:lang w:val="en-CA"/>
        </w:rPr>
        <w:t xml:space="preserve">, and coded motion field of the collocated base picture. Then </w:t>
      </w:r>
      <w:r w:rsidR="0088667D">
        <w:rPr>
          <w:lang w:val="en-CA"/>
        </w:rPr>
        <w:t xml:space="preserve">insert </w:t>
      </w:r>
      <w:r w:rsidR="001D1B54">
        <w:rPr>
          <w:lang w:val="en-CA"/>
        </w:rPr>
        <w:t xml:space="preserve">this generated </w:t>
      </w:r>
      <w:proofErr w:type="spellStart"/>
      <w:r w:rsidR="00D26D27">
        <w:rPr>
          <w:lang w:val="en-CA"/>
        </w:rPr>
        <w:t>GRPRef</w:t>
      </w:r>
      <w:proofErr w:type="spellEnd"/>
      <w:r w:rsidR="001D1B54">
        <w:rPr>
          <w:lang w:val="en-CA"/>
        </w:rPr>
        <w:t xml:space="preserve"> as </w:t>
      </w:r>
      <w:r w:rsidR="00A566B7">
        <w:rPr>
          <w:lang w:val="en-CA"/>
        </w:rPr>
        <w:t>a</w:t>
      </w:r>
      <w:r w:rsidR="0088667D">
        <w:rPr>
          <w:lang w:val="en-CA"/>
        </w:rPr>
        <w:t xml:space="preserve"> </w:t>
      </w:r>
      <w:proofErr w:type="gramStart"/>
      <w:r w:rsidR="0088667D">
        <w:rPr>
          <w:lang w:val="en-CA"/>
        </w:rPr>
        <w:t xml:space="preserve">second </w:t>
      </w:r>
      <w:r w:rsidR="001D1B54">
        <w:rPr>
          <w:lang w:val="en-CA"/>
        </w:rPr>
        <w:t xml:space="preserve"> </w:t>
      </w:r>
      <w:r w:rsidR="0088667D">
        <w:rPr>
          <w:lang w:val="en-CA"/>
        </w:rPr>
        <w:t>interlayer</w:t>
      </w:r>
      <w:proofErr w:type="gramEnd"/>
      <w:r w:rsidR="0088667D">
        <w:rPr>
          <w:lang w:val="en-CA"/>
        </w:rPr>
        <w:t xml:space="preserve"> </w:t>
      </w:r>
      <w:r w:rsidR="001D1B54">
        <w:rPr>
          <w:lang w:val="en-CA"/>
        </w:rPr>
        <w:t>reference picture</w:t>
      </w:r>
      <w:r w:rsidR="0088667D">
        <w:rPr>
          <w:lang w:val="en-CA"/>
        </w:rPr>
        <w:t>, in additional to the resampled base layer picture</w:t>
      </w:r>
      <w:r w:rsidR="001D1B54">
        <w:rPr>
          <w:lang w:val="en-CA"/>
        </w:rPr>
        <w:t xml:space="preserve"> to code </w:t>
      </w:r>
      <w:r w:rsidR="00A566B7">
        <w:rPr>
          <w:lang w:val="en-CA"/>
        </w:rPr>
        <w:t xml:space="preserve">an enhancement layer </w:t>
      </w:r>
      <w:r w:rsidR="001D1B54">
        <w:rPr>
          <w:lang w:val="en-CA"/>
        </w:rPr>
        <w:t>picture.</w:t>
      </w:r>
      <w:r>
        <w:rPr>
          <w:lang w:val="en-CA"/>
        </w:rPr>
        <w:t xml:space="preserve"> To reduce computational complexity and memory bandwidth requirement during the </w:t>
      </w:r>
      <w:proofErr w:type="spellStart"/>
      <w:r w:rsidR="00D36CA7">
        <w:rPr>
          <w:lang w:val="en-CA"/>
        </w:rPr>
        <w:t>GRPRef</w:t>
      </w:r>
      <w:proofErr w:type="spellEnd"/>
      <w:r w:rsidR="00D36CA7">
        <w:rPr>
          <w:lang w:val="en-CA"/>
        </w:rPr>
        <w:t xml:space="preserve"> </w:t>
      </w:r>
      <w:r>
        <w:rPr>
          <w:lang w:val="en-CA"/>
        </w:rPr>
        <w:t xml:space="preserve">generation, it is </w:t>
      </w:r>
      <w:r w:rsidR="0054776D">
        <w:rPr>
          <w:lang w:val="en-CA"/>
        </w:rPr>
        <w:t xml:space="preserve">further </w:t>
      </w:r>
      <w:r>
        <w:rPr>
          <w:lang w:val="en-CA"/>
        </w:rPr>
        <w:t xml:space="preserve">proposed to </w:t>
      </w:r>
      <w:r w:rsidR="0054776D">
        <w:rPr>
          <w:lang w:val="en-CA"/>
        </w:rPr>
        <w:t>round motion vectors to integer-pixel positions</w:t>
      </w:r>
      <w:r>
        <w:rPr>
          <w:lang w:val="en-CA"/>
        </w:rPr>
        <w:t xml:space="preserve"> so that no motion compensation interpolation is needed for both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and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components.</w:t>
      </w:r>
    </w:p>
    <w:p w:rsidR="001D1B54" w:rsidRDefault="001D1B54" w:rsidP="001D1B54">
      <w:pPr>
        <w:pStyle w:val="Heading2"/>
        <w:rPr>
          <w:lang w:val="en-CA"/>
        </w:rPr>
      </w:pPr>
      <w:r>
        <w:rPr>
          <w:lang w:val="en-CA"/>
        </w:rPr>
        <w:t xml:space="preserve">Generation of </w:t>
      </w:r>
      <w:proofErr w:type="spellStart"/>
      <w:r w:rsidR="00D26D27">
        <w:rPr>
          <w:lang w:val="en-CA"/>
        </w:rPr>
        <w:t>GRPRef</w:t>
      </w:r>
      <w:proofErr w:type="spellEnd"/>
      <w:r>
        <w:rPr>
          <w:lang w:val="en-CA"/>
        </w:rPr>
        <w:t xml:space="preserve"> picture</w:t>
      </w:r>
    </w:p>
    <w:p w:rsidR="00874AFE" w:rsidRDefault="00874AFE" w:rsidP="001D1B54">
      <w:pPr>
        <w:jc w:val="both"/>
        <w:rPr>
          <w:lang w:val="en-CA"/>
        </w:rPr>
      </w:pPr>
      <w:r>
        <w:rPr>
          <w:lang w:val="en-CA"/>
        </w:rPr>
        <w:t xml:space="preserve">Before coding an enhancement picture, </w:t>
      </w:r>
      <w:proofErr w:type="spellStart"/>
      <w:r w:rsidR="001D1B54">
        <w:rPr>
          <w:lang w:val="en-CA"/>
        </w:rPr>
        <w:t>GRP</w:t>
      </w:r>
      <w:r>
        <w:rPr>
          <w:lang w:val="en-CA"/>
        </w:rPr>
        <w:t>Ref</w:t>
      </w:r>
      <w:proofErr w:type="spellEnd"/>
      <w:r w:rsidR="001D1B54">
        <w:rPr>
          <w:lang w:val="en-CA"/>
        </w:rPr>
        <w:t xml:space="preserve"> is generated</w:t>
      </w:r>
      <w:r w:rsidR="00A641A8">
        <w:rPr>
          <w:lang w:val="en-CA"/>
        </w:rPr>
        <w:t>.</w:t>
      </w:r>
      <w:r w:rsidR="001D1B54">
        <w:rPr>
          <w:lang w:val="en-CA"/>
        </w:rPr>
        <w:t xml:space="preserve"> </w:t>
      </w:r>
      <w:r w:rsidR="00E529A5">
        <w:rPr>
          <w:lang w:val="en-CA"/>
        </w:rPr>
        <w:t xml:space="preserve">The </w:t>
      </w:r>
      <w:proofErr w:type="spellStart"/>
      <w:r w:rsidR="00E529A5">
        <w:rPr>
          <w:lang w:val="en-CA"/>
        </w:rPr>
        <w:t>GRPRef</w:t>
      </w:r>
      <w:proofErr w:type="spellEnd"/>
      <w:r w:rsidR="00E529A5">
        <w:rPr>
          <w:lang w:val="en-CA"/>
        </w:rPr>
        <w:t xml:space="preserve"> is generated by adding the difference signal of enhancement layer reference picture and base layer reference picture onto the resampled collocated base layer picture. </w:t>
      </w:r>
      <w:r>
        <w:rPr>
          <w:lang w:val="en-CA"/>
        </w:rPr>
        <w:t xml:space="preserve">To be in line with </w:t>
      </w:r>
      <w:r w:rsidR="003317DC">
        <w:rPr>
          <w:lang w:val="en-CA"/>
        </w:rPr>
        <w:t xml:space="preserve">inter-layer </w:t>
      </w:r>
      <w:r>
        <w:rPr>
          <w:lang w:val="en-CA"/>
        </w:rPr>
        <w:t xml:space="preserve">motion mapping, </w:t>
      </w:r>
      <w:proofErr w:type="spellStart"/>
      <w:r>
        <w:rPr>
          <w:lang w:val="en-CA"/>
        </w:rPr>
        <w:t>GRPRef</w:t>
      </w:r>
      <w:proofErr w:type="spellEnd"/>
      <w:r>
        <w:rPr>
          <w:lang w:val="en-CA"/>
        </w:rPr>
        <w:t xml:space="preserve"> is generated by 16x16 blocks.</w:t>
      </w:r>
    </w:p>
    <w:p w:rsidR="001D1B54" w:rsidRDefault="00874AFE" w:rsidP="001D1B54">
      <w:pPr>
        <w:jc w:val="both"/>
        <w:rPr>
          <w:lang w:val="en-CA"/>
        </w:rPr>
      </w:pPr>
      <w:r>
        <w:rPr>
          <w:lang w:val="en-CA"/>
        </w:rPr>
        <w:t>For each 16x16 block in the current enhancement picture, l</w:t>
      </w:r>
      <w:r w:rsidR="001D1B54">
        <w:rPr>
          <w:lang w:val="en-CA"/>
        </w:rPr>
        <w:t xml:space="preserve">et </w:t>
      </w:r>
      <m:oMath>
        <m:r>
          <m:rPr>
            <m:sty m:val="p"/>
          </m:rPr>
          <w:rPr>
            <w:rFonts w:ascii="Cambria Math" w:hAnsi="Cambria Math"/>
            <w:szCs w:val="22"/>
          </w:rPr>
          <m:t>B</m:t>
        </m:r>
      </m:oMath>
      <w:r w:rsidR="001D1B54">
        <w:rPr>
          <w:szCs w:val="22"/>
        </w:rPr>
        <w:t xml:space="preserve"> denote </w:t>
      </w:r>
      <w:proofErr w:type="spellStart"/>
      <w:r>
        <w:rPr>
          <w:szCs w:val="22"/>
        </w:rPr>
        <w:t>upsampled</w:t>
      </w:r>
      <w:proofErr w:type="spellEnd"/>
      <w:r>
        <w:rPr>
          <w:szCs w:val="22"/>
        </w:rPr>
        <w:t xml:space="preserve"> (if necessary) collocated base layer</w:t>
      </w:r>
      <w:r w:rsidR="001D1B54">
        <w:rPr>
          <w:szCs w:val="22"/>
        </w:rPr>
        <w:t xml:space="preserve"> </w:t>
      </w:r>
      <w:r w:rsidR="00A641A8">
        <w:rPr>
          <w:szCs w:val="22"/>
        </w:rPr>
        <w:t>block</w:t>
      </w:r>
      <w:r w:rsidR="001D1B54">
        <w:rPr>
          <w:szCs w:val="22"/>
        </w:rPr>
        <w:t xml:space="preserve">, </w:t>
      </w:r>
      <m:oMath>
        <m:sSub>
          <m:sSubPr>
            <m:ctrlPr>
              <w:rPr>
                <w:rFonts w:ascii="Cambria Math" w:hAnsi="Cambria Math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ex</m:t>
            </m:r>
          </m:sub>
        </m:sSub>
      </m:oMath>
      <w:r w:rsidR="001D1B54">
        <w:rPr>
          <w:szCs w:val="22"/>
        </w:rPr>
        <w:t xml:space="preserve">, </w:t>
      </w:r>
      <m:oMath>
        <m:sSub>
          <m:sSubPr>
            <m:ctrlPr>
              <w:rPr>
                <w:rFonts w:ascii="Cambria Math" w:hAnsi="Cambria Math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</w:rPr>
              <m:t>R'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bx</m:t>
            </m:r>
          </m:sub>
        </m:sSub>
      </m:oMath>
      <w:r w:rsidR="001D1B54">
        <w:rPr>
          <w:szCs w:val="22"/>
        </w:rPr>
        <w:t xml:space="preserve"> </w:t>
      </w:r>
      <w:r w:rsidR="00A641A8">
        <w:rPr>
          <w:szCs w:val="22"/>
        </w:rPr>
        <w:t>represent</w:t>
      </w:r>
      <w:r w:rsidR="001D1B54">
        <w:rPr>
          <w:szCs w:val="22"/>
        </w:rPr>
        <w:t xml:space="preserve"> </w:t>
      </w:r>
      <w:r w:rsidR="00A641A8">
        <w:rPr>
          <w:szCs w:val="22"/>
        </w:rPr>
        <w:t xml:space="preserve">the </w:t>
      </w:r>
      <w:r w:rsidR="001D1B54">
        <w:rPr>
          <w:szCs w:val="22"/>
        </w:rPr>
        <w:t>enhancement reference and up-sampled</w:t>
      </w:r>
      <w:r>
        <w:rPr>
          <w:szCs w:val="22"/>
        </w:rPr>
        <w:t xml:space="preserve"> (if necessary)</w:t>
      </w:r>
      <w:r w:rsidR="001D1B54">
        <w:rPr>
          <w:szCs w:val="22"/>
        </w:rPr>
        <w:t xml:space="preserve"> base reference</w:t>
      </w:r>
      <w:r w:rsidR="00A641A8">
        <w:rPr>
          <w:szCs w:val="22"/>
        </w:rPr>
        <w:t xml:space="preserve"> indicated by the motion information (reference index) mapped from collocated base layer</w:t>
      </w:r>
      <w:r w:rsidR="00AC6147">
        <w:rPr>
          <w:szCs w:val="22"/>
        </w:rPr>
        <w:t>, the subscript x denote</w:t>
      </w:r>
      <w:r w:rsidR="003317DC">
        <w:rPr>
          <w:szCs w:val="22"/>
        </w:rPr>
        <w:t>s</w:t>
      </w:r>
      <w:r w:rsidR="00AC6147">
        <w:rPr>
          <w:szCs w:val="22"/>
        </w:rPr>
        <w:t xml:space="preserve"> reference list</w:t>
      </w:r>
      <w:r w:rsidR="001D1B54">
        <w:rPr>
          <w:szCs w:val="22"/>
        </w:rPr>
        <w:t xml:space="preserve">, respectively. The </w:t>
      </w:r>
      <w:r>
        <w:rPr>
          <w:szCs w:val="22"/>
        </w:rPr>
        <w:t xml:space="preserve">related </w:t>
      </w:r>
      <w:r w:rsidR="001D1B54">
        <w:rPr>
          <w:szCs w:val="22"/>
        </w:rPr>
        <w:t xml:space="preserve">block in </w:t>
      </w:r>
      <w:proofErr w:type="spellStart"/>
      <w:r w:rsidR="001D1B54">
        <w:rPr>
          <w:szCs w:val="22"/>
        </w:rPr>
        <w:t>GRP</w:t>
      </w:r>
      <w:r>
        <w:rPr>
          <w:szCs w:val="22"/>
        </w:rPr>
        <w:t>Ref</w:t>
      </w:r>
      <w:proofErr w:type="spellEnd"/>
      <w:r w:rsidR="001D1B54">
        <w:rPr>
          <w:szCs w:val="22"/>
        </w:rPr>
        <w:t xml:space="preserve"> reference </w:t>
      </w:r>
      <w:r w:rsidR="00A641A8">
        <w:rPr>
          <w:szCs w:val="22"/>
        </w:rPr>
        <w:t>is</w:t>
      </w:r>
      <w:r w:rsidR="001D1B54">
        <w:rPr>
          <w:szCs w:val="22"/>
        </w:rPr>
        <w:t xml:space="preserve"> generated as in (1)</w:t>
      </w:r>
      <w:r>
        <w:rPr>
          <w:szCs w:val="22"/>
        </w:rPr>
        <w:t xml:space="preserve"> for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>-directional prediction and (2) for bi-directional prediction</w:t>
      </w:r>
      <w:r w:rsidR="001D1B54">
        <w:rPr>
          <w:szCs w:val="22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1D1B54" w:rsidRPr="001A15CF" w:rsidTr="00874F8C">
        <w:tc>
          <w:tcPr>
            <w:tcW w:w="750" w:type="pct"/>
          </w:tcPr>
          <w:p w:rsidR="001D1B54" w:rsidRPr="001A15CF" w:rsidRDefault="001D1B54" w:rsidP="00874F8C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1D1B54" w:rsidRPr="001A15CF" w:rsidRDefault="001D5FEB" w:rsidP="00874F8C">
            <w:pPr>
              <w:spacing w:before="120"/>
              <w:ind w:left="360"/>
              <w:jc w:val="center"/>
              <w:rPr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GRP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=B+</m:t>
              </m:r>
              <m:r>
                <w:rPr>
                  <w:rFonts w:ascii="Cambria Math" w:hAnsi="Cambria Math"/>
                  <w:szCs w:val="22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V'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e0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</w:rPr>
                            <m:t>R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</w:rPr>
                            <m:t>'</m:t>
                          </m:r>
                        </m:sup>
                      </m:sSup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b0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,</m:t>
              </m:r>
            </m:oMath>
            <w:r w:rsidR="001D1B54" w:rsidRPr="001A15CF">
              <w:rPr>
                <w:szCs w:val="22"/>
              </w:rPr>
              <w:t xml:space="preserve"> </w:t>
            </w:r>
          </w:p>
        </w:tc>
        <w:tc>
          <w:tcPr>
            <w:tcW w:w="750" w:type="pct"/>
          </w:tcPr>
          <w:p w:rsidR="001D1B54" w:rsidRPr="00AC6147" w:rsidRDefault="00AC6147" w:rsidP="00AC6147">
            <w:pPr>
              <w:spacing w:before="120"/>
              <w:jc w:val="right"/>
            </w:pPr>
            <w:r>
              <w:t>(1)</w:t>
            </w:r>
          </w:p>
        </w:tc>
      </w:tr>
      <w:tr w:rsidR="00AC6147" w:rsidRPr="001A15CF" w:rsidTr="00AC6147">
        <w:tc>
          <w:tcPr>
            <w:tcW w:w="750" w:type="pct"/>
          </w:tcPr>
          <w:p w:rsidR="00AC6147" w:rsidRPr="001A15CF" w:rsidRDefault="00AC6147" w:rsidP="00874F8C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AC6147" w:rsidRPr="001A15CF" w:rsidRDefault="001D5FEB" w:rsidP="00AC6147">
            <w:pPr>
              <w:spacing w:before="120"/>
              <w:ind w:left="360"/>
              <w:jc w:val="center"/>
              <w:rPr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GRP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=B+(</m:t>
              </m:r>
              <m:r>
                <w:rPr>
                  <w:rFonts w:ascii="Cambria Math" w:hAnsi="Cambria Math"/>
                  <w:szCs w:val="22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V'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e0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</w:rPr>
                            <m:t>R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</w:rPr>
                            <m:t>'</m:t>
                          </m:r>
                        </m:sup>
                      </m:sSup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b0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Cs w:val="22"/>
                </w:rPr>
                <m:t>+M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V'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e1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</w:rPr>
                            <m:t>R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</w:rPr>
                            <m:t>'</m:t>
                          </m:r>
                        </m:sup>
                      </m:sSup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b1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Cs w:val="22"/>
                </w:rPr>
                <m:t>+1)/2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,</m:t>
              </m:r>
            </m:oMath>
            <w:r w:rsidR="00AC6147" w:rsidRPr="001A15CF">
              <w:rPr>
                <w:szCs w:val="22"/>
              </w:rPr>
              <w:t xml:space="preserve"> </w:t>
            </w:r>
          </w:p>
        </w:tc>
        <w:tc>
          <w:tcPr>
            <w:tcW w:w="750" w:type="pct"/>
          </w:tcPr>
          <w:p w:rsidR="00AC6147" w:rsidRPr="00AC6147" w:rsidRDefault="00AC6147" w:rsidP="00874F8C">
            <w:pPr>
              <w:spacing w:before="120"/>
              <w:jc w:val="right"/>
            </w:pPr>
            <w:r>
              <w:t>(2)</w:t>
            </w:r>
          </w:p>
        </w:tc>
      </w:tr>
    </w:tbl>
    <w:p w:rsidR="001D1B54" w:rsidRDefault="001D1B54" w:rsidP="001D1B54">
      <w:pPr>
        <w:rPr>
          <w:szCs w:val="22"/>
        </w:rPr>
      </w:pPr>
      <w:proofErr w:type="gramStart"/>
      <w:r>
        <w:t>where</w:t>
      </w:r>
      <w:proofErr w:type="gramEnd"/>
      <w:r>
        <w:t xml:space="preserve"> </w:t>
      </w:r>
      <m:oMath>
        <m:r>
          <w:rPr>
            <w:rFonts w:ascii="Cambria Math" w:hAnsi="Cambria Math"/>
            <w:szCs w:val="22"/>
          </w:rPr>
          <m:t>M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V'</m:t>
            </m:r>
          </m:e>
          <m:sub>
            <m:r>
              <w:rPr>
                <w:rFonts w:ascii="Cambria Math" w:hAnsi="Cambria Math"/>
                <w:szCs w:val="22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Cs w:val="22"/>
          </w:rPr>
          <m:t>(R)</m:t>
        </m:r>
      </m:oMath>
      <w:r>
        <w:rPr>
          <w:szCs w:val="22"/>
        </w:rPr>
        <w:t xml:space="preserve"> indicates the reference block in reference R with </w:t>
      </w:r>
      <w:r w:rsidR="000624E9">
        <w:rPr>
          <w:szCs w:val="22"/>
        </w:rPr>
        <w:t xml:space="preserve">rounded </w:t>
      </w:r>
      <w:r>
        <w:rPr>
          <w:szCs w:val="22"/>
        </w:rPr>
        <w:t xml:space="preserve">motion vector </w:t>
      </w:r>
      <m:oMath>
        <m:sSub>
          <m:sSubPr>
            <m:ctrlPr>
              <w:rPr>
                <w:rFonts w:ascii="Cambria Math" w:hAnsi="Cambria Math"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MV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x</m:t>
            </m:r>
          </m:sub>
        </m:sSub>
        <m:r>
          <w:rPr>
            <w:rFonts w:ascii="Cambria Math" w:hAnsi="Cambria Math"/>
            <w:szCs w:val="22"/>
          </w:rPr>
          <m:t>'</m:t>
        </m:r>
      </m:oMath>
      <w:r>
        <w:rPr>
          <w:szCs w:val="22"/>
        </w:rPr>
        <w:t>.</w:t>
      </w:r>
    </w:p>
    <w:p w:rsidR="00874F8C" w:rsidRDefault="00874F8C" w:rsidP="00874F8C">
      <w:pPr>
        <w:jc w:val="both"/>
        <w:rPr>
          <w:szCs w:val="22"/>
        </w:rPr>
      </w:pPr>
      <w:r>
        <w:rPr>
          <w:szCs w:val="22"/>
        </w:rPr>
        <w:t xml:space="preserve">To avoid sub-pixel motion compensation interpolation, </w:t>
      </w:r>
      <w:r w:rsidR="000624E9">
        <w:rPr>
          <w:szCs w:val="22"/>
        </w:rPr>
        <w:t xml:space="preserve">mapped </w:t>
      </w:r>
      <w:r>
        <w:rPr>
          <w:szCs w:val="22"/>
        </w:rPr>
        <w:t xml:space="preserve">motion vector </w:t>
      </w:r>
      <m:oMath>
        <m:r>
          <w:rPr>
            <w:rFonts w:ascii="Cambria Math" w:hAnsi="Cambria Math"/>
            <w:szCs w:val="22"/>
          </w:rPr>
          <m:t>M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V</m:t>
            </m:r>
          </m:e>
          <m:sub>
            <m:r>
              <w:rPr>
                <w:rFonts w:ascii="Cambria Math" w:hAnsi="Cambria Math"/>
                <w:szCs w:val="22"/>
              </w:rPr>
              <m:t>0</m:t>
            </m:r>
          </m:sub>
        </m:sSub>
      </m:oMath>
      <w:r>
        <w:rPr>
          <w:szCs w:val="22"/>
        </w:rPr>
        <w:t xml:space="preserve"> </w:t>
      </w:r>
      <w:r w:rsidR="000624E9">
        <w:rPr>
          <w:szCs w:val="22"/>
        </w:rPr>
        <w:t xml:space="preserve">and </w:t>
      </w:r>
      <m:oMath>
        <m:r>
          <w:rPr>
            <w:rFonts w:ascii="Cambria Math" w:hAnsi="Cambria Math"/>
            <w:szCs w:val="22"/>
          </w:rPr>
          <m:t>M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V</m:t>
            </m:r>
          </m:e>
          <m:sub>
            <m:r>
              <w:rPr>
                <w:rFonts w:ascii="Cambria Math" w:hAnsi="Cambria Math"/>
                <w:szCs w:val="22"/>
              </w:rPr>
              <m:t>1</m:t>
            </m:r>
          </m:sub>
        </m:sSub>
      </m:oMath>
      <w:r w:rsidR="000624E9">
        <w:rPr>
          <w:szCs w:val="22"/>
        </w:rPr>
        <w:t xml:space="preserve"> of the 16x16 block are</w:t>
      </w:r>
      <w:r>
        <w:rPr>
          <w:szCs w:val="22"/>
        </w:rPr>
        <w:t xml:space="preserve"> rounded as in (3) for luma component and (4) for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components</w:t>
      </w:r>
      <w:r w:rsidR="000624E9">
        <w:rPr>
          <w:szCs w:val="22"/>
        </w:rPr>
        <w:t>, respectively</w:t>
      </w:r>
      <w:r>
        <w:rPr>
          <w:szCs w:val="22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874F8C" w:rsidRPr="001A15CF" w:rsidTr="00874F8C">
        <w:tc>
          <w:tcPr>
            <w:tcW w:w="750" w:type="pct"/>
          </w:tcPr>
          <w:p w:rsidR="00874F8C" w:rsidRPr="001A15CF" w:rsidRDefault="00874F8C" w:rsidP="00874F8C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874F8C" w:rsidRPr="001A15CF" w:rsidRDefault="000624E9" w:rsidP="000624E9">
            <w:pPr>
              <w:spacing w:before="120"/>
              <w:ind w:left="360"/>
              <w:jc w:val="center"/>
              <w:rPr>
                <w:szCs w:val="22"/>
              </w:rPr>
            </w:pPr>
            <m:oMath>
              <m:r>
                <w:rPr>
                  <w:rFonts w:ascii="Cambria Math" w:hAnsi="Cambria Math"/>
                  <w:szCs w:val="22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2"/>
                    </w:rPr>
                    <m:t>+4</m:t>
                  </m:r>
                </m:e>
              </m:d>
              <m:r>
                <w:rPr>
                  <w:rFonts w:ascii="Cambria Math" w:hAnsi="Cambria Math"/>
                  <w:szCs w:val="22"/>
                </w:rPr>
                <m:t>&amp;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0xFFFFFFFC</m:t>
              </m:r>
            </m:oMath>
            <w:r w:rsidR="00874F8C" w:rsidRPr="001A15CF">
              <w:rPr>
                <w:szCs w:val="22"/>
              </w:rPr>
              <w:t xml:space="preserve"> </w:t>
            </w:r>
          </w:p>
        </w:tc>
        <w:tc>
          <w:tcPr>
            <w:tcW w:w="750" w:type="pct"/>
          </w:tcPr>
          <w:p w:rsidR="00874F8C" w:rsidRPr="00AC6147" w:rsidRDefault="00874F8C" w:rsidP="00874F8C">
            <w:pPr>
              <w:spacing w:before="120"/>
              <w:jc w:val="right"/>
            </w:pPr>
            <w:r>
              <w:t>(3)</w:t>
            </w:r>
          </w:p>
        </w:tc>
      </w:tr>
      <w:tr w:rsidR="00874F8C" w:rsidRPr="001A15CF" w:rsidTr="00874F8C">
        <w:tc>
          <w:tcPr>
            <w:tcW w:w="750" w:type="pct"/>
          </w:tcPr>
          <w:p w:rsidR="00874F8C" w:rsidRPr="001A15CF" w:rsidRDefault="00874F8C" w:rsidP="00874F8C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874F8C" w:rsidRPr="001A15CF" w:rsidRDefault="000624E9" w:rsidP="00874F8C">
            <w:pPr>
              <w:spacing w:before="120"/>
              <w:ind w:left="360"/>
              <w:jc w:val="center"/>
              <w:rPr>
                <w:szCs w:val="22"/>
              </w:rPr>
            </w:pPr>
            <m:oMath>
              <m:r>
                <w:rPr>
                  <w:rFonts w:ascii="Cambria Math" w:hAnsi="Cambria Math"/>
                  <w:szCs w:val="22"/>
                </w:rPr>
                <m:t>M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Cs w:val="22"/>
                    </w:rPr>
                    <m:t>+8</m:t>
                  </m:r>
                </m:e>
              </m:d>
              <m:r>
                <w:rPr>
                  <w:rFonts w:ascii="Cambria Math" w:hAnsi="Cambria Math"/>
                  <w:szCs w:val="22"/>
                </w:rPr>
                <m:t>&amp;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0xFFFFFFF8,</m:t>
              </m:r>
            </m:oMath>
            <w:r w:rsidR="00874F8C" w:rsidRPr="001A15CF">
              <w:rPr>
                <w:szCs w:val="22"/>
              </w:rPr>
              <w:t xml:space="preserve"> </w:t>
            </w:r>
          </w:p>
        </w:tc>
        <w:tc>
          <w:tcPr>
            <w:tcW w:w="750" w:type="pct"/>
          </w:tcPr>
          <w:p w:rsidR="00874F8C" w:rsidRPr="00AC6147" w:rsidRDefault="00874F8C" w:rsidP="00874F8C">
            <w:pPr>
              <w:spacing w:before="120"/>
              <w:jc w:val="right"/>
            </w:pPr>
            <w:r>
              <w:t>(4)</w:t>
            </w:r>
          </w:p>
        </w:tc>
      </w:tr>
    </w:tbl>
    <w:p w:rsidR="000624E9" w:rsidRDefault="00A641A8" w:rsidP="001D1B54">
      <w:pPr>
        <w:jc w:val="both"/>
        <w:rPr>
          <w:szCs w:val="22"/>
        </w:rPr>
      </w:pPr>
      <w:proofErr w:type="gramStart"/>
      <w:r>
        <w:rPr>
          <w:szCs w:val="22"/>
        </w:rPr>
        <w:t>w</w:t>
      </w:r>
      <w:r w:rsidR="000624E9">
        <w:rPr>
          <w:szCs w:val="22"/>
        </w:rPr>
        <w:t>here</w:t>
      </w:r>
      <w:proofErr w:type="gramEnd"/>
      <w:r w:rsidR="000624E9">
        <w:rPr>
          <w:szCs w:val="22"/>
        </w:rPr>
        <w:t xml:space="preserve"> “&amp;” indicate </w:t>
      </w:r>
      <w:r w:rsidR="00D26D27">
        <w:rPr>
          <w:szCs w:val="22"/>
        </w:rPr>
        <w:t>bitwise operation “and”.</w:t>
      </w:r>
    </w:p>
    <w:p w:rsidR="001D1B54" w:rsidRPr="00BA540F" w:rsidRDefault="001D1B54" w:rsidP="001D1B54">
      <w:pPr>
        <w:jc w:val="both"/>
      </w:pPr>
      <w:r>
        <w:rPr>
          <w:szCs w:val="22"/>
        </w:rPr>
        <w:t xml:space="preserve">The generated </w:t>
      </w:r>
      <w:proofErr w:type="spellStart"/>
      <w:r w:rsidR="00AC6147">
        <w:rPr>
          <w:szCs w:val="22"/>
        </w:rPr>
        <w:t>GRPRef</w:t>
      </w:r>
      <w:proofErr w:type="spellEnd"/>
      <w:r>
        <w:rPr>
          <w:szCs w:val="22"/>
        </w:rPr>
        <w:t xml:space="preserve"> shares the same POC as that of the collocated base picture.</w:t>
      </w:r>
    </w:p>
    <w:p w:rsidR="001D1B54" w:rsidRDefault="001D1B54" w:rsidP="001D1B54">
      <w:pPr>
        <w:pStyle w:val="Heading2"/>
        <w:rPr>
          <w:lang w:val="en-CA"/>
        </w:rPr>
      </w:pPr>
      <w:r>
        <w:rPr>
          <w:lang w:val="en-CA"/>
        </w:rPr>
        <w:t>Reference picture list construction</w:t>
      </w:r>
    </w:p>
    <w:p w:rsidR="001D1B54" w:rsidRPr="002775D8" w:rsidRDefault="001D1B54" w:rsidP="001D1B54">
      <w:pPr>
        <w:jc w:val="both"/>
        <w:rPr>
          <w:lang w:val="en-CA"/>
        </w:rPr>
      </w:pPr>
      <w:r>
        <w:rPr>
          <w:lang w:val="en-CA"/>
        </w:rPr>
        <w:t xml:space="preserve">The generated </w:t>
      </w:r>
      <w:proofErr w:type="spellStart"/>
      <w:r w:rsidR="00D26D27">
        <w:rPr>
          <w:lang w:val="en-CA"/>
        </w:rPr>
        <w:t>GRPRef</w:t>
      </w:r>
      <w:proofErr w:type="spellEnd"/>
      <w:r>
        <w:rPr>
          <w:lang w:val="en-CA"/>
        </w:rPr>
        <w:t xml:space="preserve"> is marked as </w:t>
      </w:r>
      <w:r w:rsidR="00D26D27">
        <w:rPr>
          <w:lang w:val="en-CA"/>
        </w:rPr>
        <w:t>long</w:t>
      </w:r>
      <w:r>
        <w:rPr>
          <w:lang w:val="en-CA"/>
        </w:rPr>
        <w:t xml:space="preserve">-term reference and </w:t>
      </w:r>
      <w:r w:rsidR="002D73E8">
        <w:rPr>
          <w:lang w:val="en-CA"/>
        </w:rPr>
        <w:t xml:space="preserve">added </w:t>
      </w:r>
      <w:r>
        <w:rPr>
          <w:lang w:val="en-CA"/>
        </w:rPr>
        <w:t xml:space="preserve">into the reference list of enhancement layer. Generally, </w:t>
      </w:r>
      <w:proofErr w:type="spellStart"/>
      <w:r w:rsidR="00D26D27">
        <w:rPr>
          <w:lang w:val="en-CA"/>
        </w:rPr>
        <w:t>GRPRef</w:t>
      </w:r>
      <w:proofErr w:type="spellEnd"/>
      <w:r>
        <w:rPr>
          <w:lang w:val="en-CA"/>
        </w:rPr>
        <w:t xml:space="preserve"> picture may be put to any position of a list. In the current implementation, it is put as the </w:t>
      </w:r>
      <w:r w:rsidR="00D26D27">
        <w:rPr>
          <w:lang w:val="en-CA"/>
        </w:rPr>
        <w:t>last</w:t>
      </w:r>
      <w:r>
        <w:rPr>
          <w:lang w:val="en-CA"/>
        </w:rPr>
        <w:t xml:space="preserve"> entry of each list by default.</w:t>
      </w:r>
    </w:p>
    <w:p w:rsidR="001D1B54" w:rsidRDefault="001D1B54" w:rsidP="001D1B54">
      <w:pPr>
        <w:pStyle w:val="Heading2"/>
        <w:rPr>
          <w:lang w:val="en-CA"/>
        </w:rPr>
      </w:pPr>
      <w:bookmarkStart w:id="0" w:name="_Ref361404980"/>
      <w:r>
        <w:rPr>
          <w:lang w:val="en-CA"/>
        </w:rPr>
        <w:t xml:space="preserve">Combination of </w:t>
      </w:r>
      <w:proofErr w:type="spellStart"/>
      <w:r w:rsidR="00D26D27">
        <w:rPr>
          <w:lang w:val="en-CA"/>
        </w:rPr>
        <w:t>GRPRef</w:t>
      </w:r>
      <w:proofErr w:type="spellEnd"/>
      <w:r>
        <w:rPr>
          <w:lang w:val="en-CA"/>
        </w:rPr>
        <w:t xml:space="preserve"> and other references</w:t>
      </w:r>
      <w:bookmarkEnd w:id="0"/>
    </w:p>
    <w:p w:rsidR="00D26D27" w:rsidRDefault="00D26D27" w:rsidP="001D1B54">
      <w:pPr>
        <w:jc w:val="both"/>
        <w:rPr>
          <w:lang w:val="en-CA"/>
        </w:rPr>
      </w:pPr>
      <w:r>
        <w:rPr>
          <w:lang w:val="en-CA"/>
        </w:rPr>
        <w:t xml:space="preserve">As </w:t>
      </w:r>
      <w:r w:rsidR="00EB6527">
        <w:rPr>
          <w:lang w:val="en-CA"/>
        </w:rPr>
        <w:t xml:space="preserve">an </w:t>
      </w:r>
      <w:r>
        <w:rPr>
          <w:lang w:val="en-CA"/>
        </w:rPr>
        <w:t>inter-layer reference picture, the</w:t>
      </w:r>
      <w:r w:rsidR="001D1B54">
        <w:rPr>
          <w:lang w:val="en-CA"/>
        </w:rPr>
        <w:t xml:space="preserve"> generated </w:t>
      </w:r>
      <w:proofErr w:type="spellStart"/>
      <w:r>
        <w:rPr>
          <w:lang w:val="en-CA"/>
        </w:rPr>
        <w:t>GRPRef</w:t>
      </w:r>
      <w:proofErr w:type="spellEnd"/>
      <w:r w:rsidR="001D1B54">
        <w:rPr>
          <w:lang w:val="en-CA"/>
        </w:rPr>
        <w:t xml:space="preserve"> </w:t>
      </w:r>
      <w:r>
        <w:rPr>
          <w:lang w:val="en-CA"/>
        </w:rPr>
        <w:t>is marked as</w:t>
      </w:r>
      <w:r w:rsidR="001D1B54">
        <w:rPr>
          <w:lang w:val="en-CA"/>
        </w:rPr>
        <w:t xml:space="preserve"> </w:t>
      </w:r>
      <w:r>
        <w:rPr>
          <w:lang w:val="en-CA"/>
        </w:rPr>
        <w:t>long</w:t>
      </w:r>
      <w:r w:rsidR="001D1B54">
        <w:rPr>
          <w:lang w:val="en-CA"/>
        </w:rPr>
        <w:t xml:space="preserve">-term reference picture. </w:t>
      </w:r>
      <w:r>
        <w:rPr>
          <w:lang w:val="en-CA"/>
        </w:rPr>
        <w:t xml:space="preserve">According to SHVC constraint, motion vector on </w:t>
      </w:r>
      <w:proofErr w:type="spellStart"/>
      <w:r>
        <w:rPr>
          <w:lang w:val="en-CA"/>
        </w:rPr>
        <w:t>GRPRef</w:t>
      </w:r>
      <w:proofErr w:type="spellEnd"/>
      <w:r>
        <w:rPr>
          <w:lang w:val="en-CA"/>
        </w:rPr>
        <w:t xml:space="preserve"> shall be always zero. </w:t>
      </w:r>
    </w:p>
    <w:p w:rsidR="001D1B54" w:rsidRDefault="001D1B54" w:rsidP="001D1B54">
      <w:pPr>
        <w:jc w:val="both"/>
        <w:rPr>
          <w:lang w:val="en-CA"/>
        </w:rPr>
      </w:pPr>
      <w:r>
        <w:rPr>
          <w:lang w:val="en-CA"/>
        </w:rPr>
        <w:t>In total, there are three possible combinations</w:t>
      </w:r>
      <w:r w:rsidR="00D26D27">
        <w:rPr>
          <w:lang w:val="en-CA"/>
        </w:rPr>
        <w:t xml:space="preserve"> of inter-picture prediction on </w:t>
      </w:r>
      <w:proofErr w:type="spellStart"/>
      <w:r w:rsidR="00D26D27">
        <w:rPr>
          <w:lang w:val="en-CA"/>
        </w:rPr>
        <w:t>GRPRef</w:t>
      </w:r>
      <w:proofErr w:type="spellEnd"/>
      <w:r>
        <w:rPr>
          <w:lang w:val="en-CA"/>
        </w:rPr>
        <w:t>.</w:t>
      </w:r>
    </w:p>
    <w:p w:rsidR="001D1B54" w:rsidRDefault="001D1B54" w:rsidP="001D1B54">
      <w:pPr>
        <w:pStyle w:val="Heading3"/>
        <w:rPr>
          <w:lang w:val="en-CA"/>
        </w:rPr>
      </w:pPr>
      <w:proofErr w:type="spellStart"/>
      <w:r>
        <w:rPr>
          <w:lang w:val="en-CA"/>
        </w:rPr>
        <w:t>Uni</w:t>
      </w:r>
      <w:proofErr w:type="spellEnd"/>
      <w:r>
        <w:rPr>
          <w:lang w:val="en-CA"/>
        </w:rPr>
        <w:t xml:space="preserve">-directional prediction directly from </w:t>
      </w:r>
      <w:proofErr w:type="spellStart"/>
      <w:r w:rsidR="00D26D27">
        <w:rPr>
          <w:lang w:val="en-CA"/>
        </w:rPr>
        <w:t>GRPRef</w:t>
      </w:r>
      <w:proofErr w:type="spellEnd"/>
    </w:p>
    <w:p w:rsidR="001D1B54" w:rsidRDefault="001D1B54" w:rsidP="001D1B54">
      <w:pPr>
        <w:rPr>
          <w:lang w:val="en-CA"/>
        </w:rPr>
      </w:pPr>
      <w:r>
        <w:rPr>
          <w:lang w:val="en-CA"/>
        </w:rPr>
        <w:t xml:space="preserve">In this case, the prediction </w:t>
      </w:r>
      <m:oMath>
        <m:r>
          <m:rPr>
            <m:sty m:val="p"/>
          </m:rPr>
          <w:rPr>
            <w:rFonts w:ascii="Cambria Math" w:hAnsi="Cambria Math"/>
            <w:szCs w:val="22"/>
          </w:rPr>
          <m:t>P</m:t>
        </m:r>
      </m:oMath>
      <w:r>
        <w:rPr>
          <w:lang w:val="en-CA"/>
        </w:rPr>
        <w:t xml:space="preserve"> is 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1D1B54" w:rsidRPr="001A15CF" w:rsidTr="00874F8C">
        <w:tc>
          <w:tcPr>
            <w:tcW w:w="750" w:type="pct"/>
          </w:tcPr>
          <w:p w:rsidR="001D1B54" w:rsidRPr="001A15CF" w:rsidRDefault="001D1B54" w:rsidP="00874F8C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1D1B54" w:rsidRPr="00907F9F" w:rsidRDefault="00907F9F" w:rsidP="00D26D27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P</m:t>
                </m:r>
                <m:r>
                  <w:rPr>
                    <w:rFonts w:ascii="Cambria Math" w:hAnsi="Cambria Math"/>
                    <w:szCs w:val="22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GRP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=B+</m:t>
                </m:r>
                <m:r>
                  <w:rPr>
                    <w:rFonts w:ascii="Cambria Math" w:hAnsi="Cambria Math"/>
                    <w:szCs w:val="22"/>
                  </w:rPr>
                  <m:t>MV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e0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R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'</m:t>
                            </m:r>
                          </m:sup>
                        </m:sSup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b0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50" w:type="pct"/>
          </w:tcPr>
          <w:p w:rsidR="001D1B54" w:rsidRPr="00D26D27" w:rsidRDefault="00D26D27" w:rsidP="00D26D27">
            <w:pPr>
              <w:spacing w:before="120"/>
              <w:ind w:left="360"/>
              <w:jc w:val="right"/>
            </w:pPr>
            <w:r>
              <w:t>(5)</w:t>
            </w:r>
          </w:p>
        </w:tc>
      </w:tr>
    </w:tbl>
    <w:p w:rsidR="001D1B54" w:rsidRPr="002775D8" w:rsidRDefault="001D1B54" w:rsidP="001D1B54">
      <w:r>
        <w:rPr>
          <w:szCs w:val="22"/>
        </w:rPr>
        <w:t>(</w:t>
      </w:r>
      <w:r w:rsidR="00D26D27">
        <w:rPr>
          <w:szCs w:val="22"/>
        </w:rPr>
        <w:t>5</w:t>
      </w:r>
      <w:r>
        <w:rPr>
          <w:szCs w:val="22"/>
        </w:rPr>
        <w:t xml:space="preserve">) </w:t>
      </w:r>
      <w:proofErr w:type="gramStart"/>
      <w:r>
        <w:rPr>
          <w:szCs w:val="22"/>
        </w:rPr>
        <w:t>actually</w:t>
      </w:r>
      <w:proofErr w:type="gramEnd"/>
      <w:r>
        <w:rPr>
          <w:szCs w:val="22"/>
        </w:rPr>
        <w:t xml:space="preserve"> mimics the GRP mode res-1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_Ref353019730 \r \h </w:instrText>
      </w:r>
      <w:r>
        <w:rPr>
          <w:szCs w:val="22"/>
        </w:rPr>
      </w:r>
      <w:r>
        <w:rPr>
          <w:szCs w:val="22"/>
        </w:rPr>
        <w:fldChar w:fldCharType="separate"/>
      </w:r>
      <w:r w:rsidR="00D26D27">
        <w:rPr>
          <w:szCs w:val="22"/>
        </w:rPr>
        <w:t>[5]</w:t>
      </w:r>
      <w:r>
        <w:rPr>
          <w:szCs w:val="22"/>
        </w:rPr>
        <w:fldChar w:fldCharType="end"/>
      </w:r>
      <w:r>
        <w:rPr>
          <w:szCs w:val="22"/>
        </w:rPr>
        <w:t>.</w:t>
      </w:r>
    </w:p>
    <w:p w:rsidR="001D1B54" w:rsidRDefault="001D1B54" w:rsidP="001D1B54">
      <w:pPr>
        <w:pStyle w:val="Heading3"/>
        <w:rPr>
          <w:lang w:val="en-CA"/>
        </w:rPr>
      </w:pPr>
      <w:r>
        <w:rPr>
          <w:lang w:val="en-CA"/>
        </w:rPr>
        <w:t>Bi-directional prediction with collocated base picture</w:t>
      </w:r>
    </w:p>
    <w:p w:rsidR="001D1B54" w:rsidRDefault="001D1B54" w:rsidP="001D1B54">
      <w:pPr>
        <w:rPr>
          <w:lang w:val="en-CA"/>
        </w:rPr>
      </w:pPr>
      <w:r>
        <w:rPr>
          <w:lang w:val="en-CA"/>
        </w:rPr>
        <w:t xml:space="preserve">In this case, the prediction </w:t>
      </w:r>
      <m:oMath>
        <m:r>
          <m:rPr>
            <m:sty m:val="p"/>
          </m:rPr>
          <w:rPr>
            <w:rFonts w:ascii="Cambria Math" w:hAnsi="Cambria Math"/>
            <w:szCs w:val="22"/>
          </w:rPr>
          <m:t>P</m:t>
        </m:r>
      </m:oMath>
      <w:r>
        <w:rPr>
          <w:lang w:val="en-CA"/>
        </w:rPr>
        <w:t xml:space="preserve"> is 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1D1B54" w:rsidRPr="001A15CF" w:rsidTr="00874F8C">
        <w:tc>
          <w:tcPr>
            <w:tcW w:w="750" w:type="pct"/>
          </w:tcPr>
          <w:p w:rsidR="001D1B54" w:rsidRPr="001A15CF" w:rsidRDefault="001D1B54" w:rsidP="00874F8C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1D1B54" w:rsidRPr="00907F9F" w:rsidRDefault="00907F9F" w:rsidP="00D26D27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P</m:t>
                </m:r>
                <m:r>
                  <w:rPr>
                    <w:rFonts w:ascii="Cambria Math" w:hAnsi="Cambria Math"/>
                    <w:szCs w:val="22"/>
                  </w:rPr>
                  <m:t>=(</m:t>
                </m:r>
                <m:sSub>
                  <m:sSub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GRP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+B)/2=(B+</m:t>
                </m:r>
                <m:r>
                  <w:rPr>
                    <w:rFonts w:ascii="Cambria Math" w:hAnsi="Cambria Math"/>
                    <w:szCs w:val="22"/>
                  </w:rPr>
                  <m:t>MV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e0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R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'</m:t>
                            </m:r>
                          </m:sup>
                        </m:sSup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b0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Cs w:val="22"/>
                  </w:rPr>
                  <m:t>)+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B</m:t>
                </m:r>
                <m:r>
                  <w:rPr>
                    <w:rFonts w:ascii="Cambria Math" w:hAnsi="Cambria Math"/>
                    <w:szCs w:val="22"/>
                  </w:rPr>
                  <m:t>)/2=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B+</m:t>
                </m:r>
                <m:r>
                  <w:rPr>
                    <w:rFonts w:ascii="Cambria Math" w:hAnsi="Cambria Math"/>
                    <w:szCs w:val="22"/>
                  </w:rPr>
                  <m:t>MV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e0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R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'</m:t>
                            </m:r>
                          </m:sup>
                        </m:sSup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b0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Cs w:val="22"/>
                  </w:rPr>
                  <m:t>/2</m:t>
                </m:r>
              </m:oMath>
            </m:oMathPara>
          </w:p>
        </w:tc>
        <w:tc>
          <w:tcPr>
            <w:tcW w:w="750" w:type="pct"/>
          </w:tcPr>
          <w:p w:rsidR="001D1B54" w:rsidRPr="00D26D27" w:rsidRDefault="00D26D27" w:rsidP="00D26D27">
            <w:pPr>
              <w:spacing w:before="120"/>
              <w:ind w:left="360"/>
              <w:jc w:val="right"/>
            </w:pPr>
            <w:r>
              <w:t>(6)</w:t>
            </w:r>
          </w:p>
        </w:tc>
      </w:tr>
    </w:tbl>
    <w:p w:rsidR="001D1B54" w:rsidRPr="002775D8" w:rsidRDefault="001D1B54" w:rsidP="001D1B54">
      <w:r>
        <w:rPr>
          <w:szCs w:val="22"/>
        </w:rPr>
        <w:t>(</w:t>
      </w:r>
      <w:r w:rsidR="004F27CB">
        <w:rPr>
          <w:szCs w:val="22"/>
        </w:rPr>
        <w:t>6</w:t>
      </w:r>
      <w:r>
        <w:rPr>
          <w:szCs w:val="22"/>
        </w:rPr>
        <w:t xml:space="preserve">) </w:t>
      </w:r>
      <w:proofErr w:type="gramStart"/>
      <w:r>
        <w:rPr>
          <w:szCs w:val="22"/>
        </w:rPr>
        <w:t>actually</w:t>
      </w:r>
      <w:proofErr w:type="gramEnd"/>
      <w:r>
        <w:rPr>
          <w:szCs w:val="22"/>
        </w:rPr>
        <w:t xml:space="preserve"> mimics the GRP mode diff-0.5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_Ref353019730 \r \h </w:instrText>
      </w:r>
      <w:r>
        <w:rPr>
          <w:szCs w:val="22"/>
        </w:rPr>
      </w:r>
      <w:r>
        <w:rPr>
          <w:szCs w:val="22"/>
        </w:rPr>
        <w:fldChar w:fldCharType="separate"/>
      </w:r>
      <w:r w:rsidR="004F27CB">
        <w:rPr>
          <w:szCs w:val="22"/>
        </w:rPr>
        <w:t>[5]</w:t>
      </w:r>
      <w:r>
        <w:rPr>
          <w:szCs w:val="22"/>
        </w:rPr>
        <w:fldChar w:fldCharType="end"/>
      </w:r>
      <w:r>
        <w:rPr>
          <w:szCs w:val="22"/>
        </w:rPr>
        <w:t>.</w:t>
      </w:r>
    </w:p>
    <w:p w:rsidR="001D1B54" w:rsidRPr="002775D8" w:rsidRDefault="001D1B54" w:rsidP="001D1B54">
      <w:pPr>
        <w:pStyle w:val="Heading3"/>
        <w:rPr>
          <w:lang w:val="en-CA"/>
        </w:rPr>
      </w:pPr>
      <w:r>
        <w:rPr>
          <w:lang w:val="en-CA"/>
        </w:rPr>
        <w:t>Bi-directional prediction with an enhancement reference</w:t>
      </w:r>
    </w:p>
    <w:p w:rsidR="001D1B54" w:rsidRDefault="001D1B54" w:rsidP="001D1B54">
      <w:pPr>
        <w:rPr>
          <w:lang w:val="en-CA"/>
        </w:rPr>
      </w:pPr>
      <w:r>
        <w:rPr>
          <w:lang w:val="en-CA"/>
        </w:rPr>
        <w:t xml:space="preserve">In this case, the prediction </w:t>
      </w:r>
      <m:oMath>
        <m:r>
          <m:rPr>
            <m:sty m:val="p"/>
          </m:rPr>
          <w:rPr>
            <w:rFonts w:ascii="Cambria Math" w:hAnsi="Cambria Math"/>
            <w:szCs w:val="22"/>
          </w:rPr>
          <m:t>P</m:t>
        </m:r>
      </m:oMath>
      <w:r>
        <w:rPr>
          <w:lang w:val="en-CA"/>
        </w:rPr>
        <w:t xml:space="preserve"> is 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1D1B54" w:rsidRPr="001A15CF" w:rsidTr="00874F8C">
        <w:tc>
          <w:tcPr>
            <w:tcW w:w="750" w:type="pct"/>
          </w:tcPr>
          <w:p w:rsidR="001D1B54" w:rsidRPr="001A15CF" w:rsidRDefault="001D1B54" w:rsidP="00874F8C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1D1B54" w:rsidRPr="00907F9F" w:rsidRDefault="00907F9F" w:rsidP="004F27CB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P</m:t>
                </m:r>
                <m:r>
                  <w:rPr>
                    <w:rFonts w:ascii="Cambria Math" w:hAnsi="Cambria Math"/>
                    <w:szCs w:val="22"/>
                  </w:rPr>
                  <m:t>=(</m:t>
                </m:r>
                <m:sSub>
                  <m:sSub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GRP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+</m:t>
                </m:r>
                <m:r>
                  <w:rPr>
                    <w:rFonts w:ascii="Cambria Math" w:hAnsi="Cambria Math"/>
                    <w:szCs w:val="22"/>
                  </w:rPr>
                  <m:t>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e1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R</m:t>
                        </m: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e</m:t>
                        </m:r>
                      </m:sub>
                    </m:sSub>
                    <m:ctrlPr>
                      <w:rPr>
                        <w:rFonts w:ascii="Cambria Math" w:hAnsi="Cambria Math"/>
                        <w:szCs w:val="22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)/2</m:t>
                </m:r>
              </m:oMath>
            </m:oMathPara>
          </w:p>
        </w:tc>
        <w:tc>
          <w:tcPr>
            <w:tcW w:w="750" w:type="pct"/>
          </w:tcPr>
          <w:p w:rsidR="001D1B54" w:rsidRPr="004F27CB" w:rsidRDefault="004F27CB" w:rsidP="004F27CB">
            <w:pPr>
              <w:spacing w:before="120"/>
              <w:ind w:left="360"/>
              <w:jc w:val="right"/>
            </w:pPr>
            <w:r>
              <w:t>(7)</w:t>
            </w:r>
          </w:p>
        </w:tc>
      </w:tr>
    </w:tbl>
    <w:p w:rsidR="001D1B54" w:rsidRDefault="001D1B54" w:rsidP="001D1B54">
      <w:pPr>
        <w:rPr>
          <w:szCs w:val="22"/>
        </w:rPr>
      </w:pPr>
      <w:proofErr w:type="gramStart"/>
      <w:r>
        <w:t>where</w:t>
      </w:r>
      <w:proofErr w:type="gramEnd"/>
      <w:r>
        <w:t xml:space="preserve"> </w:t>
      </w:r>
      <m:oMath>
        <m:r>
          <w:rPr>
            <w:rFonts w:ascii="Cambria Math" w:hAnsi="Cambria Math"/>
            <w:szCs w:val="22"/>
          </w:rPr>
          <m:t>M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V</m:t>
            </m:r>
          </m:e>
          <m:sub>
            <m:r>
              <w:rPr>
                <w:rFonts w:ascii="Cambria Math" w:hAnsi="Cambria Math"/>
                <w:szCs w:val="22"/>
              </w:rPr>
              <m:t>e1</m:t>
            </m:r>
          </m:sub>
        </m:sSub>
      </m:oMath>
      <w:r>
        <w:rPr>
          <w:szCs w:val="22"/>
        </w:rPr>
        <w:t xml:space="preserve">indicate the enhancement motion on the enhancement reference </w:t>
      </w:r>
      <m:oMath>
        <m:sSub>
          <m:sSubPr>
            <m:ctrlPr>
              <w:rPr>
                <w:rFonts w:ascii="Cambria Math" w:hAnsi="Cambria Math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2"/>
              </w:rPr>
              <m:t>R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e</m:t>
            </m:r>
          </m:sub>
        </m:sSub>
      </m:oMath>
      <w:r>
        <w:rPr>
          <w:szCs w:val="22"/>
        </w:rPr>
        <w:t xml:space="preserve">. </w:t>
      </w:r>
      <w:proofErr w:type="gramStart"/>
      <w:r>
        <w:rPr>
          <w:szCs w:val="22"/>
        </w:rPr>
        <w:t xml:space="preserve">When </w:t>
      </w:r>
      <w:proofErr w:type="gramEnd"/>
      <m:oMath>
        <m:r>
          <w:rPr>
            <w:rFonts w:ascii="Cambria Math" w:hAnsi="Cambria Math"/>
            <w:szCs w:val="22"/>
          </w:rPr>
          <m:t>M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V</m:t>
            </m:r>
          </m:e>
          <m:sub>
            <m:r>
              <w:rPr>
                <w:rFonts w:ascii="Cambria Math" w:hAnsi="Cambria Math"/>
                <w:szCs w:val="22"/>
              </w:rPr>
              <m:t>e1</m:t>
            </m:r>
          </m:sub>
        </m:sSub>
        <m:r>
          <w:rPr>
            <w:rFonts w:ascii="Cambria Math" w:hAnsi="Cambria Math"/>
            <w:szCs w:val="22"/>
          </w:rPr>
          <m:t>=MV</m:t>
        </m:r>
      </m:oMath>
      <w:r w:rsidR="004F27CB">
        <w:rPr>
          <w:szCs w:val="22"/>
        </w:rPr>
        <w:t>, (7</w:t>
      </w:r>
      <w:r>
        <w:rPr>
          <w:szCs w:val="22"/>
        </w:rPr>
        <w:t xml:space="preserve">) turns to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1D1B54" w:rsidRPr="001A15CF" w:rsidTr="00874F8C">
        <w:tc>
          <w:tcPr>
            <w:tcW w:w="750" w:type="pct"/>
          </w:tcPr>
          <w:p w:rsidR="001D1B54" w:rsidRPr="001A15CF" w:rsidRDefault="001D1B54" w:rsidP="00874F8C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1D1B54" w:rsidRPr="00907F9F" w:rsidRDefault="00907F9F" w:rsidP="00874F8C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P</m:t>
                </m:r>
                <m:r>
                  <w:rPr>
                    <w:rFonts w:ascii="Cambria Math" w:hAnsi="Cambria Math"/>
                    <w:szCs w:val="22"/>
                  </w:rPr>
                  <m:t>=(</m:t>
                </m:r>
                <m:sSub>
                  <m:sSub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GRP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+</m:t>
                </m:r>
                <m:r>
                  <w:rPr>
                    <w:rFonts w:ascii="Cambria Math" w:hAnsi="Cambria Math"/>
                    <w:szCs w:val="22"/>
                  </w:rPr>
                  <m:t>MV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R</m:t>
                        </m: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e</m:t>
                        </m:r>
                      </m:sub>
                    </m:sSub>
                    <m:ctrlPr>
                      <w:rPr>
                        <w:rFonts w:ascii="Cambria Math" w:hAnsi="Cambria Math"/>
                        <w:szCs w:val="22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)/2=(B+</m:t>
                </m:r>
                <m:r>
                  <w:rPr>
                    <w:rFonts w:ascii="Cambria Math" w:hAnsi="Cambria Math"/>
                    <w:szCs w:val="22"/>
                  </w:rPr>
                  <m:t>MV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e0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R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'</m:t>
                            </m:r>
                          </m:sup>
                        </m:sSup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b0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Cs w:val="22"/>
                  </w:rPr>
                  <m:t>)+MV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R</m:t>
                        </m: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e</m:t>
                        </m:r>
                      </m:sub>
                    </m:sSub>
                    <m:ctrlPr>
                      <w:rPr>
                        <w:rFonts w:ascii="Cambria Math" w:hAnsi="Cambria Math"/>
                        <w:szCs w:val="22"/>
                      </w:rPr>
                    </m:ctrlPr>
                  </m:e>
                </m:d>
                <m:r>
                  <w:rPr>
                    <w:rFonts w:ascii="Cambria Math" w:hAnsi="Cambria Math"/>
                    <w:szCs w:val="22"/>
                  </w:rPr>
                  <m:t>)/2</m:t>
                </m:r>
              </m:oMath>
            </m:oMathPara>
          </w:p>
          <w:p w:rsidR="001D1B54" w:rsidRPr="00907F9F" w:rsidRDefault="00907F9F" w:rsidP="00874F8C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>=MV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R</m:t>
                        </m: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e</m:t>
                        </m:r>
                      </m:sub>
                    </m:sSub>
                    <m:ctrlPr>
                      <w:rPr>
                        <w:rFonts w:ascii="Cambria Math" w:hAnsi="Cambria Math"/>
                        <w:szCs w:val="22"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+(B-</m:t>
                </m:r>
                <m:r>
                  <w:rPr>
                    <w:rFonts w:ascii="Cambria Math" w:hAnsi="Cambria Math"/>
                    <w:szCs w:val="22"/>
                  </w:rPr>
                  <m:t>MV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R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'</m:t>
                            </m:r>
                          </m:sup>
                        </m:sSup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b0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Cs w:val="22"/>
                  </w:rPr>
                  <m:t>)/2</m:t>
                </m:r>
              </m:oMath>
            </m:oMathPara>
          </w:p>
        </w:tc>
        <w:tc>
          <w:tcPr>
            <w:tcW w:w="750" w:type="pct"/>
          </w:tcPr>
          <w:p w:rsidR="001D1B54" w:rsidRPr="004F27CB" w:rsidRDefault="004F27CB" w:rsidP="004F27CB">
            <w:pPr>
              <w:spacing w:before="120"/>
              <w:ind w:left="360"/>
              <w:jc w:val="right"/>
            </w:pPr>
            <w:r>
              <w:t>(8)</w:t>
            </w:r>
          </w:p>
        </w:tc>
      </w:tr>
    </w:tbl>
    <w:p w:rsidR="001D1B54" w:rsidRDefault="004F27CB" w:rsidP="001D1B54">
      <w:pPr>
        <w:rPr>
          <w:szCs w:val="22"/>
        </w:rPr>
      </w:pPr>
      <w:r>
        <w:rPr>
          <w:szCs w:val="22"/>
        </w:rPr>
        <w:t xml:space="preserve">That is </w:t>
      </w:r>
      <w:r w:rsidR="001D1B54">
        <w:rPr>
          <w:szCs w:val="22"/>
        </w:rPr>
        <w:t>(</w:t>
      </w:r>
      <w:r w:rsidR="009D2EF5">
        <w:rPr>
          <w:szCs w:val="22"/>
        </w:rPr>
        <w:t>7</w:t>
      </w:r>
      <w:r w:rsidR="001D1B54">
        <w:rPr>
          <w:szCs w:val="22"/>
        </w:rPr>
        <w:t xml:space="preserve">) </w:t>
      </w:r>
      <w:r w:rsidR="009D2EF5">
        <w:rPr>
          <w:szCs w:val="22"/>
        </w:rPr>
        <w:t>is able to</w:t>
      </w:r>
      <w:r w:rsidR="001D1B54">
        <w:rPr>
          <w:szCs w:val="22"/>
        </w:rPr>
        <w:t xml:space="preserve"> mimic the GRP mode res-0.5 in </w:t>
      </w:r>
      <w:r w:rsidR="001D1B54">
        <w:rPr>
          <w:szCs w:val="22"/>
        </w:rPr>
        <w:fldChar w:fldCharType="begin"/>
      </w:r>
      <w:r w:rsidR="001D1B54">
        <w:rPr>
          <w:szCs w:val="22"/>
        </w:rPr>
        <w:instrText xml:space="preserve"> REF _Ref353019730 \r \h </w:instrText>
      </w:r>
      <w:r w:rsidR="001D1B54">
        <w:rPr>
          <w:szCs w:val="22"/>
        </w:rPr>
      </w:r>
      <w:r w:rsidR="001D1B54">
        <w:rPr>
          <w:szCs w:val="22"/>
        </w:rPr>
        <w:fldChar w:fldCharType="separate"/>
      </w:r>
      <w:r w:rsidR="00DD495F">
        <w:rPr>
          <w:szCs w:val="22"/>
        </w:rPr>
        <w:t>[5]</w:t>
      </w:r>
      <w:r w:rsidR="001D1B54">
        <w:rPr>
          <w:szCs w:val="22"/>
        </w:rPr>
        <w:fldChar w:fldCharType="end"/>
      </w:r>
      <w:r w:rsidR="001D1B54">
        <w:rPr>
          <w:szCs w:val="22"/>
        </w:rPr>
        <w:t>.</w:t>
      </w:r>
    </w:p>
    <w:p w:rsidR="00DD495F" w:rsidRPr="002775D8" w:rsidRDefault="00DD495F" w:rsidP="00DD495F">
      <w:pPr>
        <w:jc w:val="both"/>
      </w:pPr>
      <w:r>
        <w:rPr>
          <w:szCs w:val="22"/>
        </w:rPr>
        <w:t>In general, all block level GRP mode</w:t>
      </w:r>
      <w:r w:rsidR="009D2EF5">
        <w:rPr>
          <w:szCs w:val="22"/>
        </w:rPr>
        <w:t>s</w:t>
      </w:r>
      <w:r>
        <w:rPr>
          <w:szCs w:val="22"/>
        </w:rPr>
        <w:t xml:space="preserve">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_Ref353019730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[5]</w:t>
      </w:r>
      <w:r>
        <w:rPr>
          <w:szCs w:val="22"/>
        </w:rPr>
        <w:fldChar w:fldCharType="end"/>
      </w:r>
      <w:r>
        <w:rPr>
          <w:szCs w:val="22"/>
        </w:rPr>
        <w:t xml:space="preserve"> can be mimicked by the proposed </w:t>
      </w:r>
      <w:proofErr w:type="spellStart"/>
      <w:r>
        <w:rPr>
          <w:szCs w:val="22"/>
        </w:rPr>
        <w:t>GRPRef</w:t>
      </w:r>
      <w:proofErr w:type="spellEnd"/>
      <w:r>
        <w:rPr>
          <w:szCs w:val="22"/>
        </w:rPr>
        <w:t xml:space="preserve"> scheme. Therefore, no additional weighting is needed.</w:t>
      </w:r>
    </w:p>
    <w:p w:rsidR="00C81CAD" w:rsidRDefault="00C81CAD" w:rsidP="00C81CAD">
      <w:pPr>
        <w:pStyle w:val="Heading1"/>
        <w:rPr>
          <w:lang w:val="en-CA"/>
        </w:rPr>
      </w:pPr>
      <w:r>
        <w:rPr>
          <w:lang w:val="en-CA"/>
        </w:rPr>
        <w:lastRenderedPageBreak/>
        <w:t>Analysis of memory access</w:t>
      </w:r>
    </w:p>
    <w:p w:rsidR="00C81CAD" w:rsidRPr="00C81CAD" w:rsidRDefault="00C81CAD" w:rsidP="00B229BC">
      <w:pPr>
        <w:jc w:val="both"/>
        <w:rPr>
          <w:lang w:val="en-CA"/>
        </w:rPr>
      </w:pPr>
      <w:r>
        <w:rPr>
          <w:lang w:val="en-CA"/>
        </w:rPr>
        <w:t xml:space="preserve">The </w:t>
      </w:r>
      <w:r w:rsidR="003317DC">
        <w:rPr>
          <w:lang w:val="en-CA"/>
        </w:rPr>
        <w:t>additional</w:t>
      </w:r>
      <w:r>
        <w:rPr>
          <w:lang w:val="en-CA"/>
        </w:rPr>
        <w:t xml:space="preserve"> memory access </w:t>
      </w:r>
      <w:r w:rsidR="003317DC">
        <w:rPr>
          <w:lang w:val="en-CA"/>
        </w:rPr>
        <w:t>from</w:t>
      </w:r>
      <w:r>
        <w:rPr>
          <w:lang w:val="en-CA"/>
        </w:rPr>
        <w:t xml:space="preserve"> the proposed method is </w:t>
      </w:r>
      <w:r w:rsidR="00830E5C">
        <w:rPr>
          <w:lang w:val="en-CA"/>
        </w:rPr>
        <w:t>introduced</w:t>
      </w:r>
      <w:r>
        <w:rPr>
          <w:lang w:val="en-CA"/>
        </w:rPr>
        <w:t xml:space="preserve"> during </w:t>
      </w:r>
      <w:r w:rsidR="003317DC">
        <w:rPr>
          <w:lang w:val="en-CA"/>
        </w:rPr>
        <w:t xml:space="preserve">the </w:t>
      </w:r>
      <w:proofErr w:type="spellStart"/>
      <w:r>
        <w:rPr>
          <w:lang w:val="en-CA"/>
        </w:rPr>
        <w:t>GRPRef</w:t>
      </w:r>
      <w:proofErr w:type="spellEnd"/>
      <w:r>
        <w:rPr>
          <w:lang w:val="en-CA"/>
        </w:rPr>
        <w:t xml:space="preserve"> generation. Since motion compensation interpolation is avoided by motion vector </w:t>
      </w:r>
      <w:proofErr w:type="gramStart"/>
      <w:r>
        <w:rPr>
          <w:lang w:val="en-CA"/>
        </w:rPr>
        <w:t>rounding,</w:t>
      </w:r>
      <w:proofErr w:type="gramEnd"/>
      <w:r>
        <w:rPr>
          <w:lang w:val="en-CA"/>
        </w:rPr>
        <w:t xml:space="preserve"> only block copy is needed. In the worst case, a </w:t>
      </w:r>
      <w:r w:rsidR="005264DC">
        <w:rPr>
          <w:lang w:val="en-CA"/>
        </w:rPr>
        <w:t xml:space="preserve">16×16 </w:t>
      </w:r>
      <w:r>
        <w:rPr>
          <w:lang w:val="en-CA"/>
        </w:rPr>
        <w:t xml:space="preserve">block in </w:t>
      </w:r>
      <w:proofErr w:type="spellStart"/>
      <w:r>
        <w:rPr>
          <w:lang w:val="en-CA"/>
        </w:rPr>
        <w:t>GRPRef</w:t>
      </w:r>
      <w:proofErr w:type="spellEnd"/>
      <w:r>
        <w:rPr>
          <w:lang w:val="en-CA"/>
        </w:rPr>
        <w:t xml:space="preserve"> is generated by bi-directional prediction.</w:t>
      </w:r>
      <w:r w:rsidR="00830E5C">
        <w:rPr>
          <w:lang w:val="en-CA"/>
        </w:rPr>
        <w:t xml:space="preserve"> If up-sampled base layer pictures are reused, </w:t>
      </w:r>
      <w:r w:rsidR="005264DC">
        <w:rPr>
          <w:lang w:val="en-CA"/>
        </w:rPr>
        <w:t xml:space="preserve">5×16×16 </w:t>
      </w:r>
      <w:proofErr w:type="spellStart"/>
      <w:r w:rsidR="00830E5C">
        <w:rPr>
          <w:lang w:val="en-CA"/>
        </w:rPr>
        <w:t>luma</w:t>
      </w:r>
      <w:proofErr w:type="spellEnd"/>
      <w:r w:rsidR="00830E5C">
        <w:rPr>
          <w:lang w:val="en-CA"/>
        </w:rPr>
        <w:t xml:space="preserve"> </w:t>
      </w:r>
      <w:r w:rsidR="00EB6527">
        <w:rPr>
          <w:lang w:val="en-CA"/>
        </w:rPr>
        <w:t>samples</w:t>
      </w:r>
      <w:r w:rsidR="00830E5C">
        <w:rPr>
          <w:lang w:val="en-CA"/>
        </w:rPr>
        <w:t xml:space="preserve"> and 5x(</w:t>
      </w:r>
      <w:r w:rsidR="005264DC">
        <w:rPr>
          <w:lang w:val="en-CA"/>
        </w:rPr>
        <w:t>16</w:t>
      </w:r>
      <w:r w:rsidR="00830E5C">
        <w:rPr>
          <w:lang w:val="en-CA"/>
        </w:rPr>
        <w:t>/2</w:t>
      </w:r>
      <w:r w:rsidR="005264DC">
        <w:rPr>
          <w:lang w:val="en-CA"/>
        </w:rPr>
        <w:t>)×(16</w:t>
      </w:r>
      <w:r w:rsidR="00830E5C">
        <w:rPr>
          <w:lang w:val="en-CA"/>
        </w:rPr>
        <w:t xml:space="preserve">/2) </w:t>
      </w:r>
      <w:proofErr w:type="spellStart"/>
      <w:r w:rsidR="00830E5C">
        <w:rPr>
          <w:lang w:val="en-CA"/>
        </w:rPr>
        <w:t>chroma</w:t>
      </w:r>
      <w:proofErr w:type="spellEnd"/>
      <w:r w:rsidR="00830E5C">
        <w:rPr>
          <w:lang w:val="en-CA"/>
        </w:rPr>
        <w:t xml:space="preserve"> </w:t>
      </w:r>
      <w:r w:rsidR="00EB6527">
        <w:rPr>
          <w:lang w:val="en-CA"/>
        </w:rPr>
        <w:t>samples</w:t>
      </w:r>
      <w:r w:rsidR="00830E5C">
        <w:rPr>
          <w:lang w:val="en-CA"/>
        </w:rPr>
        <w:t xml:space="preserve"> need to be accessed </w:t>
      </w:r>
      <w:r w:rsidR="00B229BC">
        <w:rPr>
          <w:lang w:val="en-CA"/>
        </w:rPr>
        <w:t xml:space="preserve">to generate </w:t>
      </w:r>
      <w:r w:rsidR="00830E5C">
        <w:rPr>
          <w:lang w:val="en-CA"/>
        </w:rPr>
        <w:t xml:space="preserve">a </w:t>
      </w:r>
      <w:r w:rsidR="005264DC">
        <w:rPr>
          <w:lang w:val="en-CA"/>
        </w:rPr>
        <w:t xml:space="preserve">16×16 </w:t>
      </w:r>
      <w:r w:rsidR="00830E5C">
        <w:rPr>
          <w:lang w:val="en-CA"/>
        </w:rPr>
        <w:t xml:space="preserve">block in </w:t>
      </w:r>
      <w:proofErr w:type="spellStart"/>
      <w:r w:rsidR="00830E5C">
        <w:rPr>
          <w:lang w:val="en-CA"/>
        </w:rPr>
        <w:t>GRPRef</w:t>
      </w:r>
      <w:proofErr w:type="spellEnd"/>
      <w:r w:rsidR="00830E5C">
        <w:rPr>
          <w:lang w:val="en-CA"/>
        </w:rPr>
        <w:t xml:space="preserve">. </w:t>
      </w: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Test Results</w:t>
      </w:r>
    </w:p>
    <w:p w:rsidR="001D1B54" w:rsidRDefault="001D1B54" w:rsidP="001D1B54">
      <w:pPr>
        <w:jc w:val="both"/>
        <w:rPr>
          <w:lang w:val="en-CA"/>
        </w:rPr>
      </w:pPr>
      <w:r>
        <w:rPr>
          <w:lang w:val="en-CA"/>
        </w:rPr>
        <w:t>In this section, the proposed method is experimentally verified under SHVC common test conditions defined in</w:t>
      </w:r>
      <w:r w:rsidR="00DD495F">
        <w:rPr>
          <w:lang w:val="en-CA"/>
        </w:rPr>
        <w:t xml:space="preserve"> </w:t>
      </w:r>
      <w:r w:rsidR="00DD495F">
        <w:rPr>
          <w:lang w:val="en-CA"/>
        </w:rPr>
        <w:fldChar w:fldCharType="begin"/>
      </w:r>
      <w:r w:rsidR="00DD495F">
        <w:rPr>
          <w:lang w:val="en-CA"/>
        </w:rPr>
        <w:instrText xml:space="preserve"> REF _Ref350366153 \r \h </w:instrText>
      </w:r>
      <w:r w:rsidR="00DD495F">
        <w:rPr>
          <w:lang w:val="en-CA"/>
        </w:rPr>
      </w:r>
      <w:r w:rsidR="00DD495F">
        <w:rPr>
          <w:lang w:val="en-CA"/>
        </w:rPr>
        <w:fldChar w:fldCharType="separate"/>
      </w:r>
      <w:r w:rsidR="00DD495F">
        <w:rPr>
          <w:lang w:val="en-CA"/>
        </w:rPr>
        <w:t>[9]</w:t>
      </w:r>
      <w:r w:rsidR="00DD495F">
        <w:rPr>
          <w:lang w:val="en-CA"/>
        </w:rPr>
        <w:fldChar w:fldCharType="end"/>
      </w:r>
      <w:r>
        <w:rPr>
          <w:lang w:val="en-CA"/>
        </w:rPr>
        <w:t>.</w:t>
      </w:r>
    </w:p>
    <w:p w:rsidR="00F767D5" w:rsidRDefault="00F767D5" w:rsidP="001D1B54">
      <w:pPr>
        <w:jc w:val="both"/>
        <w:rPr>
          <w:lang w:val="en-CA"/>
        </w:rPr>
      </w:pPr>
      <w:bookmarkStart w:id="1" w:name="_GoBack"/>
      <w:bookmarkEnd w:id="1"/>
      <w:r>
        <w:rPr>
          <w:noProof/>
          <w:lang w:eastAsia="zh-CN"/>
        </w:rPr>
        <w:drawing>
          <wp:inline distT="0" distB="0" distL="0" distR="0" wp14:anchorId="1AF585DA" wp14:editId="581CC09B">
            <wp:extent cx="5943600" cy="4117761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57E" w:rsidRDefault="00387D74" w:rsidP="001D1B54">
      <w:pPr>
        <w:jc w:val="both"/>
        <w:rPr>
          <w:lang w:val="en-CA"/>
        </w:rPr>
      </w:pPr>
      <w:r>
        <w:rPr>
          <w:lang w:val="en-CA"/>
        </w:rPr>
        <w:t xml:space="preserve">On average, 0.8%, 1.3%, and 0.7%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BD rate reduction was obtained for RA, LD-B and LD-P cases on average, respectively.</w:t>
      </w:r>
    </w:p>
    <w:p w:rsidR="00EA257E" w:rsidRDefault="00EA257E" w:rsidP="001D1B54">
      <w:pPr>
        <w:jc w:val="both"/>
        <w:rPr>
          <w:szCs w:val="22"/>
        </w:rPr>
      </w:pPr>
      <w:r>
        <w:rPr>
          <w:lang w:val="en-CA"/>
        </w:rPr>
        <w:t xml:space="preserve">Compared block level GRP methods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_Ref347833518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[1</w:t>
      </w:r>
      <w:proofErr w:type="gramStart"/>
      <w:r>
        <w:rPr>
          <w:szCs w:val="22"/>
        </w:rPr>
        <w:t>]</w:t>
      </w:r>
      <w:proofErr w:type="gramEnd"/>
      <w:r>
        <w:rPr>
          <w:szCs w:val="22"/>
        </w:rPr>
        <w:fldChar w:fldCharType="end"/>
      </w:r>
      <w:r>
        <w:rPr>
          <w:szCs w:val="22"/>
        </w:rPr>
        <w:fldChar w:fldCharType="begin"/>
      </w:r>
      <w:r>
        <w:rPr>
          <w:szCs w:val="22"/>
        </w:rPr>
        <w:instrText xml:space="preserve"> REF _Ref347833520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[2]</w:t>
      </w:r>
      <w:r>
        <w:rPr>
          <w:szCs w:val="22"/>
        </w:rPr>
        <w:fldChar w:fldCharType="end"/>
      </w:r>
      <w:r>
        <w:rPr>
          <w:szCs w:val="22"/>
        </w:rPr>
        <w:fldChar w:fldCharType="begin"/>
      </w:r>
      <w:r>
        <w:rPr>
          <w:szCs w:val="22"/>
        </w:rPr>
        <w:instrText xml:space="preserve"> REF _Ref347833522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[3]</w:t>
      </w:r>
      <w:r>
        <w:rPr>
          <w:szCs w:val="22"/>
        </w:rPr>
        <w:fldChar w:fldCharType="end"/>
      </w:r>
      <w:r>
        <w:rPr>
          <w:szCs w:val="22"/>
        </w:rPr>
        <w:fldChar w:fldCharType="begin"/>
      </w:r>
      <w:r>
        <w:rPr>
          <w:szCs w:val="22"/>
        </w:rPr>
        <w:instrText xml:space="preserve"> REF _Ref347833523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[4]</w:t>
      </w:r>
      <w:r>
        <w:rPr>
          <w:szCs w:val="22"/>
        </w:rPr>
        <w:fldChar w:fldCharType="end"/>
      </w:r>
      <w:r>
        <w:rPr>
          <w:szCs w:val="22"/>
        </w:rPr>
        <w:fldChar w:fldCharType="begin"/>
      </w:r>
      <w:r>
        <w:rPr>
          <w:szCs w:val="22"/>
        </w:rPr>
        <w:instrText xml:space="preserve"> REF _Ref353019730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[5]</w:t>
      </w:r>
      <w:r>
        <w:rPr>
          <w:szCs w:val="22"/>
        </w:rPr>
        <w:fldChar w:fldCharType="end"/>
      </w:r>
      <w:r>
        <w:rPr>
          <w:szCs w:val="22"/>
        </w:rPr>
        <w:fldChar w:fldCharType="begin"/>
      </w:r>
      <w:r>
        <w:rPr>
          <w:szCs w:val="22"/>
        </w:rPr>
        <w:instrText xml:space="preserve"> REF _Ref353228762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[6]</w:t>
      </w:r>
      <w:r>
        <w:rPr>
          <w:szCs w:val="22"/>
        </w:rPr>
        <w:fldChar w:fldCharType="end"/>
      </w:r>
      <w:r>
        <w:rPr>
          <w:szCs w:val="22"/>
        </w:rPr>
        <w:t xml:space="preserve">, the coding performance degradation is due to </w:t>
      </w:r>
    </w:p>
    <w:p w:rsidR="00EA257E" w:rsidRDefault="00EA257E" w:rsidP="00B229BC">
      <w:pPr>
        <w:pStyle w:val="ListParagraph"/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Scaled base layer motion instead of enhancement layer motion is used</w:t>
      </w:r>
    </w:p>
    <w:p w:rsidR="00EA257E" w:rsidRDefault="00EA257E" w:rsidP="00B229BC">
      <w:pPr>
        <w:pStyle w:val="ListParagraph"/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Motion vector is rounded so that the accuracy of motion further degrades</w:t>
      </w:r>
    </w:p>
    <w:p w:rsidR="00EA257E" w:rsidRDefault="00EA257E" w:rsidP="00B229BC">
      <w:pPr>
        <w:pStyle w:val="ListParagraph"/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Signaling cost is increased since GRP weighting is indicated by reference index in the current framework</w:t>
      </w:r>
      <w:r w:rsidR="00336AB8">
        <w:rPr>
          <w:lang w:val="en-CA"/>
        </w:rPr>
        <w:t>.</w:t>
      </w:r>
    </w:p>
    <w:p w:rsidR="00336AB8" w:rsidRDefault="00336AB8" w:rsidP="00B229BC">
      <w:pPr>
        <w:pStyle w:val="ListParagraph"/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>No GRP smoothing filter is used.</w:t>
      </w:r>
    </w:p>
    <w:p w:rsidR="00EA257E" w:rsidRDefault="00EA257E" w:rsidP="00B229BC">
      <w:pPr>
        <w:pStyle w:val="ListParagraph"/>
        <w:numPr>
          <w:ilvl w:val="0"/>
          <w:numId w:val="14"/>
        </w:numPr>
        <w:jc w:val="both"/>
        <w:rPr>
          <w:lang w:val="en-CA"/>
        </w:rPr>
      </w:pPr>
      <w:r>
        <w:rPr>
          <w:lang w:val="en-CA"/>
        </w:rPr>
        <w:t xml:space="preserve">Multiple weighting modes cannot be mimicked in LD-P configurations. (As discussed in </w:t>
      </w:r>
      <w:r w:rsidR="00B229BC">
        <w:rPr>
          <w:lang w:val="en-CA"/>
        </w:rPr>
        <w:t xml:space="preserve">section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_Ref361404980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2.3</w:t>
      </w:r>
      <w:r>
        <w:rPr>
          <w:lang w:val="en-CA"/>
        </w:rPr>
        <w:fldChar w:fldCharType="end"/>
      </w:r>
      <w:r w:rsidR="00B229BC">
        <w:rPr>
          <w:lang w:val="en-CA"/>
        </w:rPr>
        <w:t>,</w:t>
      </w:r>
      <w:r>
        <w:rPr>
          <w:lang w:val="en-CA"/>
        </w:rPr>
        <w:t xml:space="preserve"> B-frame is needed to mimic weighting modes ref-0.5 and diff-0.5)</w:t>
      </w:r>
    </w:p>
    <w:p w:rsidR="00EA257E" w:rsidRPr="00EA257E" w:rsidRDefault="00387D74">
      <w:pPr>
        <w:jc w:val="both"/>
        <w:rPr>
          <w:lang w:val="en-CA"/>
        </w:rPr>
      </w:pPr>
      <w:r>
        <w:rPr>
          <w:lang w:val="en-CA"/>
        </w:rPr>
        <w:t xml:space="preserve">In general, it is a good </w:t>
      </w:r>
      <w:proofErr w:type="spellStart"/>
      <w:r>
        <w:rPr>
          <w:lang w:val="en-CA"/>
        </w:rPr>
        <w:t>tradeoff</w:t>
      </w:r>
      <w:proofErr w:type="spellEnd"/>
      <w:r>
        <w:rPr>
          <w:lang w:val="en-CA"/>
        </w:rPr>
        <w:t xml:space="preserve"> between coding complexity and coding performance.</w:t>
      </w:r>
    </w:p>
    <w:p w:rsidR="001D1B54" w:rsidRPr="005B217D" w:rsidRDefault="001D1B54" w:rsidP="001D1B54">
      <w:pPr>
        <w:pStyle w:val="Heading1"/>
        <w:rPr>
          <w:lang w:val="en-CA"/>
        </w:rPr>
      </w:pPr>
      <w:r>
        <w:rPr>
          <w:lang w:val="en-CA"/>
        </w:rPr>
        <w:lastRenderedPageBreak/>
        <w:t>Conclusions</w:t>
      </w:r>
    </w:p>
    <w:p w:rsidR="001D1B54" w:rsidRPr="005B217D" w:rsidRDefault="006730B1" w:rsidP="001D1B54">
      <w:pPr>
        <w:jc w:val="both"/>
        <w:rPr>
          <w:szCs w:val="22"/>
          <w:lang w:val="en-CA"/>
        </w:rPr>
      </w:pPr>
      <w:r>
        <w:rPr>
          <w:lang w:val="en-CA"/>
        </w:rPr>
        <w:t xml:space="preserve">In this proposal, a second inter-layer reference is generated based on previously coded pictures by </w:t>
      </w:r>
      <w:r w:rsidR="009D2EF5">
        <w:rPr>
          <w:lang w:val="en-CA"/>
        </w:rPr>
        <w:t xml:space="preserve">a </w:t>
      </w:r>
      <w:r>
        <w:rPr>
          <w:lang w:val="en-CA"/>
        </w:rPr>
        <w:t xml:space="preserve">GRP </w:t>
      </w:r>
      <w:proofErr w:type="gramStart"/>
      <w:r>
        <w:rPr>
          <w:lang w:val="en-CA"/>
        </w:rPr>
        <w:t>alike</w:t>
      </w:r>
      <w:proofErr w:type="gramEnd"/>
      <w:r>
        <w:rPr>
          <w:lang w:val="en-CA"/>
        </w:rPr>
        <w:t xml:space="preserve"> method. To reduce computational cost and memory bandwidth requirement, sub-pixel motion compensation interpolation is avoided by rounding motion vectors to the closest integer-pixel positions. Simulations show that </w:t>
      </w:r>
      <w:r w:rsidR="0044725A">
        <w:rPr>
          <w:lang w:val="en-CA"/>
        </w:rPr>
        <w:t xml:space="preserve">0.8%, 1.3%, and 0.7%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BD rate reduction was obtained for RA, LD-B and LD-P cases on average</w:t>
      </w:r>
      <w:r w:rsidR="0044725A">
        <w:rPr>
          <w:lang w:val="en-CA"/>
        </w:rPr>
        <w:t>, respectively</w:t>
      </w:r>
      <w:r>
        <w:rPr>
          <w:lang w:val="en-CA"/>
        </w:rPr>
        <w:t xml:space="preserve">. </w:t>
      </w: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1D1B54" w:rsidRPr="009E6EFE" w:rsidRDefault="001D1B54" w:rsidP="001D1B54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bookmarkStart w:id="2" w:name="_Ref347833518"/>
      <w:r w:rsidRPr="009E6EFE">
        <w:rPr>
          <w:szCs w:val="22"/>
        </w:rPr>
        <w:t xml:space="preserve">X. Li, J. Chen, K. Rapaka, M. Karczewicz, “TE3: Results of Test 4.6.2.1 on Generalized Residual Prediction”, JCTVC-L0078,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2"/>
    </w:p>
    <w:p w:rsidR="001D1B54" w:rsidRPr="009E6EFE" w:rsidRDefault="001D1B54" w:rsidP="001D1B54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bookmarkStart w:id="3" w:name="_Ref347833520"/>
      <w:r w:rsidRPr="009E6EFE">
        <w:rPr>
          <w:szCs w:val="22"/>
        </w:rPr>
        <w:t xml:space="preserve">X. Li, J. Chen, K. Rapaka, M. Karczewicz, “Non-TE3: Extension of Test 4.6.2.1 on Generalized Residual Prediction”, JCTVC-L0190,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3"/>
    </w:p>
    <w:p w:rsidR="001D1B54" w:rsidRPr="009E6EFE" w:rsidRDefault="001D1B54" w:rsidP="001D1B54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bookmarkStart w:id="4" w:name="_Ref347833522"/>
      <w:r w:rsidRPr="009E6EFE">
        <w:rPr>
          <w:szCs w:val="22"/>
        </w:rPr>
        <w:t xml:space="preserve">J. </w:t>
      </w:r>
      <w:proofErr w:type="spellStart"/>
      <w:r w:rsidRPr="009E6EFE">
        <w:rPr>
          <w:szCs w:val="22"/>
        </w:rPr>
        <w:t>Lainema</w:t>
      </w:r>
      <w:proofErr w:type="spellEnd"/>
      <w:r w:rsidRPr="009E6EFE">
        <w:rPr>
          <w:szCs w:val="22"/>
        </w:rPr>
        <w:t xml:space="preserve">, K. </w:t>
      </w:r>
      <w:proofErr w:type="spellStart"/>
      <w:r w:rsidRPr="009E6EFE">
        <w:rPr>
          <w:szCs w:val="22"/>
        </w:rPr>
        <w:t>Ugur</w:t>
      </w:r>
      <w:proofErr w:type="spellEnd"/>
      <w:r w:rsidRPr="009E6EFE">
        <w:rPr>
          <w:szCs w:val="22"/>
        </w:rPr>
        <w:t xml:space="preserve">, “TE3: Results of test 4.6.3 on base enhanced motion compensated prediction”, JCTVC-L0038,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4"/>
    </w:p>
    <w:bookmarkStart w:id="5" w:name="_Ref347833523"/>
    <w:p w:rsidR="001D1B54" w:rsidRDefault="001D1B54" w:rsidP="001D1B54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"mailto:christophe.gisquet@crf.canon.fr"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 xml:space="preserve">C. </w:t>
      </w:r>
      <w:proofErr w:type="spellStart"/>
      <w:r w:rsidRPr="009E6EFE">
        <w:rPr>
          <w:szCs w:val="22"/>
        </w:rPr>
        <w:t>Gisquet</w:t>
      </w:r>
      <w:proofErr w:type="spellEnd"/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4" w:history="1">
        <w:r w:rsidRPr="009E6EFE">
          <w:rPr>
            <w:szCs w:val="22"/>
          </w:rPr>
          <w:t xml:space="preserve">F. Le </w:t>
        </w:r>
        <w:proofErr w:type="spellStart"/>
        <w:r w:rsidRPr="009E6EFE">
          <w:rPr>
            <w:szCs w:val="22"/>
          </w:rPr>
          <w:t>Léannec</w:t>
        </w:r>
        <w:proofErr w:type="spellEnd"/>
      </w:hyperlink>
      <w:r w:rsidRPr="009E6EFE">
        <w:rPr>
          <w:szCs w:val="22"/>
        </w:rPr>
        <w:t xml:space="preserve">, J. </w:t>
      </w:r>
      <w:proofErr w:type="spellStart"/>
      <w:r w:rsidRPr="009E6EFE">
        <w:rPr>
          <w:szCs w:val="22"/>
        </w:rPr>
        <w:t>Taquet</w:t>
      </w:r>
      <w:proofErr w:type="spellEnd"/>
      <w:r w:rsidRPr="009E6EFE">
        <w:rPr>
          <w:szCs w:val="22"/>
        </w:rPr>
        <w:t xml:space="preserve">, </w:t>
      </w:r>
      <w:hyperlink r:id="rId15" w:history="1">
        <w:r w:rsidRPr="009E6EFE">
          <w:rPr>
            <w:szCs w:val="22"/>
          </w:rPr>
          <w:t>E. François</w:t>
        </w:r>
      </w:hyperlink>
      <w:r w:rsidRPr="009E6EFE">
        <w:rPr>
          <w:szCs w:val="22"/>
        </w:rPr>
        <w:t xml:space="preserve">, </w:t>
      </w:r>
      <w:hyperlink r:id="rId16" w:history="1">
        <w:r w:rsidRPr="009E6EFE">
          <w:rPr>
            <w:szCs w:val="22"/>
          </w:rPr>
          <w:t xml:space="preserve">G. </w:t>
        </w:r>
        <w:proofErr w:type="spellStart"/>
        <w:r w:rsidRPr="009E6EFE">
          <w:rPr>
            <w:szCs w:val="22"/>
          </w:rPr>
          <w:t>Laroche</w:t>
        </w:r>
        <w:proofErr w:type="spellEnd"/>
      </w:hyperlink>
      <w:r w:rsidRPr="009E6EFE">
        <w:rPr>
          <w:szCs w:val="22"/>
        </w:rPr>
        <w:t xml:space="preserve">, </w:t>
      </w:r>
      <w:hyperlink r:id="rId17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“TE3: Results of test 4.6.1 on the Generalized Residual Inter-Layer Prediction (GRILP)”, JCTVC-L0100,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2013.</w:t>
      </w:r>
      <w:bookmarkEnd w:id="5"/>
    </w:p>
    <w:p w:rsidR="001D1B54" w:rsidRPr="009E6EFE" w:rsidRDefault="001D1B54" w:rsidP="001D1B54">
      <w:pPr>
        <w:numPr>
          <w:ilvl w:val="0"/>
          <w:numId w:val="13"/>
        </w:numPr>
        <w:jc w:val="both"/>
        <w:textAlignment w:val="auto"/>
        <w:rPr>
          <w:szCs w:val="22"/>
        </w:rPr>
      </w:pPr>
      <w:bookmarkStart w:id="6" w:name="_Ref353019730"/>
      <w:r w:rsidRPr="009E6EFE">
        <w:rPr>
          <w:szCs w:val="22"/>
        </w:rPr>
        <w:t xml:space="preserve">X. Li, J. Chen, K. Rapaka, M. Karczewicz, </w:t>
      </w:r>
      <w:r w:rsidRPr="00F52F20">
        <w:rPr>
          <w:szCs w:val="22"/>
        </w:rPr>
        <w:t xml:space="preserve">J. </w:t>
      </w:r>
      <w:proofErr w:type="spellStart"/>
      <w:r w:rsidRPr="00F52F20">
        <w:rPr>
          <w:szCs w:val="22"/>
        </w:rPr>
        <w:t>Lainema</w:t>
      </w:r>
      <w:proofErr w:type="spellEnd"/>
      <w:r w:rsidRPr="00F52F20">
        <w:rPr>
          <w:szCs w:val="22"/>
        </w:rPr>
        <w:t xml:space="preserve">, K. </w:t>
      </w:r>
      <w:proofErr w:type="spellStart"/>
      <w:r w:rsidRPr="00F52F20">
        <w:rPr>
          <w:szCs w:val="22"/>
        </w:rPr>
        <w:t>Ugur</w:t>
      </w:r>
      <w:proofErr w:type="spellEnd"/>
      <w:r w:rsidRPr="00F52F20">
        <w:rPr>
          <w:szCs w:val="22"/>
        </w:rPr>
        <w:t xml:space="preserve">, C. </w:t>
      </w:r>
      <w:proofErr w:type="spellStart"/>
      <w:r w:rsidRPr="00F52F20">
        <w:rPr>
          <w:szCs w:val="22"/>
        </w:rPr>
        <w:t>Gisquet</w:t>
      </w:r>
      <w:proofErr w:type="spellEnd"/>
      <w:r w:rsidRPr="00F52F20">
        <w:rPr>
          <w:szCs w:val="22"/>
        </w:rPr>
        <w:t xml:space="preserve">, F. Le </w:t>
      </w:r>
      <w:proofErr w:type="spellStart"/>
      <w:r w:rsidRPr="00F52F20">
        <w:rPr>
          <w:szCs w:val="22"/>
        </w:rPr>
        <w:t>Léannec</w:t>
      </w:r>
      <w:proofErr w:type="spellEnd"/>
      <w:r w:rsidRPr="00F52F20">
        <w:rPr>
          <w:szCs w:val="22"/>
        </w:rPr>
        <w:t xml:space="preserve">, J. </w:t>
      </w:r>
      <w:proofErr w:type="spellStart"/>
      <w:r w:rsidRPr="00F52F20">
        <w:rPr>
          <w:szCs w:val="22"/>
        </w:rPr>
        <w:t>Taquet</w:t>
      </w:r>
      <w:proofErr w:type="spellEnd"/>
      <w:r w:rsidRPr="00F52F20">
        <w:rPr>
          <w:szCs w:val="22"/>
        </w:rPr>
        <w:t>, E.</w:t>
      </w:r>
      <w:r>
        <w:rPr>
          <w:szCs w:val="22"/>
        </w:rPr>
        <w:t xml:space="preserve"> </w:t>
      </w:r>
      <w:r w:rsidRPr="0022239C">
        <w:rPr>
          <w:szCs w:val="22"/>
          <w:lang w:val="en-CA"/>
        </w:rPr>
        <w:t>François</w:t>
      </w:r>
      <w:r w:rsidRPr="00F52F20">
        <w:rPr>
          <w:szCs w:val="22"/>
        </w:rPr>
        <w:t xml:space="preserve">, G. </w:t>
      </w:r>
      <w:proofErr w:type="spellStart"/>
      <w:r w:rsidRPr="00F52F20">
        <w:rPr>
          <w:szCs w:val="22"/>
        </w:rPr>
        <w:t>Laroche</w:t>
      </w:r>
      <w:proofErr w:type="spellEnd"/>
      <w:r w:rsidRPr="00F52F20">
        <w:rPr>
          <w:szCs w:val="22"/>
        </w:rPr>
        <w:t xml:space="preserve">, P. </w:t>
      </w:r>
      <w:proofErr w:type="spellStart"/>
      <w:r w:rsidRPr="00F52F20">
        <w:rPr>
          <w:szCs w:val="22"/>
        </w:rPr>
        <w:t>Onno</w:t>
      </w:r>
      <w:proofErr w:type="spellEnd"/>
      <w:r>
        <w:rPr>
          <w:szCs w:val="22"/>
        </w:rPr>
        <w:t>,</w:t>
      </w:r>
      <w:r w:rsidRPr="00F52F20">
        <w:rPr>
          <w:szCs w:val="22"/>
        </w:rPr>
        <w:t xml:space="preserve"> </w:t>
      </w:r>
      <w:r w:rsidRPr="009E6EFE">
        <w:rPr>
          <w:szCs w:val="22"/>
        </w:rPr>
        <w:t>“</w:t>
      </w:r>
      <w:r>
        <w:rPr>
          <w:szCs w:val="22"/>
        </w:rPr>
        <w:t>SCE3: Results of Test 3.3</w:t>
      </w:r>
      <w:r w:rsidRPr="009E6EFE">
        <w:rPr>
          <w:szCs w:val="22"/>
        </w:rPr>
        <w:t xml:space="preserve"> on Generalized Residual Prediction”, JCTVC-</w:t>
      </w:r>
      <w:r>
        <w:rPr>
          <w:szCs w:val="22"/>
        </w:rPr>
        <w:t>M0260</w:t>
      </w:r>
      <w:r w:rsidRPr="009E6EFE">
        <w:rPr>
          <w:szCs w:val="22"/>
        </w:rPr>
        <w:t xml:space="preserve">, </w:t>
      </w:r>
      <w:r w:rsidRPr="00B4194A">
        <w:rPr>
          <w:szCs w:val="22"/>
          <w:lang w:val="en-CA"/>
        </w:rPr>
        <w:t xml:space="preserve">Incheon, </w:t>
      </w:r>
      <w:r>
        <w:rPr>
          <w:szCs w:val="22"/>
          <w:lang w:val="en-CA"/>
        </w:rPr>
        <w:t>Korean</w:t>
      </w:r>
      <w:r w:rsidRPr="00B4194A">
        <w:rPr>
          <w:szCs w:val="22"/>
          <w:lang w:val="en-CA"/>
        </w:rPr>
        <w:t>, 18–26 Apr. 2013</w:t>
      </w:r>
      <w:r w:rsidRPr="009E6EFE">
        <w:rPr>
          <w:szCs w:val="22"/>
        </w:rPr>
        <w:t>.</w:t>
      </w:r>
      <w:bookmarkEnd w:id="6"/>
    </w:p>
    <w:p w:rsidR="001D1B54" w:rsidRDefault="001D1B54" w:rsidP="001D1B54">
      <w:pPr>
        <w:numPr>
          <w:ilvl w:val="0"/>
          <w:numId w:val="13"/>
        </w:numPr>
        <w:jc w:val="both"/>
        <w:textAlignment w:val="auto"/>
        <w:rPr>
          <w:szCs w:val="22"/>
        </w:rPr>
      </w:pPr>
      <w:bookmarkStart w:id="7" w:name="_Ref353228762"/>
      <w:r w:rsidRPr="009E6EFE">
        <w:rPr>
          <w:szCs w:val="22"/>
        </w:rPr>
        <w:t>X. Li, J. Chen, K. Rapaka, M. Karczewicz, “</w:t>
      </w:r>
      <w:r>
        <w:t>Non-SCE3: Simplified Generalized Residual Prediction</w:t>
      </w:r>
      <w:r w:rsidRPr="009E6EFE">
        <w:rPr>
          <w:szCs w:val="22"/>
        </w:rPr>
        <w:t>”, JCTVC-</w:t>
      </w:r>
      <w:r>
        <w:rPr>
          <w:szCs w:val="22"/>
        </w:rPr>
        <w:t>M0275</w:t>
      </w:r>
      <w:r w:rsidRPr="009E6EFE">
        <w:rPr>
          <w:szCs w:val="22"/>
        </w:rPr>
        <w:t xml:space="preserve">, </w:t>
      </w:r>
      <w:r w:rsidRPr="00B4194A">
        <w:rPr>
          <w:szCs w:val="22"/>
          <w:lang w:val="en-CA"/>
        </w:rPr>
        <w:t xml:space="preserve">Incheon, </w:t>
      </w:r>
      <w:r>
        <w:rPr>
          <w:szCs w:val="22"/>
          <w:lang w:val="en-CA"/>
        </w:rPr>
        <w:t>Korean</w:t>
      </w:r>
      <w:r w:rsidRPr="00B4194A">
        <w:rPr>
          <w:szCs w:val="22"/>
          <w:lang w:val="en-CA"/>
        </w:rPr>
        <w:t>, 18–26 Apr. 2013</w:t>
      </w:r>
      <w:r w:rsidRPr="009E6EFE">
        <w:rPr>
          <w:szCs w:val="22"/>
        </w:rPr>
        <w:t>.</w:t>
      </w:r>
      <w:bookmarkEnd w:id="7"/>
    </w:p>
    <w:p w:rsidR="0097273F" w:rsidRDefault="00717E7A" w:rsidP="00717E7A">
      <w:pPr>
        <w:numPr>
          <w:ilvl w:val="0"/>
          <w:numId w:val="13"/>
        </w:numPr>
        <w:jc w:val="both"/>
        <w:textAlignment w:val="auto"/>
        <w:rPr>
          <w:szCs w:val="22"/>
        </w:rPr>
      </w:pPr>
      <w:bookmarkStart w:id="8" w:name="_Ref361145581"/>
      <w:r w:rsidRPr="00717E7A">
        <w:rPr>
          <w:szCs w:val="22"/>
        </w:rPr>
        <w:t xml:space="preserve">A. </w:t>
      </w:r>
      <w:proofErr w:type="spellStart"/>
      <w:r w:rsidRPr="00717E7A">
        <w:rPr>
          <w:szCs w:val="22"/>
        </w:rPr>
        <w:t>Aminlou</w:t>
      </w:r>
      <w:proofErr w:type="spellEnd"/>
      <w:r w:rsidRPr="00717E7A">
        <w:rPr>
          <w:szCs w:val="22"/>
        </w:rPr>
        <w:t xml:space="preserve">, J. </w:t>
      </w:r>
      <w:proofErr w:type="spellStart"/>
      <w:r w:rsidRPr="00717E7A">
        <w:rPr>
          <w:szCs w:val="22"/>
        </w:rPr>
        <w:t>La</w:t>
      </w:r>
      <w:r>
        <w:rPr>
          <w:szCs w:val="22"/>
        </w:rPr>
        <w:t>inema</w:t>
      </w:r>
      <w:proofErr w:type="spellEnd"/>
      <w:r>
        <w:rPr>
          <w:szCs w:val="22"/>
        </w:rPr>
        <w:t xml:space="preserve">, K. </w:t>
      </w:r>
      <w:proofErr w:type="spellStart"/>
      <w:r>
        <w:rPr>
          <w:szCs w:val="22"/>
        </w:rPr>
        <w:t>Ugur</w:t>
      </w:r>
      <w:proofErr w:type="spellEnd"/>
      <w:r>
        <w:rPr>
          <w:szCs w:val="22"/>
        </w:rPr>
        <w:t xml:space="preserve">, M. </w:t>
      </w:r>
      <w:proofErr w:type="spellStart"/>
      <w:r>
        <w:rPr>
          <w:szCs w:val="22"/>
        </w:rPr>
        <w:t>Hannuksela</w:t>
      </w:r>
      <w:proofErr w:type="spellEnd"/>
      <w:r>
        <w:rPr>
          <w:szCs w:val="22"/>
        </w:rPr>
        <w:t>, “</w:t>
      </w:r>
      <w:r w:rsidRPr="00717E7A">
        <w:rPr>
          <w:szCs w:val="22"/>
        </w:rPr>
        <w:t>Non-CE3: Enhanced inter layer reference pictu</w:t>
      </w:r>
      <w:r>
        <w:rPr>
          <w:szCs w:val="22"/>
        </w:rPr>
        <w:t xml:space="preserve">re for </w:t>
      </w:r>
      <w:proofErr w:type="spellStart"/>
      <w:r>
        <w:rPr>
          <w:szCs w:val="22"/>
        </w:rPr>
        <w:t>RefIdx</w:t>
      </w:r>
      <w:proofErr w:type="spellEnd"/>
      <w:r>
        <w:rPr>
          <w:szCs w:val="22"/>
        </w:rPr>
        <w:t xml:space="preserve"> based scalability”</w:t>
      </w:r>
      <w:r w:rsidRPr="00717E7A">
        <w:rPr>
          <w:szCs w:val="22"/>
        </w:rPr>
        <w:t>,</w:t>
      </w:r>
      <w:r>
        <w:rPr>
          <w:szCs w:val="22"/>
        </w:rPr>
        <w:t xml:space="preserve"> JCTVC-M0155, </w:t>
      </w:r>
      <w:r w:rsidRPr="00B4194A">
        <w:rPr>
          <w:szCs w:val="22"/>
          <w:lang w:val="en-CA"/>
        </w:rPr>
        <w:t xml:space="preserve">Incheon, </w:t>
      </w:r>
      <w:r>
        <w:rPr>
          <w:szCs w:val="22"/>
          <w:lang w:val="en-CA"/>
        </w:rPr>
        <w:t>Korean</w:t>
      </w:r>
      <w:r w:rsidRPr="00B4194A">
        <w:rPr>
          <w:szCs w:val="22"/>
          <w:lang w:val="en-CA"/>
        </w:rPr>
        <w:t>, 18–26 Apr. 2013</w:t>
      </w:r>
      <w:r w:rsidRPr="009E6EFE">
        <w:rPr>
          <w:szCs w:val="22"/>
        </w:rPr>
        <w:t>.</w:t>
      </w:r>
      <w:bookmarkEnd w:id="8"/>
    </w:p>
    <w:p w:rsidR="00717E7A" w:rsidRDefault="00717E7A" w:rsidP="00717E7A">
      <w:pPr>
        <w:numPr>
          <w:ilvl w:val="0"/>
          <w:numId w:val="13"/>
        </w:numPr>
        <w:jc w:val="both"/>
        <w:textAlignment w:val="auto"/>
        <w:rPr>
          <w:szCs w:val="22"/>
        </w:rPr>
      </w:pPr>
      <w:bookmarkStart w:id="9" w:name="_Ref361145582"/>
      <w:r>
        <w:rPr>
          <w:szCs w:val="22"/>
        </w:rPr>
        <w:t xml:space="preserve">Y. He, Y. </w:t>
      </w:r>
      <w:proofErr w:type="spellStart"/>
      <w:proofErr w:type="gramStart"/>
      <w:r>
        <w:rPr>
          <w:szCs w:val="22"/>
        </w:rPr>
        <w:t>Ye</w:t>
      </w:r>
      <w:proofErr w:type="spellEnd"/>
      <w:proofErr w:type="gramEnd"/>
      <w:r w:rsidRPr="00717E7A">
        <w:rPr>
          <w:szCs w:val="22"/>
        </w:rPr>
        <w:t xml:space="preserve">, </w:t>
      </w:r>
      <w:r>
        <w:rPr>
          <w:szCs w:val="22"/>
        </w:rPr>
        <w:t>“</w:t>
      </w:r>
      <w:r w:rsidRPr="00717E7A">
        <w:rPr>
          <w:szCs w:val="22"/>
        </w:rPr>
        <w:t xml:space="preserve">Non-SCE3: ILR enhancement with differential coding for </w:t>
      </w:r>
      <w:proofErr w:type="spellStart"/>
      <w:r w:rsidRPr="00717E7A">
        <w:rPr>
          <w:szCs w:val="22"/>
        </w:rPr>
        <w:t>RefIdx</w:t>
      </w:r>
      <w:proofErr w:type="spellEnd"/>
      <w:r w:rsidRPr="00717E7A">
        <w:rPr>
          <w:szCs w:val="22"/>
        </w:rPr>
        <w:t xml:space="preserve"> framework</w:t>
      </w:r>
      <w:r>
        <w:rPr>
          <w:szCs w:val="22"/>
        </w:rPr>
        <w:t>”</w:t>
      </w:r>
      <w:r w:rsidRPr="00717E7A">
        <w:rPr>
          <w:szCs w:val="22"/>
        </w:rPr>
        <w:t>,</w:t>
      </w:r>
      <w:r>
        <w:rPr>
          <w:szCs w:val="22"/>
        </w:rPr>
        <w:t xml:space="preserve"> JCTVC-M0155, </w:t>
      </w:r>
      <w:r w:rsidRPr="00B4194A">
        <w:rPr>
          <w:szCs w:val="22"/>
          <w:lang w:val="en-CA"/>
        </w:rPr>
        <w:t xml:space="preserve">Incheon, </w:t>
      </w:r>
      <w:r>
        <w:rPr>
          <w:szCs w:val="22"/>
          <w:lang w:val="en-CA"/>
        </w:rPr>
        <w:t>Korean</w:t>
      </w:r>
      <w:r w:rsidRPr="00B4194A">
        <w:rPr>
          <w:szCs w:val="22"/>
          <w:lang w:val="en-CA"/>
        </w:rPr>
        <w:t>, 18–26 Apr. 2013</w:t>
      </w:r>
      <w:r w:rsidRPr="009E6EFE">
        <w:rPr>
          <w:szCs w:val="22"/>
        </w:rPr>
        <w:t>.</w:t>
      </w:r>
      <w:bookmarkEnd w:id="9"/>
    </w:p>
    <w:bookmarkStart w:id="10" w:name="_Ref347833434"/>
    <w:bookmarkStart w:id="11" w:name="_Ref350366153"/>
    <w:p w:rsidR="00717E7A" w:rsidRPr="00C75200" w:rsidRDefault="00717E7A" w:rsidP="00717E7A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8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19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20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</w:t>
      </w:r>
      <w:r w:rsidR="00DD495F">
        <w:rPr>
          <w:szCs w:val="22"/>
        </w:rPr>
        <w:t>M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bookmarkEnd w:id="10"/>
      <w:r w:rsidR="00DD495F" w:rsidRPr="00B4194A">
        <w:rPr>
          <w:szCs w:val="22"/>
          <w:lang w:val="en-CA"/>
        </w:rPr>
        <w:t xml:space="preserve">Incheon, </w:t>
      </w:r>
      <w:r w:rsidR="00DD495F">
        <w:rPr>
          <w:szCs w:val="22"/>
          <w:lang w:val="en-CA"/>
        </w:rPr>
        <w:t>Korean</w:t>
      </w:r>
      <w:r w:rsidR="00DD495F" w:rsidRPr="00B4194A">
        <w:rPr>
          <w:szCs w:val="22"/>
          <w:lang w:val="en-CA"/>
        </w:rPr>
        <w:t>, 18–26 Apr. 2013</w:t>
      </w:r>
      <w:r>
        <w:rPr>
          <w:szCs w:val="22"/>
        </w:rPr>
        <w:t>.</w:t>
      </w:r>
      <w:bookmarkEnd w:id="11"/>
    </w:p>
    <w:p w:rsidR="00717E7A" w:rsidRDefault="00717E7A" w:rsidP="00717E7A">
      <w:pPr>
        <w:tabs>
          <w:tab w:val="clear" w:pos="360"/>
        </w:tabs>
        <w:jc w:val="both"/>
        <w:textAlignment w:val="auto"/>
        <w:rPr>
          <w:szCs w:val="22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1D1B54" w:rsidRDefault="001D1B54" w:rsidP="001D1B54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Qualcomm Inc.</w:t>
      </w:r>
      <w:r w:rsidRPr="0022239C">
        <w:rPr>
          <w:b/>
          <w:szCs w:val="22"/>
          <w:lang w:val="en-CA"/>
        </w:rPr>
        <w:t xml:space="preserve">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FEB" w:rsidRDefault="001D5FEB">
      <w:r>
        <w:separator/>
      </w:r>
    </w:p>
  </w:endnote>
  <w:endnote w:type="continuationSeparator" w:id="0">
    <w:p w:rsidR="001D5FEB" w:rsidRDefault="001D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67D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767D5">
      <w:rPr>
        <w:rStyle w:val="PageNumber"/>
        <w:noProof/>
      </w:rPr>
      <w:t>2013-07-15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FEB" w:rsidRDefault="001D5FEB">
      <w:r>
        <w:separator/>
      </w:r>
    </w:p>
  </w:footnote>
  <w:footnote w:type="continuationSeparator" w:id="0">
    <w:p w:rsidR="001D5FEB" w:rsidRDefault="001D5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D19446E"/>
    <w:multiLevelType w:val="hybridMultilevel"/>
    <w:tmpl w:val="DE5AD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624E9"/>
    <w:rsid w:val="0007614F"/>
    <w:rsid w:val="00082294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95F30"/>
    <w:rsid w:val="001A297E"/>
    <w:rsid w:val="001A368E"/>
    <w:rsid w:val="001A6CA0"/>
    <w:rsid w:val="001A7329"/>
    <w:rsid w:val="001B4E28"/>
    <w:rsid w:val="001C3525"/>
    <w:rsid w:val="001D1B54"/>
    <w:rsid w:val="001D1BD2"/>
    <w:rsid w:val="001D5FEB"/>
    <w:rsid w:val="001E02BE"/>
    <w:rsid w:val="001E3B37"/>
    <w:rsid w:val="001F2594"/>
    <w:rsid w:val="002055A6"/>
    <w:rsid w:val="00206460"/>
    <w:rsid w:val="002069B4"/>
    <w:rsid w:val="002101C6"/>
    <w:rsid w:val="00215DFC"/>
    <w:rsid w:val="002212DF"/>
    <w:rsid w:val="00222CD4"/>
    <w:rsid w:val="002264A6"/>
    <w:rsid w:val="00227BA7"/>
    <w:rsid w:val="0023011C"/>
    <w:rsid w:val="00263398"/>
    <w:rsid w:val="00275BCF"/>
    <w:rsid w:val="00292257"/>
    <w:rsid w:val="002A54E0"/>
    <w:rsid w:val="002B1595"/>
    <w:rsid w:val="002B191D"/>
    <w:rsid w:val="002D0AF6"/>
    <w:rsid w:val="002D73E8"/>
    <w:rsid w:val="002F164D"/>
    <w:rsid w:val="00306206"/>
    <w:rsid w:val="00317D85"/>
    <w:rsid w:val="00327C56"/>
    <w:rsid w:val="003315A1"/>
    <w:rsid w:val="003317DC"/>
    <w:rsid w:val="00336AB8"/>
    <w:rsid w:val="003373EC"/>
    <w:rsid w:val="00342FF4"/>
    <w:rsid w:val="003669EA"/>
    <w:rsid w:val="003706CC"/>
    <w:rsid w:val="00377710"/>
    <w:rsid w:val="00387D74"/>
    <w:rsid w:val="003A2D8E"/>
    <w:rsid w:val="003C20E4"/>
    <w:rsid w:val="003E6F90"/>
    <w:rsid w:val="003F5D0F"/>
    <w:rsid w:val="00414101"/>
    <w:rsid w:val="00421675"/>
    <w:rsid w:val="00433DDB"/>
    <w:rsid w:val="00437619"/>
    <w:rsid w:val="0044725A"/>
    <w:rsid w:val="004A2A63"/>
    <w:rsid w:val="004B210C"/>
    <w:rsid w:val="004D405F"/>
    <w:rsid w:val="004E4F4F"/>
    <w:rsid w:val="004E6789"/>
    <w:rsid w:val="004F27CB"/>
    <w:rsid w:val="004F61E3"/>
    <w:rsid w:val="00502E10"/>
    <w:rsid w:val="0051015C"/>
    <w:rsid w:val="00516CF1"/>
    <w:rsid w:val="005264DC"/>
    <w:rsid w:val="00531AE9"/>
    <w:rsid w:val="0054776D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46707"/>
    <w:rsid w:val="00661CE3"/>
    <w:rsid w:val="00662E58"/>
    <w:rsid w:val="00664DCF"/>
    <w:rsid w:val="006730B1"/>
    <w:rsid w:val="006C5D39"/>
    <w:rsid w:val="006D4308"/>
    <w:rsid w:val="006D6CC1"/>
    <w:rsid w:val="006E2810"/>
    <w:rsid w:val="006E5417"/>
    <w:rsid w:val="00712F60"/>
    <w:rsid w:val="00717E7A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30E5C"/>
    <w:rsid w:val="0086387C"/>
    <w:rsid w:val="00874A6C"/>
    <w:rsid w:val="00874AFE"/>
    <w:rsid w:val="00874F8C"/>
    <w:rsid w:val="00876C65"/>
    <w:rsid w:val="0088667D"/>
    <w:rsid w:val="00892170"/>
    <w:rsid w:val="008A4B4C"/>
    <w:rsid w:val="008C239F"/>
    <w:rsid w:val="008E480C"/>
    <w:rsid w:val="00907757"/>
    <w:rsid w:val="00907F9F"/>
    <w:rsid w:val="009212B0"/>
    <w:rsid w:val="009234A5"/>
    <w:rsid w:val="009336F7"/>
    <w:rsid w:val="009374A7"/>
    <w:rsid w:val="00942431"/>
    <w:rsid w:val="00966F72"/>
    <w:rsid w:val="0097273F"/>
    <w:rsid w:val="0098551D"/>
    <w:rsid w:val="0099518F"/>
    <w:rsid w:val="009A523D"/>
    <w:rsid w:val="009D2EF5"/>
    <w:rsid w:val="009F496B"/>
    <w:rsid w:val="00A01439"/>
    <w:rsid w:val="00A02E61"/>
    <w:rsid w:val="00A05CFF"/>
    <w:rsid w:val="00A566B7"/>
    <w:rsid w:val="00A56B97"/>
    <w:rsid w:val="00A6093D"/>
    <w:rsid w:val="00A641A8"/>
    <w:rsid w:val="00A76A6D"/>
    <w:rsid w:val="00A83253"/>
    <w:rsid w:val="00AA6E84"/>
    <w:rsid w:val="00AC6147"/>
    <w:rsid w:val="00AE341B"/>
    <w:rsid w:val="00AE5018"/>
    <w:rsid w:val="00B07CA7"/>
    <w:rsid w:val="00B1279A"/>
    <w:rsid w:val="00B229BC"/>
    <w:rsid w:val="00B416EA"/>
    <w:rsid w:val="00B4194A"/>
    <w:rsid w:val="00B5222E"/>
    <w:rsid w:val="00B53179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13848"/>
    <w:rsid w:val="00C30249"/>
    <w:rsid w:val="00C3723B"/>
    <w:rsid w:val="00C606C9"/>
    <w:rsid w:val="00C80288"/>
    <w:rsid w:val="00C81CAD"/>
    <w:rsid w:val="00C84003"/>
    <w:rsid w:val="00C90650"/>
    <w:rsid w:val="00C97D78"/>
    <w:rsid w:val="00CB2469"/>
    <w:rsid w:val="00CC2AAE"/>
    <w:rsid w:val="00CC5A42"/>
    <w:rsid w:val="00CD0EAB"/>
    <w:rsid w:val="00CF34DB"/>
    <w:rsid w:val="00CF558F"/>
    <w:rsid w:val="00D073E2"/>
    <w:rsid w:val="00D26D27"/>
    <w:rsid w:val="00D36CA7"/>
    <w:rsid w:val="00D446EC"/>
    <w:rsid w:val="00D51BF0"/>
    <w:rsid w:val="00D55942"/>
    <w:rsid w:val="00D807BF"/>
    <w:rsid w:val="00D82FCC"/>
    <w:rsid w:val="00DA17FC"/>
    <w:rsid w:val="00DA7887"/>
    <w:rsid w:val="00DB2C26"/>
    <w:rsid w:val="00DD495F"/>
    <w:rsid w:val="00DE6B43"/>
    <w:rsid w:val="00E11923"/>
    <w:rsid w:val="00E262D4"/>
    <w:rsid w:val="00E36250"/>
    <w:rsid w:val="00E529A5"/>
    <w:rsid w:val="00E54511"/>
    <w:rsid w:val="00E61DAC"/>
    <w:rsid w:val="00E72B80"/>
    <w:rsid w:val="00E75FE3"/>
    <w:rsid w:val="00E86C4C"/>
    <w:rsid w:val="00EA257E"/>
    <w:rsid w:val="00EB4B9B"/>
    <w:rsid w:val="00EB6527"/>
    <w:rsid w:val="00EB7AB1"/>
    <w:rsid w:val="00EF48CC"/>
    <w:rsid w:val="00F73032"/>
    <w:rsid w:val="00F767D5"/>
    <w:rsid w:val="00F848FC"/>
    <w:rsid w:val="00F9282A"/>
    <w:rsid w:val="00F96BAD"/>
    <w:rsid w:val="00FA139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sid w:val="009D2E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2EF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rsid w:val="009D2E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hyperlink" Target="mailto:jill@vidyo.com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martak@qti.qualcomm.com" TargetMode="External"/><Relationship Id="rId17" Type="http://schemas.openxmlformats.org/officeDocument/2006/relationships/hyperlink" Target="mailto:patrice.onno@crf.canon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guillaume.laroche@crf.canon.fr" TargetMode="External"/><Relationship Id="rId20" Type="http://schemas.openxmlformats.org/officeDocument/2006/relationships/hyperlink" Target="mailto:yan.ye@interdigital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jianle@qti.qualcom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douard.francois@crf.canon.fr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lxiang@qti.qualcomm.com" TargetMode="External"/><Relationship Id="rId19" Type="http://schemas.openxmlformats.org/officeDocument/2006/relationships/hyperlink" Target="mailto:patrice.onno@crf.canon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fabrice.leleannec@crf.canon.f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1551</Words>
  <Characters>8847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10378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7</cp:revision>
  <cp:lastPrinted>2013-07-09T23:09:00Z</cp:lastPrinted>
  <dcterms:created xsi:type="dcterms:W3CDTF">2013-07-15T18:09:00Z</dcterms:created>
  <dcterms:modified xsi:type="dcterms:W3CDTF">2013-07-16T04:29:00Z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-1863665042</vt:i4>
  </property>
  <property fmtid="{D5CDD505-2E9C-101B-9397-08002B2CF9AE}" pid="3" name="_NewReviewCycle">
    <vt:lpwstr/>
  </property>
  <property fmtid="{D5CDD505-2E9C-101B-9397-08002B2CF9AE}" pid="4" name="_EmailSubject">
    <vt:lpwstr>Draft proposal on GRP reference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537920294</vt:i4>
  </property>
</Properties>
</file>