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2703A9" w:rsidRPr="005B217D" w:rsidTr="0055585A">
        <w:tc>
          <w:tcPr>
            <w:tcW w:w="6408" w:type="dxa"/>
          </w:tcPr>
          <w:p w:rsidR="002703A9" w:rsidRPr="005B217D" w:rsidRDefault="002703A9" w:rsidP="0055585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5F83AF3" wp14:editId="3EFA3F1D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21541647" wp14:editId="31E753FF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128E2BF1" wp14:editId="733868E8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szCs w:val="22"/>
                <w:lang w:val="en-CA"/>
              </w:rPr>
              <w:t>Joint Collaborative Team on Video Coding (JCT-VC)</w:t>
            </w:r>
          </w:p>
          <w:p w:rsidR="002703A9" w:rsidRPr="005B217D" w:rsidRDefault="002703A9" w:rsidP="0055585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2703A9" w:rsidRPr="005B217D" w:rsidRDefault="002703A9" w:rsidP="0055585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13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2703A9" w:rsidRPr="005B217D" w:rsidRDefault="002703A9" w:rsidP="00F07103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Document: JCTVC-</w:t>
            </w:r>
            <w:r>
              <w:rPr>
                <w:lang w:val="en-CA"/>
              </w:rPr>
              <w:t>M</w:t>
            </w:r>
            <w:r w:rsidR="00F07103">
              <w:rPr>
                <w:u w:val="single"/>
                <w:lang w:val="en-CA"/>
              </w:rPr>
              <w:t>0328</w:t>
            </w:r>
          </w:p>
        </w:tc>
      </w:tr>
    </w:tbl>
    <w:p w:rsidR="002703A9" w:rsidRPr="005B217D" w:rsidRDefault="002703A9" w:rsidP="002703A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2703A9" w:rsidRPr="005B217D" w:rsidTr="0055585A">
        <w:tc>
          <w:tcPr>
            <w:tcW w:w="1458" w:type="dxa"/>
          </w:tcPr>
          <w:p w:rsidR="002703A9" w:rsidRPr="005B217D" w:rsidRDefault="002703A9" w:rsidP="0055585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2703A9" w:rsidRPr="005B217D" w:rsidRDefault="00492AC0" w:rsidP="00677ED7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SCE1</w:t>
            </w:r>
            <w:r w:rsidR="002703A9">
              <w:rPr>
                <w:b/>
                <w:szCs w:val="22"/>
                <w:lang w:val="en-CA"/>
              </w:rPr>
              <w:t xml:space="preserve">: </w:t>
            </w:r>
            <w:r w:rsidR="00677ED7">
              <w:rPr>
                <w:b/>
                <w:szCs w:val="22"/>
                <w:lang w:val="en-CA"/>
              </w:rPr>
              <w:t>R</w:t>
            </w:r>
            <w:r>
              <w:rPr>
                <w:b/>
                <w:szCs w:val="22"/>
                <w:lang w:val="en-CA"/>
              </w:rPr>
              <w:t>esults of Test 4.2.</w:t>
            </w:r>
            <w:r w:rsidR="00677ED7">
              <w:rPr>
                <w:b/>
                <w:szCs w:val="22"/>
                <w:lang w:val="en-CA"/>
              </w:rPr>
              <w:t xml:space="preserve">3 </w:t>
            </w:r>
            <w:r w:rsidR="000E6427">
              <w:rPr>
                <w:b/>
                <w:szCs w:val="22"/>
                <w:lang w:val="en-CA"/>
              </w:rPr>
              <w:t xml:space="preserve">on </w:t>
            </w:r>
            <w:r w:rsidR="00677ED7">
              <w:rPr>
                <w:b/>
                <w:szCs w:val="22"/>
                <w:lang w:val="en-CA"/>
              </w:rPr>
              <w:t xml:space="preserve">Simplification of </w:t>
            </w:r>
            <w:r w:rsidR="000E6427">
              <w:rPr>
                <w:b/>
                <w:szCs w:val="22"/>
                <w:lang w:val="en-CA"/>
              </w:rPr>
              <w:t>Difference Intra prediction</w:t>
            </w:r>
          </w:p>
        </w:tc>
      </w:tr>
      <w:tr w:rsidR="002703A9" w:rsidRPr="005B217D" w:rsidTr="0055585A">
        <w:tc>
          <w:tcPr>
            <w:tcW w:w="1458" w:type="dxa"/>
          </w:tcPr>
          <w:p w:rsidR="002703A9" w:rsidRPr="005B217D" w:rsidRDefault="002703A9" w:rsidP="0055585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2703A9" w:rsidRPr="005B217D" w:rsidRDefault="002703A9" w:rsidP="0055585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 to JCT-VC</w:t>
            </w:r>
          </w:p>
        </w:tc>
      </w:tr>
      <w:tr w:rsidR="002703A9" w:rsidRPr="005B217D" w:rsidTr="0055585A">
        <w:tc>
          <w:tcPr>
            <w:tcW w:w="1458" w:type="dxa"/>
          </w:tcPr>
          <w:p w:rsidR="002703A9" w:rsidRPr="005B217D" w:rsidRDefault="002703A9" w:rsidP="0055585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2703A9" w:rsidRPr="005B217D" w:rsidRDefault="002703A9" w:rsidP="0055585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2703A9" w:rsidRPr="005B217D" w:rsidTr="0055585A">
        <w:tc>
          <w:tcPr>
            <w:tcW w:w="1458" w:type="dxa"/>
          </w:tcPr>
          <w:p w:rsidR="002703A9" w:rsidRPr="005B217D" w:rsidRDefault="002703A9" w:rsidP="0055585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251A9" w:rsidRDefault="00D251A9" w:rsidP="00D251A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Krishna Rapaka</w:t>
            </w:r>
          </w:p>
          <w:p w:rsidR="00D251A9" w:rsidRDefault="00D251A9" w:rsidP="00D251A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Jianle Chen</w:t>
            </w:r>
          </w:p>
          <w:p w:rsidR="00D251A9" w:rsidRDefault="00D251A9" w:rsidP="00D251A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Xiang Li </w:t>
            </w:r>
          </w:p>
          <w:p w:rsidR="00D251A9" w:rsidRDefault="00D251A9" w:rsidP="00D251A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Marta Karczewicz</w:t>
            </w:r>
          </w:p>
          <w:p w:rsidR="00B81BA3" w:rsidRDefault="00B81BA3" w:rsidP="0055585A">
            <w:pPr>
              <w:spacing w:before="60"/>
              <w:rPr>
                <w:szCs w:val="22"/>
                <w:lang w:val="en-CA" w:eastAsia="ko-KR"/>
              </w:rPr>
            </w:pPr>
          </w:p>
          <w:p w:rsidR="00677ED7" w:rsidRDefault="00677ED7" w:rsidP="00677ED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5775 Morehouse Drive</w:t>
            </w:r>
          </w:p>
          <w:p w:rsidR="00677ED7" w:rsidRDefault="00677ED7" w:rsidP="00677ED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San Diego, CA 92121-1714</w:t>
            </w:r>
          </w:p>
          <w:p w:rsidR="002703A9" w:rsidRPr="0022239C" w:rsidRDefault="00677ED7" w:rsidP="00677ED7">
            <w:pPr>
              <w:spacing w:before="60" w:after="60"/>
              <w:rPr>
                <w:szCs w:val="22"/>
                <w:lang w:val="fr-FR"/>
              </w:rPr>
            </w:pPr>
            <w:r>
              <w:rPr>
                <w:szCs w:val="22"/>
                <w:lang w:val="en-CA"/>
              </w:rPr>
              <w:t>USA</w:t>
            </w:r>
          </w:p>
        </w:tc>
        <w:tc>
          <w:tcPr>
            <w:tcW w:w="900" w:type="dxa"/>
          </w:tcPr>
          <w:p w:rsidR="002703A9" w:rsidRPr="005B217D" w:rsidRDefault="002703A9" w:rsidP="0055585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D251A9" w:rsidRDefault="00A01CAD" w:rsidP="00D251A9">
            <w:pPr>
              <w:spacing w:before="60" w:after="60"/>
            </w:pPr>
            <w:hyperlink r:id="rId11" w:history="1">
              <w:r w:rsidR="00D251A9">
                <w:rPr>
                  <w:rStyle w:val="Hyperlink"/>
                  <w:szCs w:val="22"/>
                  <w:lang w:val="en-CA"/>
                </w:rPr>
                <w:t>krapaka@qti.qualcomm.com</w:t>
              </w:r>
            </w:hyperlink>
          </w:p>
          <w:p w:rsidR="00D251A9" w:rsidRDefault="00A01CAD" w:rsidP="00D251A9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D251A9">
                <w:rPr>
                  <w:rStyle w:val="Hyperlink"/>
                  <w:szCs w:val="22"/>
                  <w:lang w:val="en-CA"/>
                </w:rPr>
                <w:t>cjianle@qti.qualcomm.com</w:t>
              </w:r>
            </w:hyperlink>
          </w:p>
          <w:p w:rsidR="00D251A9" w:rsidRDefault="00A01CAD" w:rsidP="00D251A9">
            <w:pPr>
              <w:spacing w:before="60" w:after="60"/>
              <w:rPr>
                <w:szCs w:val="22"/>
                <w:lang w:val="en-CA"/>
              </w:rPr>
            </w:pPr>
            <w:hyperlink r:id="rId13" w:history="1">
              <w:r w:rsidR="00D251A9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  <w:p w:rsidR="00D251A9" w:rsidRDefault="00A01CAD" w:rsidP="00D251A9">
            <w:pPr>
              <w:spacing w:before="60" w:after="60"/>
              <w:rPr>
                <w:szCs w:val="22"/>
                <w:lang w:val="en-CA"/>
              </w:rPr>
            </w:pPr>
            <w:hyperlink r:id="rId14" w:history="1">
              <w:r w:rsidR="00D251A9">
                <w:rPr>
                  <w:rStyle w:val="Hyperlink"/>
                  <w:szCs w:val="22"/>
                  <w:lang w:val="en-CA"/>
                </w:rPr>
                <w:t>martak@qti.qualcomm.com</w:t>
              </w:r>
            </w:hyperlink>
          </w:p>
          <w:p w:rsidR="008111FA" w:rsidRDefault="008111FA" w:rsidP="0055585A">
            <w:pPr>
              <w:spacing w:before="60" w:after="60"/>
            </w:pPr>
          </w:p>
          <w:p w:rsidR="002703A9" w:rsidRPr="005B217D" w:rsidRDefault="002703A9" w:rsidP="00DA12A9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2703A9" w:rsidRPr="005B217D" w:rsidTr="0055585A">
        <w:tc>
          <w:tcPr>
            <w:tcW w:w="1458" w:type="dxa"/>
          </w:tcPr>
          <w:p w:rsidR="002703A9" w:rsidRPr="005B217D" w:rsidRDefault="002703A9" w:rsidP="0055585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2703A9" w:rsidRDefault="002703A9" w:rsidP="0055585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  <w:p w:rsidR="002703A9" w:rsidRPr="005B217D" w:rsidRDefault="002703A9" w:rsidP="00F65058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2703A9" w:rsidRPr="005B217D" w:rsidRDefault="002703A9" w:rsidP="002703A9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03A9" w:rsidRPr="005B217D" w:rsidRDefault="002703A9" w:rsidP="002703A9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BE54C8" w:rsidRDefault="00BE54C8" w:rsidP="00BE54C8">
      <w:pPr>
        <w:jc w:val="both"/>
        <w:rPr>
          <w:lang w:val="en-CA"/>
        </w:rPr>
      </w:pPr>
      <w:r>
        <w:rPr>
          <w:lang w:val="en-CA"/>
        </w:rPr>
        <w:t>This document reports SHVC SCE1 results of Test 4.2.</w:t>
      </w:r>
      <w:r w:rsidR="007D78BB">
        <w:rPr>
          <w:lang w:val="en-CA"/>
        </w:rPr>
        <w:t xml:space="preserve">3 on simplified </w:t>
      </w:r>
      <w:r w:rsidR="00FA300D">
        <w:rPr>
          <w:lang w:val="en-CA"/>
        </w:rPr>
        <w:t xml:space="preserve">two mode </w:t>
      </w:r>
      <w:r w:rsidR="007D78BB">
        <w:rPr>
          <w:lang w:val="en-CA"/>
        </w:rPr>
        <w:t>difference domain prediction</w:t>
      </w:r>
      <w:r w:rsidR="00FA300D">
        <w:rPr>
          <w:lang w:val="en-CA"/>
        </w:rPr>
        <w:t>.</w:t>
      </w:r>
      <w:r>
        <w:rPr>
          <w:lang w:val="en-CA"/>
        </w:rPr>
        <w:t xml:space="preserve"> Difference</w:t>
      </w:r>
      <w:r w:rsidR="00FA300D">
        <w:rPr>
          <w:lang w:val="en-CA"/>
        </w:rPr>
        <w:t xml:space="preserve"> domain Intra Prediction (DIP) </w:t>
      </w:r>
      <w:r>
        <w:rPr>
          <w:lang w:val="en-CA"/>
        </w:rPr>
        <w:t xml:space="preserve">is a predictive coding tool which </w:t>
      </w:r>
      <w:r>
        <w:rPr>
          <w:szCs w:val="22"/>
          <w:lang w:val="en-CA"/>
        </w:rPr>
        <w:t>uses reconstructed pixels from spatial neighbors of current enhancement layer and co-located base layer to predict the current enhancement layer block.</w:t>
      </w:r>
      <w:r w:rsidR="00FA300D">
        <w:rPr>
          <w:szCs w:val="22"/>
          <w:lang w:val="en-CA"/>
        </w:rPr>
        <w:t xml:space="preserve"> In this contribution </w:t>
      </w:r>
      <w:r w:rsidR="00FA300D">
        <w:rPr>
          <w:lang w:val="en-CA"/>
        </w:rPr>
        <w:t xml:space="preserve">only two intra prediction modes, namely, horizontal and vertical are enabled for DIP and the best mode of these two is signaled using a flag. In addition, MDIS and pixel filtering in horizontal and vertical prediction modes are disabled. </w:t>
      </w:r>
      <w:r>
        <w:rPr>
          <w:szCs w:val="22"/>
          <w:lang w:val="en-CA"/>
        </w:rPr>
        <w:t xml:space="preserve"> </w:t>
      </w:r>
      <w:r>
        <w:rPr>
          <w:lang w:val="en-CA"/>
        </w:rPr>
        <w:t xml:space="preserve">It is reported that </w:t>
      </w:r>
      <w:proofErr w:type="gramStart"/>
      <w:r w:rsidR="00FA300D">
        <w:t>It</w:t>
      </w:r>
      <w:proofErr w:type="gramEnd"/>
      <w:r w:rsidR="00FA300D">
        <w:t xml:space="preserve"> is reported that for this test</w:t>
      </w:r>
      <w:r w:rsidR="00FA300D">
        <w:rPr>
          <w:lang w:val="en-CA"/>
        </w:rPr>
        <w:t xml:space="preserve"> a </w:t>
      </w:r>
      <w:proofErr w:type="spellStart"/>
      <w:r w:rsidR="00FA300D">
        <w:rPr>
          <w:lang w:val="en-CA"/>
        </w:rPr>
        <w:t>luma</w:t>
      </w:r>
      <w:proofErr w:type="spellEnd"/>
      <w:r w:rsidR="00FA300D">
        <w:rPr>
          <w:lang w:val="en-CA"/>
        </w:rPr>
        <w:t xml:space="preserve"> BD-rate reduction (EL+ BL) of 0.</w:t>
      </w:r>
      <w:r w:rsidR="00A835C7">
        <w:rPr>
          <w:lang w:val="en-CA"/>
        </w:rPr>
        <w:t>4</w:t>
      </w:r>
      <w:r w:rsidR="00FA300D">
        <w:rPr>
          <w:lang w:val="en-CA"/>
        </w:rPr>
        <w:t>% and 0.</w:t>
      </w:r>
      <w:r w:rsidR="00A835C7">
        <w:rPr>
          <w:lang w:val="en-CA"/>
        </w:rPr>
        <w:t>3</w:t>
      </w:r>
      <w:r w:rsidR="00FA300D">
        <w:rPr>
          <w:lang w:val="en-CA"/>
        </w:rPr>
        <w:t>% is obtained for AI 2x and AI 1.5x spatial scalability cases respectively.</w:t>
      </w:r>
      <w:r>
        <w:rPr>
          <w:lang w:val="en-CA"/>
        </w:rPr>
        <w:t xml:space="preserve"> </w:t>
      </w:r>
    </w:p>
    <w:p w:rsidR="009602C7" w:rsidRDefault="009602C7" w:rsidP="009602C7">
      <w:pPr>
        <w:pStyle w:val="Heading1"/>
        <w:rPr>
          <w:lang w:val="en-CA"/>
        </w:rPr>
      </w:pPr>
      <w:r>
        <w:rPr>
          <w:lang w:val="en-CA"/>
        </w:rPr>
        <w:t>Technical description</w:t>
      </w:r>
    </w:p>
    <w:p w:rsidR="003008B3" w:rsidRDefault="003008B3" w:rsidP="003008B3">
      <w:pPr>
        <w:pStyle w:val="Heading2"/>
        <w:rPr>
          <w:lang w:val="en-CA"/>
        </w:rPr>
      </w:pPr>
      <w:r>
        <w:rPr>
          <w:lang w:val="en-CA"/>
        </w:rPr>
        <w:t>Difference Domain Intra Prediction</w:t>
      </w:r>
    </w:p>
    <w:p w:rsidR="003008B3" w:rsidRDefault="003008B3" w:rsidP="003008B3">
      <w:pPr>
        <w:jc w:val="both"/>
      </w:pPr>
      <w:r>
        <w:rPr>
          <w:szCs w:val="22"/>
          <w:lang w:val="en-CA"/>
        </w:rPr>
        <w:t xml:space="preserve"> The Difference Domain intra Prediction (DIP) was proposed in </w:t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_Ref344988285 \r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[1</w:t>
      </w:r>
      <w:proofErr w:type="gramStart"/>
      <w:r>
        <w:rPr>
          <w:szCs w:val="22"/>
          <w:lang w:val="en-CA"/>
        </w:rPr>
        <w:t>]</w:t>
      </w:r>
      <w:proofErr w:type="gramEnd"/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_Ref344988289 \r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[2]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to improve the coding efficiency of SHVC. </w:t>
      </w:r>
      <w:r>
        <w:t xml:space="preserve">In the DIP, as shown in </w:t>
      </w:r>
      <w:r>
        <w:fldChar w:fldCharType="begin"/>
      </w:r>
      <w:r>
        <w:instrText xml:space="preserve"> REF _Ref336773184 \h </w:instrText>
      </w:r>
      <w:r>
        <w:fldChar w:fldCharType="separate"/>
      </w:r>
      <w:r>
        <w:t xml:space="preserve">Figure </w:t>
      </w:r>
      <w:r>
        <w:rPr>
          <w:noProof/>
        </w:rPr>
        <w:t>1</w:t>
      </w:r>
      <w:r>
        <w:fldChar w:fldCharType="end"/>
      </w:r>
      <w:r>
        <w:t>, the difference between the pixels of current neighbors and that of collocated BL neighbors are used to generate a difference prediction based on the intra prediction mode. The generated difference prediction signal is added to the collocated BL block signal to form the final prediction.</w:t>
      </w:r>
    </w:p>
    <w:p w:rsidR="003008B3" w:rsidRDefault="003008B3" w:rsidP="003008B3">
      <w:pPr>
        <w:spacing w:before="120"/>
        <w:jc w:val="both"/>
      </w:pPr>
      <w:r>
        <w:t xml:space="preserve">The difference domain prediction mode is indicated by a flag </w:t>
      </w:r>
      <w:proofErr w:type="spellStart"/>
      <w:r>
        <w:rPr>
          <w:i/>
        </w:rPr>
        <w:t>intra_resi_pred_flag</w:t>
      </w:r>
      <w:proofErr w:type="spellEnd"/>
      <w:r>
        <w:t xml:space="preserve"> at CU level.</w:t>
      </w:r>
    </w:p>
    <w:p w:rsidR="003008B3" w:rsidRDefault="003008B3" w:rsidP="003008B3">
      <w:pPr>
        <w:spacing w:before="120"/>
        <w:jc w:val="both"/>
      </w:pPr>
    </w:p>
    <w:p w:rsidR="003008B3" w:rsidRDefault="003008B3" w:rsidP="003008B3">
      <w:pPr>
        <w:spacing w:before="120"/>
        <w:jc w:val="both"/>
      </w:pPr>
    </w:p>
    <w:p w:rsidR="003008B3" w:rsidRDefault="003008B3" w:rsidP="003008B3">
      <w:pPr>
        <w:jc w:val="center"/>
      </w:pPr>
      <w:r>
        <w:object w:dxaOrig="4305" w:dyaOrig="44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5.45pt;height:221.35pt" o:ole="">
            <v:imagedata r:id="rId15" o:title=""/>
          </v:shape>
          <o:OLEObject Type="Embed" ProgID="Visio.Drawing.11" ShapeID="_x0000_i1025" DrawAspect="Content" ObjectID="_1426973806" r:id="rId16"/>
        </w:object>
      </w:r>
    </w:p>
    <w:p w:rsidR="003008B3" w:rsidRPr="003008B3" w:rsidRDefault="003008B3" w:rsidP="003008B3">
      <w:pPr>
        <w:pStyle w:val="Caption"/>
        <w:jc w:val="center"/>
        <w:rPr>
          <w:color w:val="auto"/>
        </w:rPr>
      </w:pPr>
      <w:r w:rsidRPr="003008B3">
        <w:rPr>
          <w:color w:val="auto"/>
        </w:rPr>
        <w:t xml:space="preserve">Figure </w:t>
      </w:r>
      <w:r w:rsidRPr="003008B3">
        <w:rPr>
          <w:color w:val="auto"/>
        </w:rPr>
        <w:fldChar w:fldCharType="begin"/>
      </w:r>
      <w:r w:rsidRPr="003008B3">
        <w:rPr>
          <w:color w:val="auto"/>
        </w:rPr>
        <w:instrText xml:space="preserve"> SEQ Figure \* ARABIC </w:instrText>
      </w:r>
      <w:r w:rsidRPr="003008B3">
        <w:rPr>
          <w:color w:val="auto"/>
        </w:rPr>
        <w:fldChar w:fldCharType="separate"/>
      </w:r>
      <w:r w:rsidRPr="003008B3">
        <w:rPr>
          <w:noProof/>
          <w:color w:val="auto"/>
        </w:rPr>
        <w:t>1</w:t>
      </w:r>
      <w:r w:rsidRPr="003008B3">
        <w:rPr>
          <w:color w:val="auto"/>
        </w:rPr>
        <w:fldChar w:fldCharType="end"/>
      </w:r>
      <w:r w:rsidRPr="003008B3">
        <w:rPr>
          <w:color w:val="auto"/>
        </w:rPr>
        <w:t xml:space="preserve"> Difference Domain Intra Prediction</w:t>
      </w:r>
    </w:p>
    <w:p w:rsidR="003008B3" w:rsidRDefault="003008B3" w:rsidP="003008B3">
      <w:pPr>
        <w:pStyle w:val="Heading2"/>
        <w:rPr>
          <w:lang w:val="en-CA"/>
        </w:rPr>
      </w:pPr>
      <w:r>
        <w:rPr>
          <w:lang w:val="en-CA"/>
        </w:rPr>
        <w:t>Simplified DIP with only two Intra Prediction Modes</w:t>
      </w:r>
    </w:p>
    <w:p w:rsidR="003008B3" w:rsidRDefault="003008B3" w:rsidP="003008B3">
      <w:pPr>
        <w:jc w:val="both"/>
        <w:rPr>
          <w:lang w:val="en-CA" w:eastAsia="ko-KR"/>
        </w:rPr>
      </w:pPr>
      <w:r>
        <w:t xml:space="preserve">In this method, </w:t>
      </w:r>
      <w:r>
        <w:rPr>
          <w:lang w:val="en-CA"/>
        </w:rPr>
        <w:t>only two intra prediction modes, namely, horizontal and vertical are enabled for DIP. The best modes of these two are signaled using a flag at PU level. In Addition, MDIS and pixel filtering for horizontal and vertical modes are disabled for DIP mode. As a result, the DIP process at the enhancement layer is shown as follows,</w:t>
      </w:r>
    </w:p>
    <w:p w:rsidR="003008B3" w:rsidRDefault="003008B3" w:rsidP="003008B3">
      <w:pPr>
        <w:jc w:val="center"/>
        <w:rPr>
          <w:lang w:val="en-CA" w:eastAsia="ko-KR"/>
        </w:rPr>
      </w:pPr>
      <w:r>
        <w:rPr>
          <w:lang w:val="en-CA" w:eastAsia="ko-KR"/>
        </w:rPr>
        <w:t>P</w:t>
      </w:r>
      <w:r>
        <w:rPr>
          <w:vertAlign w:val="subscript"/>
          <w:lang w:val="en-CA" w:eastAsia="ko-KR"/>
        </w:rPr>
        <w:t>f</w:t>
      </w:r>
      <w:r>
        <w:rPr>
          <w:lang w:val="en-CA" w:eastAsia="ko-KR"/>
        </w:rPr>
        <w:t>(x,y) = B(x,y) + (P</w:t>
      </w:r>
      <w:r>
        <w:rPr>
          <w:vertAlign w:val="subscript"/>
          <w:lang w:val="en-CA" w:eastAsia="ko-KR"/>
        </w:rPr>
        <w:t>e</w:t>
      </w:r>
      <w:r>
        <w:rPr>
          <w:lang w:val="en-CA" w:eastAsia="ko-KR"/>
        </w:rPr>
        <w:t>(x</w:t>
      </w:r>
      <w:r>
        <w:rPr>
          <w:vertAlign w:val="subscript"/>
          <w:lang w:val="en-CA" w:eastAsia="ko-KR"/>
        </w:rPr>
        <w:t>R</w:t>
      </w:r>
      <w:r>
        <w:rPr>
          <w:lang w:val="en-CA" w:eastAsia="ko-KR"/>
        </w:rPr>
        <w:t>,y</w:t>
      </w:r>
      <w:r>
        <w:rPr>
          <w:vertAlign w:val="subscript"/>
          <w:lang w:val="en-CA" w:eastAsia="ko-KR"/>
        </w:rPr>
        <w:t>R</w:t>
      </w:r>
      <w:r>
        <w:rPr>
          <w:lang w:val="en-CA" w:eastAsia="ko-KR"/>
        </w:rPr>
        <w:t>) - P</w:t>
      </w:r>
      <w:r>
        <w:rPr>
          <w:vertAlign w:val="subscript"/>
          <w:lang w:val="en-CA" w:eastAsia="ko-KR"/>
        </w:rPr>
        <w:t>b</w:t>
      </w:r>
      <w:r>
        <w:rPr>
          <w:lang w:val="en-CA" w:eastAsia="ko-KR"/>
        </w:rPr>
        <w:t>(x</w:t>
      </w:r>
      <w:r>
        <w:rPr>
          <w:vertAlign w:val="subscript"/>
          <w:lang w:val="en-CA" w:eastAsia="ko-KR"/>
        </w:rPr>
        <w:t>R</w:t>
      </w:r>
      <w:r>
        <w:rPr>
          <w:lang w:val="en-CA" w:eastAsia="ko-KR"/>
        </w:rPr>
        <w:t>,y</w:t>
      </w:r>
      <w:r>
        <w:rPr>
          <w:vertAlign w:val="subscript"/>
          <w:lang w:val="en-CA" w:eastAsia="ko-KR"/>
        </w:rPr>
        <w:t>R</w:t>
      </w:r>
      <w:r>
        <w:rPr>
          <w:lang w:val="en-CA" w:eastAsia="ko-KR"/>
        </w:rPr>
        <w:t>))</w:t>
      </w:r>
    </w:p>
    <w:p w:rsidR="003008B3" w:rsidRDefault="003008B3" w:rsidP="003008B3">
      <w:pPr>
        <w:jc w:val="both"/>
        <w:rPr>
          <w:lang w:val="en-CA"/>
        </w:rPr>
      </w:pPr>
      <w:r>
        <w:rPr>
          <w:lang w:val="en-CA"/>
        </w:rPr>
        <w:t>where,</w:t>
      </w:r>
    </w:p>
    <w:p w:rsidR="003008B3" w:rsidRDefault="003008B3" w:rsidP="003008B3">
      <w:pPr>
        <w:jc w:val="both"/>
        <w:rPr>
          <w:lang w:val="en-CA"/>
        </w:rPr>
      </w:pPr>
      <w:r>
        <w:rPr>
          <w:lang w:val="en-CA"/>
        </w:rPr>
        <w:t>P</w:t>
      </w:r>
      <w:r>
        <w:rPr>
          <w:lang w:val="en-CA"/>
        </w:rPr>
        <w:softHyphen/>
      </w:r>
      <w:r>
        <w:rPr>
          <w:vertAlign w:val="subscript"/>
          <w:lang w:val="en-CA"/>
        </w:rPr>
        <w:t>f</w:t>
      </w:r>
      <w:r>
        <w:rPr>
          <w:lang w:val="en-CA"/>
        </w:rPr>
        <w:t>(x,y) : Final Prediction Pixels for the enhancement layer block</w:t>
      </w:r>
    </w:p>
    <w:p w:rsidR="003008B3" w:rsidRDefault="003008B3" w:rsidP="003008B3">
      <w:pPr>
        <w:jc w:val="both"/>
        <w:rPr>
          <w:lang w:val="en-CA"/>
        </w:rPr>
      </w:pPr>
      <w:r>
        <w:rPr>
          <w:lang w:val="en-CA"/>
        </w:rPr>
        <w:t xml:space="preserve">B(x,y) : Collocated Base layer pixels (INTRA-BL Prediction) </w:t>
      </w:r>
    </w:p>
    <w:p w:rsidR="003008B3" w:rsidRDefault="003008B3" w:rsidP="003008B3">
      <w:pPr>
        <w:jc w:val="both"/>
        <w:rPr>
          <w:lang w:val="en-CA"/>
        </w:rPr>
      </w:pPr>
      <w:r>
        <w:rPr>
          <w:lang w:val="en-CA"/>
        </w:rPr>
        <w:t>P</w:t>
      </w:r>
      <w:r>
        <w:rPr>
          <w:vertAlign w:val="subscript"/>
          <w:lang w:val="en-CA"/>
        </w:rPr>
        <w:t>e</w:t>
      </w:r>
      <w:r>
        <w:rPr>
          <w:lang w:val="en-CA"/>
        </w:rPr>
        <w:t>(x</w:t>
      </w:r>
      <w:r>
        <w:rPr>
          <w:vertAlign w:val="subscript"/>
          <w:lang w:val="en-CA"/>
        </w:rPr>
        <w:t>R</w:t>
      </w:r>
      <w:r>
        <w:rPr>
          <w:lang w:val="en-CA"/>
        </w:rPr>
        <w:t>,y</w:t>
      </w:r>
      <w:r>
        <w:rPr>
          <w:vertAlign w:val="subscript"/>
          <w:lang w:val="en-CA"/>
        </w:rPr>
        <w:t>R</w:t>
      </w:r>
      <w:r>
        <w:rPr>
          <w:lang w:val="en-CA"/>
        </w:rPr>
        <w:t>) :  Spatial reference pixels for the enhancement layer block based on intra prediction direction</w:t>
      </w:r>
    </w:p>
    <w:p w:rsidR="003008B3" w:rsidRDefault="003008B3" w:rsidP="003008B3">
      <w:pPr>
        <w:jc w:val="both"/>
        <w:rPr>
          <w:lang w:val="en-CA"/>
        </w:rPr>
      </w:pPr>
      <w:r>
        <w:rPr>
          <w:lang w:val="en-CA"/>
        </w:rPr>
        <w:t>P</w:t>
      </w:r>
      <w:r>
        <w:rPr>
          <w:vertAlign w:val="subscript"/>
          <w:lang w:val="en-CA"/>
        </w:rPr>
        <w:t>b</w:t>
      </w:r>
      <w:r>
        <w:rPr>
          <w:lang w:val="en-CA"/>
        </w:rPr>
        <w:t>(x</w:t>
      </w:r>
      <w:r>
        <w:rPr>
          <w:vertAlign w:val="subscript"/>
          <w:lang w:val="en-CA"/>
        </w:rPr>
        <w:t>R</w:t>
      </w:r>
      <w:r>
        <w:rPr>
          <w:lang w:val="en-CA"/>
        </w:rPr>
        <w:t>,y</w:t>
      </w:r>
      <w:r>
        <w:rPr>
          <w:lang w:val="en-CA"/>
        </w:rPr>
        <w:softHyphen/>
      </w:r>
      <w:r>
        <w:rPr>
          <w:vertAlign w:val="subscript"/>
          <w:lang w:val="en-CA"/>
        </w:rPr>
        <w:t>R</w:t>
      </w:r>
      <w:r>
        <w:rPr>
          <w:lang w:val="en-CA"/>
        </w:rPr>
        <w:t>) :  Corresponding spatial reference pixels for the collocated base layer block based on intra prediction direction</w:t>
      </w:r>
    </w:p>
    <w:p w:rsidR="003008B3" w:rsidRDefault="003008B3" w:rsidP="003008B3">
      <w:pPr>
        <w:jc w:val="both"/>
      </w:pPr>
      <w:r>
        <w:t xml:space="preserve">Since MDIS and Intra Filtering for horizontal and vertical mode are disabled, the intra </w:t>
      </w:r>
      <w:r>
        <w:rPr>
          <w:lang w:val="en-CA"/>
        </w:rPr>
        <w:t xml:space="preserve">prediction pixel </w:t>
      </w:r>
      <w:r>
        <w:t xml:space="preserve">generation for </w:t>
      </w:r>
      <w:r>
        <w:rPr>
          <w:lang w:val="en-CA" w:eastAsia="ko-KR"/>
        </w:rPr>
        <w:t>P</w:t>
      </w:r>
      <w:r>
        <w:rPr>
          <w:vertAlign w:val="subscript"/>
          <w:lang w:val="en-CA" w:eastAsia="ko-KR"/>
        </w:rPr>
        <w:t>e</w:t>
      </w:r>
      <w:r>
        <w:rPr>
          <w:lang w:val="en-CA" w:eastAsia="ko-KR"/>
        </w:rPr>
        <w:t>(x</w:t>
      </w:r>
      <w:r>
        <w:rPr>
          <w:vertAlign w:val="subscript"/>
          <w:lang w:val="en-CA" w:eastAsia="ko-KR"/>
        </w:rPr>
        <w:t>R</w:t>
      </w:r>
      <w:r>
        <w:rPr>
          <w:lang w:val="en-CA" w:eastAsia="ko-KR"/>
        </w:rPr>
        <w:t>,y</w:t>
      </w:r>
      <w:r>
        <w:rPr>
          <w:vertAlign w:val="subscript"/>
          <w:lang w:val="en-CA" w:eastAsia="ko-KR"/>
        </w:rPr>
        <w:t>R</w:t>
      </w:r>
      <w:r>
        <w:rPr>
          <w:lang w:val="en-CA" w:eastAsia="ko-KR"/>
        </w:rPr>
        <w:t>) and P</w:t>
      </w:r>
      <w:r>
        <w:rPr>
          <w:vertAlign w:val="subscript"/>
          <w:lang w:val="en-CA" w:eastAsia="ko-KR"/>
        </w:rPr>
        <w:t>b</w:t>
      </w:r>
      <w:r>
        <w:rPr>
          <w:lang w:val="en-CA" w:eastAsia="ko-KR"/>
        </w:rPr>
        <w:t>(x</w:t>
      </w:r>
      <w:r>
        <w:rPr>
          <w:vertAlign w:val="subscript"/>
          <w:lang w:val="en-CA" w:eastAsia="ko-KR"/>
        </w:rPr>
        <w:t>R</w:t>
      </w:r>
      <w:r>
        <w:rPr>
          <w:lang w:val="en-CA" w:eastAsia="ko-KR"/>
        </w:rPr>
        <w:t>,y</w:t>
      </w:r>
      <w:r>
        <w:rPr>
          <w:vertAlign w:val="subscript"/>
          <w:lang w:val="en-CA" w:eastAsia="ko-KR"/>
        </w:rPr>
        <w:t>R</w:t>
      </w:r>
      <w:r>
        <w:rPr>
          <w:lang w:val="en-CA" w:eastAsia="ko-KR"/>
        </w:rPr>
        <w:t xml:space="preserve">) </w:t>
      </w:r>
      <w:r>
        <w:t>can be by-passed in DIP.</w:t>
      </w:r>
    </w:p>
    <w:p w:rsidR="009602C7" w:rsidRDefault="009602C7" w:rsidP="009602C7">
      <w:pPr>
        <w:pStyle w:val="Heading1"/>
        <w:rPr>
          <w:lang w:val="en-CA"/>
        </w:rPr>
      </w:pPr>
      <w:r>
        <w:rPr>
          <w:lang w:val="en-CA"/>
        </w:rPr>
        <w:t>Test Results</w:t>
      </w:r>
    </w:p>
    <w:p w:rsidR="009602C7" w:rsidRDefault="00B230AF" w:rsidP="009602C7">
      <w:pPr>
        <w:jc w:val="both"/>
        <w:rPr>
          <w:lang w:val="en-CA"/>
        </w:rPr>
      </w:pPr>
      <w:r>
        <w:rPr>
          <w:lang w:val="en-CA"/>
        </w:rPr>
        <w:t xml:space="preserve">The proposed method </w:t>
      </w:r>
      <w:r>
        <w:rPr>
          <w:lang w:val="en-CA" w:eastAsia="ko-KR"/>
        </w:rPr>
        <w:t xml:space="preserve">is implemented on SHM-1.0 intraBL framework and </w:t>
      </w:r>
      <w:r>
        <w:rPr>
          <w:lang w:val="en-CA"/>
        </w:rPr>
        <w:t>experimentally verified under SHVC common test conditions defined by JCTVC-L1009 and the results are summarized in the following tables for AI 2x and 1.5x spatial scalability cases.</w:t>
      </w:r>
      <w:r w:rsidR="009602C7">
        <w:rPr>
          <w:lang w:val="en-CA"/>
        </w:rPr>
        <w:t xml:space="preserve"> Thanks to </w:t>
      </w:r>
      <w:r w:rsidR="00CF5F4E">
        <w:rPr>
          <w:lang w:val="en-CA"/>
        </w:rPr>
        <w:t>LG Electronics</w:t>
      </w:r>
      <w:r w:rsidR="009602C7">
        <w:rPr>
          <w:lang w:val="en-CA"/>
        </w:rPr>
        <w:t xml:space="preserve"> for crosschecking the tests.</w:t>
      </w:r>
    </w:p>
    <w:p w:rsidR="009602C7" w:rsidRDefault="009602C7" w:rsidP="009602C7">
      <w:pPr>
        <w:jc w:val="center"/>
        <w:rPr>
          <w:b/>
          <w:szCs w:val="22"/>
          <w:lang w:eastAsia="zh-TW"/>
        </w:rPr>
      </w:pPr>
      <w:bookmarkStart w:id="0" w:name="_Ref282184721"/>
      <w:r>
        <w:rPr>
          <w:b/>
          <w:szCs w:val="22"/>
        </w:rPr>
        <w:t xml:space="preserve">Table </w:t>
      </w:r>
      <w:bookmarkEnd w:id="0"/>
      <w:r>
        <w:rPr>
          <w:b/>
          <w:szCs w:val="22"/>
        </w:rPr>
        <w:t>1:</w:t>
      </w:r>
      <w:r>
        <w:rPr>
          <w:b/>
          <w:szCs w:val="22"/>
          <w:lang w:eastAsia="zh-TW"/>
        </w:rPr>
        <w:t xml:space="preserve">  Experimental results of Difference Domain Intra Prediction </w:t>
      </w:r>
      <w:r w:rsidR="008D4E18">
        <w:rPr>
          <w:b/>
          <w:szCs w:val="22"/>
          <w:lang w:eastAsia="zh-TW"/>
        </w:rPr>
        <w:t>for AI configuration</w:t>
      </w:r>
    </w:p>
    <w:p w:rsidR="00453C4F" w:rsidRDefault="00453C4F" w:rsidP="009602C7">
      <w:pPr>
        <w:jc w:val="center"/>
        <w:rPr>
          <w:b/>
          <w:szCs w:val="22"/>
          <w:lang w:eastAsia="zh-TW"/>
        </w:rPr>
      </w:pPr>
    </w:p>
    <w:tbl>
      <w:tblPr>
        <w:tblW w:w="8917" w:type="dxa"/>
        <w:tblInd w:w="108" w:type="dxa"/>
        <w:tblLook w:val="04A0" w:firstRow="1" w:lastRow="0" w:firstColumn="1" w:lastColumn="0" w:noHBand="0" w:noVBand="1"/>
      </w:tblPr>
      <w:tblGrid>
        <w:gridCol w:w="2229"/>
        <w:gridCol w:w="1122"/>
        <w:gridCol w:w="1100"/>
        <w:gridCol w:w="1122"/>
        <w:gridCol w:w="1092"/>
        <w:gridCol w:w="1160"/>
        <w:gridCol w:w="1092"/>
      </w:tblGrid>
      <w:tr w:rsidR="00453C4F" w:rsidRPr="00453C4F" w:rsidTr="00453C4F">
        <w:trPr>
          <w:trHeight w:val="248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4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2x</w:t>
            </w:r>
          </w:p>
        </w:tc>
        <w:tc>
          <w:tcPr>
            <w:tcW w:w="334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1.5x</w:t>
            </w:r>
          </w:p>
        </w:tc>
      </w:tr>
      <w:tr w:rsidR="00453C4F" w:rsidRPr="00453C4F" w:rsidTr="00453C4F">
        <w:trPr>
          <w:trHeight w:val="248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453C4F" w:rsidRPr="00453C4F" w:rsidTr="00453C4F">
        <w:trPr>
          <w:trHeight w:val="248"/>
        </w:trPr>
        <w:tc>
          <w:tcPr>
            <w:tcW w:w="22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53C4F" w:rsidRPr="00453C4F" w:rsidTr="00453C4F">
        <w:trPr>
          <w:trHeight w:val="248"/>
        </w:trPr>
        <w:tc>
          <w:tcPr>
            <w:tcW w:w="22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453C4F" w:rsidRPr="00453C4F" w:rsidTr="00453C4F">
        <w:trPr>
          <w:trHeight w:val="248"/>
        </w:trPr>
        <w:tc>
          <w:tcPr>
            <w:tcW w:w="22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Overall (Test </w:t>
            </w:r>
            <w:proofErr w:type="spellStart"/>
            <w:r w:rsidRPr="00453C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</w:t>
            </w:r>
            <w:proofErr w:type="spellEnd"/>
            <w:r w:rsidRPr="00453C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Ref)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453C4F" w:rsidRPr="00453C4F" w:rsidTr="00453C4F">
        <w:trPr>
          <w:trHeight w:val="248"/>
        </w:trPr>
        <w:tc>
          <w:tcPr>
            <w:tcW w:w="22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3C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(Test </w:t>
            </w:r>
            <w:proofErr w:type="spellStart"/>
            <w:r w:rsidRPr="00453C4F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453C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53C4F">
              <w:rPr>
                <w:rFonts w:ascii="Arial" w:hAnsi="Arial" w:cs="Arial"/>
                <w:sz w:val="18"/>
                <w:szCs w:val="18"/>
              </w:rPr>
              <w:t>12.0%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53C4F">
              <w:rPr>
                <w:rFonts w:ascii="Arial" w:hAnsi="Arial" w:cs="Arial"/>
                <w:sz w:val="18"/>
                <w:szCs w:val="18"/>
              </w:rPr>
              <w:t>13.4%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53C4F">
              <w:rPr>
                <w:rFonts w:ascii="Arial" w:hAnsi="Arial" w:cs="Arial"/>
                <w:sz w:val="18"/>
                <w:szCs w:val="18"/>
              </w:rPr>
              <w:t>13.0%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53C4F">
              <w:rPr>
                <w:rFonts w:ascii="Arial" w:hAnsi="Arial" w:cs="Arial"/>
                <w:sz w:val="18"/>
                <w:szCs w:val="18"/>
              </w:rPr>
              <w:t>9.9%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53C4F">
              <w:rPr>
                <w:rFonts w:ascii="Arial" w:hAnsi="Arial" w:cs="Arial"/>
                <w:sz w:val="18"/>
                <w:szCs w:val="18"/>
              </w:rPr>
              <w:t>10.3%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53C4F">
              <w:rPr>
                <w:rFonts w:ascii="Arial" w:hAnsi="Arial" w:cs="Arial"/>
                <w:sz w:val="18"/>
                <w:szCs w:val="18"/>
              </w:rPr>
              <w:t>9.7%</w:t>
            </w:r>
          </w:p>
        </w:tc>
      </w:tr>
      <w:tr w:rsidR="00453C4F" w:rsidRPr="00453C4F" w:rsidTr="00453C4F">
        <w:trPr>
          <w:trHeight w:val="248"/>
        </w:trPr>
        <w:tc>
          <w:tcPr>
            <w:tcW w:w="2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</w:rPr>
            </w:pPr>
            <w:r w:rsidRPr="00453C4F">
              <w:rPr>
                <w:rFonts w:ascii="Arial" w:hAnsi="Arial" w:cs="Arial"/>
                <w:b/>
                <w:bCs/>
                <w:color w:val="808080"/>
                <w:sz w:val="18"/>
                <w:szCs w:val="18"/>
              </w:rPr>
              <w:t xml:space="preserve">EL only (Test </w:t>
            </w:r>
            <w:proofErr w:type="spellStart"/>
            <w:r w:rsidRPr="00453C4F">
              <w:rPr>
                <w:rFonts w:ascii="Arial" w:hAnsi="Arial" w:cs="Arial"/>
                <w:b/>
                <w:bCs/>
                <w:color w:val="808080"/>
                <w:sz w:val="18"/>
                <w:szCs w:val="18"/>
              </w:rPr>
              <w:t>vs</w:t>
            </w:r>
            <w:proofErr w:type="spellEnd"/>
            <w:r w:rsidRPr="00453C4F">
              <w:rPr>
                <w:rFonts w:ascii="Arial" w:hAnsi="Arial" w:cs="Arial"/>
                <w:b/>
                <w:bCs/>
                <w:color w:val="808080"/>
                <w:sz w:val="18"/>
                <w:szCs w:val="18"/>
              </w:rPr>
              <w:t xml:space="preserve"> Ref)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808080"/>
                <w:sz w:val="18"/>
                <w:szCs w:val="18"/>
              </w:rPr>
              <w:t>-0.5%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808080"/>
                <w:sz w:val="18"/>
                <w:szCs w:val="18"/>
              </w:rPr>
              <w:t>-0.4%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808080"/>
                <w:sz w:val="18"/>
                <w:szCs w:val="18"/>
              </w:rPr>
              <w:t>-0.4%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808080"/>
                <w:sz w:val="18"/>
                <w:szCs w:val="18"/>
              </w:rPr>
              <w:t>-0.6%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</w:tr>
      <w:tr w:rsidR="00453C4F" w:rsidRPr="00453C4F" w:rsidTr="00453C4F">
        <w:trPr>
          <w:trHeight w:val="248"/>
        </w:trPr>
        <w:tc>
          <w:tcPr>
            <w:tcW w:w="22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34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124.9%</w:t>
            </w:r>
          </w:p>
        </w:tc>
        <w:tc>
          <w:tcPr>
            <w:tcW w:w="334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121.1%</w:t>
            </w:r>
          </w:p>
        </w:tc>
      </w:tr>
      <w:tr w:rsidR="00453C4F" w:rsidRPr="00453C4F" w:rsidTr="00453C4F">
        <w:trPr>
          <w:trHeight w:val="248"/>
        </w:trPr>
        <w:tc>
          <w:tcPr>
            <w:tcW w:w="2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Dec Time[%]</w:t>
            </w:r>
          </w:p>
        </w:tc>
        <w:tc>
          <w:tcPr>
            <w:tcW w:w="3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100.2%</w:t>
            </w:r>
          </w:p>
        </w:tc>
        <w:tc>
          <w:tcPr>
            <w:tcW w:w="3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100.6%</w:t>
            </w:r>
          </w:p>
        </w:tc>
      </w:tr>
      <w:tr w:rsidR="00453C4F" w:rsidRPr="00453C4F" w:rsidTr="00453C4F">
        <w:trPr>
          <w:trHeight w:val="248"/>
        </w:trPr>
        <w:tc>
          <w:tcPr>
            <w:tcW w:w="22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Mem</w:t>
            </w:r>
            <w:proofErr w:type="spellEnd"/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[%]</w:t>
            </w:r>
          </w:p>
        </w:tc>
        <w:tc>
          <w:tcPr>
            <w:tcW w:w="334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100.3%</w:t>
            </w:r>
          </w:p>
        </w:tc>
        <w:tc>
          <w:tcPr>
            <w:tcW w:w="334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100.1%</w:t>
            </w:r>
          </w:p>
        </w:tc>
      </w:tr>
      <w:tr w:rsidR="00453C4F" w:rsidRPr="00453C4F" w:rsidTr="00453C4F">
        <w:trPr>
          <w:trHeight w:val="248"/>
        </w:trPr>
        <w:tc>
          <w:tcPr>
            <w:tcW w:w="22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33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33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C4F" w:rsidRPr="00453C4F" w:rsidRDefault="00453C4F" w:rsidP="00453C4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3C4F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</w:tbl>
    <w:p w:rsidR="00453C4F" w:rsidRDefault="00453C4F" w:rsidP="009602C7">
      <w:pPr>
        <w:jc w:val="center"/>
        <w:rPr>
          <w:b/>
          <w:szCs w:val="22"/>
          <w:lang w:eastAsia="zh-TW"/>
        </w:rPr>
      </w:pPr>
    </w:p>
    <w:p w:rsidR="009602C7" w:rsidRDefault="009602C7" w:rsidP="009602C7">
      <w:pPr>
        <w:pStyle w:val="Heading1"/>
        <w:textAlignment w:val="auto"/>
        <w:rPr>
          <w:lang w:val="en-CA"/>
        </w:rPr>
      </w:pPr>
      <w:r>
        <w:rPr>
          <w:lang w:val="en-CA"/>
        </w:rPr>
        <w:t>References</w:t>
      </w:r>
    </w:p>
    <w:p w:rsidR="009602C7" w:rsidRDefault="009602C7" w:rsidP="009602C7">
      <w:pPr>
        <w:numPr>
          <w:ilvl w:val="0"/>
          <w:numId w:val="17"/>
        </w:numPr>
        <w:tabs>
          <w:tab w:val="clear" w:pos="720"/>
        </w:tabs>
        <w:ind w:left="360" w:hanging="450"/>
        <w:jc w:val="both"/>
        <w:textAlignment w:val="auto"/>
        <w:rPr>
          <w:lang w:val="en-CA"/>
        </w:rPr>
      </w:pPr>
      <w:bookmarkStart w:id="1" w:name="_Ref344988285"/>
      <w:r>
        <w:rPr>
          <w:lang w:val="en-CA"/>
        </w:rPr>
        <w:t>J. Chen, K. Rapaka, X. Li, V. Seregin, L. Guo, M. Karczewicz, G. Van der Auwera, J. Sole, X. Wang, C. J. Tu, Y. Chen, “Description of scalable video coding technology proposal by Qualcomm (configuration 1) JCTVC-K0035”, 11</w:t>
      </w:r>
      <w:r>
        <w:rPr>
          <w:vertAlign w:val="superscript"/>
          <w:lang w:val="en-CA"/>
        </w:rPr>
        <w:t>th</w:t>
      </w:r>
      <w:r>
        <w:rPr>
          <w:lang w:val="en-CA"/>
        </w:rPr>
        <w:t xml:space="preserve"> Meeting of Joint Collaborative Team on Video Coding (JCT-VC) of ITU-T SG16 WP3 and ISO/IEC JTC1/SC29/WG11, Shanghai, China, </w:t>
      </w:r>
      <w:r>
        <w:rPr>
          <w:szCs w:val="22"/>
        </w:rPr>
        <w:t>10-19 Oct., 2012</w:t>
      </w:r>
      <w:bookmarkEnd w:id="1"/>
      <w:r>
        <w:rPr>
          <w:lang w:val="en-CA"/>
        </w:rPr>
        <w:t xml:space="preserve"> </w:t>
      </w:r>
    </w:p>
    <w:p w:rsidR="009602C7" w:rsidRPr="004D7556" w:rsidRDefault="009602C7" w:rsidP="009602C7">
      <w:pPr>
        <w:numPr>
          <w:ilvl w:val="0"/>
          <w:numId w:val="17"/>
        </w:numPr>
        <w:tabs>
          <w:tab w:val="clear" w:pos="720"/>
        </w:tabs>
        <w:ind w:left="360" w:hanging="450"/>
        <w:jc w:val="both"/>
        <w:textAlignment w:val="auto"/>
        <w:rPr>
          <w:lang w:val="en-CA"/>
        </w:rPr>
      </w:pPr>
      <w:bookmarkStart w:id="2" w:name="_Ref344988289"/>
      <w:r>
        <w:rPr>
          <w:lang w:val="en-CA"/>
        </w:rPr>
        <w:t>J. Chen, K. Rapaka, X. Li, V. Seregin, L. Guo, M. Karczewicz, G. Van der Auwera, J. Sole, X. Wang, C. J. Tu, Y. Chen, “Description of scalable video coding technology proposal by Qualcomm (configuration 2) JCTVC-K0036”, 11</w:t>
      </w:r>
      <w:r>
        <w:rPr>
          <w:vertAlign w:val="superscript"/>
          <w:lang w:val="en-CA"/>
        </w:rPr>
        <w:t>th</w:t>
      </w:r>
      <w:r>
        <w:rPr>
          <w:lang w:val="en-CA"/>
        </w:rPr>
        <w:t xml:space="preserve"> Meeting of Joint Collaborative Team on Video Coding (JCT-VC) of ITU-T SG16 WP3 and ISO/IEC JTC1/SC29/WG11, Shanghai, China, </w:t>
      </w:r>
      <w:r>
        <w:rPr>
          <w:szCs w:val="22"/>
        </w:rPr>
        <w:t>10-19 Oct., 2012.</w:t>
      </w:r>
      <w:bookmarkEnd w:id="2"/>
    </w:p>
    <w:p w:rsidR="0049755F" w:rsidRPr="0049755F" w:rsidRDefault="0049755F" w:rsidP="0049755F">
      <w:pPr>
        <w:numPr>
          <w:ilvl w:val="0"/>
          <w:numId w:val="17"/>
        </w:numPr>
        <w:tabs>
          <w:tab w:val="clear" w:pos="720"/>
        </w:tabs>
        <w:ind w:left="360" w:hanging="450"/>
        <w:jc w:val="both"/>
        <w:textAlignment w:val="auto"/>
        <w:rPr>
          <w:szCs w:val="22"/>
        </w:rPr>
      </w:pPr>
      <w:bookmarkStart w:id="3" w:name="_Ref347833434"/>
      <w:r w:rsidRPr="0049755F">
        <w:rPr>
          <w:szCs w:val="22"/>
        </w:rPr>
        <w:t>K. Rapaka, J. Chen, X. Li, M. Karczewicz, "Non-TE3 : Simplification of Difference Intra Prediction In SHVC",JCTVC-L0294, Geneva, Switzerland, 14-23 Jan. 2013</w:t>
      </w:r>
    </w:p>
    <w:p w:rsidR="0049755F" w:rsidRPr="0049755F" w:rsidRDefault="0049755F" w:rsidP="0049755F">
      <w:pPr>
        <w:numPr>
          <w:ilvl w:val="0"/>
          <w:numId w:val="17"/>
        </w:numPr>
        <w:tabs>
          <w:tab w:val="clear" w:pos="720"/>
        </w:tabs>
        <w:ind w:left="360" w:hanging="450"/>
        <w:jc w:val="both"/>
        <w:textAlignment w:val="auto"/>
        <w:rPr>
          <w:szCs w:val="22"/>
          <w:lang w:val="en-CA"/>
        </w:rPr>
      </w:pPr>
      <w:hyperlink r:id="rId17" w:history="1">
        <w:r w:rsidRPr="00FD4BD7">
          <w:rPr>
            <w:szCs w:val="22"/>
          </w:rPr>
          <w:t>X. Li</w:t>
        </w:r>
      </w:hyperlink>
      <w:r w:rsidRPr="00FD4BD7">
        <w:rPr>
          <w:szCs w:val="22"/>
        </w:rPr>
        <w:t xml:space="preserve">, </w:t>
      </w:r>
      <w:hyperlink r:id="rId18" w:history="1">
        <w:r w:rsidRPr="00FD4BD7">
          <w:rPr>
            <w:szCs w:val="22"/>
          </w:rPr>
          <w:t>J. Boyce</w:t>
        </w:r>
      </w:hyperlink>
      <w:r w:rsidRPr="00FD4BD7">
        <w:rPr>
          <w:szCs w:val="22"/>
        </w:rPr>
        <w:t xml:space="preserve">, </w:t>
      </w:r>
      <w:hyperlink r:id="rId19" w:history="1">
        <w:r w:rsidRPr="00FD4BD7">
          <w:rPr>
            <w:szCs w:val="22"/>
          </w:rPr>
          <w:t xml:space="preserve">P. </w:t>
        </w:r>
        <w:proofErr w:type="spellStart"/>
        <w:r w:rsidRPr="00FD4BD7">
          <w:rPr>
            <w:szCs w:val="22"/>
          </w:rPr>
          <w:t>Onno</w:t>
        </w:r>
        <w:proofErr w:type="spellEnd"/>
      </w:hyperlink>
      <w:r w:rsidRPr="00FD4BD7">
        <w:rPr>
          <w:szCs w:val="22"/>
        </w:rPr>
        <w:t xml:space="preserve">, </w:t>
      </w:r>
      <w:hyperlink r:id="rId20" w:history="1">
        <w:r w:rsidRPr="00FD4BD7">
          <w:rPr>
            <w:szCs w:val="22"/>
          </w:rPr>
          <w:t xml:space="preserve">Y. </w:t>
        </w:r>
        <w:proofErr w:type="spellStart"/>
        <w:r w:rsidRPr="00FD4BD7">
          <w:rPr>
            <w:szCs w:val="22"/>
          </w:rPr>
          <w:t>Ye</w:t>
        </w:r>
        <w:proofErr w:type="spellEnd"/>
      </w:hyperlink>
      <w:r w:rsidRPr="00FD4BD7">
        <w:rPr>
          <w:szCs w:val="22"/>
        </w:rPr>
        <w:t>, “Co</w:t>
      </w:r>
      <w:r>
        <w:t xml:space="preserve">mmon SHM test conditions and software reference configurations”, </w:t>
      </w:r>
      <w:r w:rsidRPr="00FD4BD7">
        <w:rPr>
          <w:szCs w:val="22"/>
        </w:rPr>
        <w:t>JCTVC-L1009, Geneva, Switzerland, 14–23 Jan. 2013</w:t>
      </w:r>
      <w:bookmarkEnd w:id="3"/>
    </w:p>
    <w:p w:rsidR="009602C7" w:rsidRPr="005B217D" w:rsidRDefault="009602C7" w:rsidP="009602C7">
      <w:pPr>
        <w:jc w:val="both"/>
        <w:rPr>
          <w:szCs w:val="22"/>
          <w:lang w:val="en-CA"/>
        </w:rPr>
      </w:pPr>
      <w:bookmarkStart w:id="4" w:name="_GoBack"/>
      <w:bookmarkEnd w:id="4"/>
    </w:p>
    <w:p w:rsidR="009602C7" w:rsidRPr="005B217D" w:rsidRDefault="009602C7" w:rsidP="009602C7">
      <w:pPr>
        <w:pStyle w:val="Heading1"/>
        <w:rPr>
          <w:lang w:val="en-CA"/>
        </w:rPr>
      </w:pPr>
      <w:r w:rsidRPr="005B217D">
        <w:rPr>
          <w:lang w:val="en-CA"/>
        </w:rPr>
        <w:t>Patent rights declaration(s)</w:t>
      </w:r>
    </w:p>
    <w:p w:rsidR="009602C7" w:rsidRPr="005B217D" w:rsidRDefault="009602C7" w:rsidP="009602C7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Qualcomm Incorporated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9602C7" w:rsidRPr="005B217D" w:rsidSect="0055585A">
      <w:footerReference w:type="default" r:id="rId2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CAD" w:rsidRDefault="00A01CAD">
      <w:pPr>
        <w:spacing w:before="0"/>
      </w:pPr>
      <w:r>
        <w:separator/>
      </w:r>
    </w:p>
  </w:endnote>
  <w:endnote w:type="continuationSeparator" w:id="0">
    <w:p w:rsidR="00A01CAD" w:rsidRDefault="00A01CA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85A" w:rsidRDefault="0055585A" w:rsidP="0055585A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A2AA2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453C4F">
      <w:rPr>
        <w:rStyle w:val="PageNumber"/>
        <w:noProof/>
      </w:rPr>
      <w:t>2013-04-09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CAD" w:rsidRDefault="00A01CAD">
      <w:pPr>
        <w:spacing w:before="0"/>
      </w:pPr>
      <w:r>
        <w:separator/>
      </w:r>
    </w:p>
  </w:footnote>
  <w:footnote w:type="continuationSeparator" w:id="0">
    <w:p w:rsidR="00A01CAD" w:rsidRDefault="00A01CA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EB4C94"/>
    <w:multiLevelType w:val="hybridMultilevel"/>
    <w:tmpl w:val="05560D1E"/>
    <w:lvl w:ilvl="0" w:tplc="1C8EC6BC">
      <w:start w:val="1"/>
      <w:numFmt w:val="decimal"/>
      <w:lvlText w:val="[%1]"/>
      <w:lvlJc w:val="left"/>
      <w:pPr>
        <w:ind w:left="774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DFC4F6D"/>
    <w:multiLevelType w:val="hybridMultilevel"/>
    <w:tmpl w:val="781AF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02275C"/>
    <w:multiLevelType w:val="hybridMultilevel"/>
    <w:tmpl w:val="DD7EB4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5">
    <w:nsid w:val="72BA1C5C"/>
    <w:multiLevelType w:val="hybridMultilevel"/>
    <w:tmpl w:val="73BEC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2"/>
  </w:num>
  <w:num w:numId="4">
    <w:abstractNumId w:val="9"/>
  </w:num>
  <w:num w:numId="5">
    <w:abstractNumId w:val="10"/>
  </w:num>
  <w:num w:numId="6">
    <w:abstractNumId w:val="5"/>
  </w:num>
  <w:num w:numId="7">
    <w:abstractNumId w:val="7"/>
  </w:num>
  <w:num w:numId="8">
    <w:abstractNumId w:val="1"/>
  </w:num>
  <w:num w:numId="9">
    <w:abstractNumId w:val="4"/>
  </w:num>
  <w:num w:numId="10">
    <w:abstractNumId w:val="2"/>
  </w:num>
  <w:num w:numId="11">
    <w:abstractNumId w:val="3"/>
  </w:num>
  <w:num w:numId="12">
    <w:abstractNumId w:val="1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8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5E6"/>
    <w:rsid w:val="00062197"/>
    <w:rsid w:val="000E6427"/>
    <w:rsid w:val="0012785B"/>
    <w:rsid w:val="001C3F2F"/>
    <w:rsid w:val="001D4E23"/>
    <w:rsid w:val="00201782"/>
    <w:rsid w:val="00211DE0"/>
    <w:rsid w:val="00234E16"/>
    <w:rsid w:val="0026555C"/>
    <w:rsid w:val="002703A9"/>
    <w:rsid w:val="002752C7"/>
    <w:rsid w:val="002A20E4"/>
    <w:rsid w:val="003008B3"/>
    <w:rsid w:val="00302FE7"/>
    <w:rsid w:val="00326E98"/>
    <w:rsid w:val="003C7946"/>
    <w:rsid w:val="00453C4F"/>
    <w:rsid w:val="00455B98"/>
    <w:rsid w:val="00492AC0"/>
    <w:rsid w:val="0049755F"/>
    <w:rsid w:val="004D7556"/>
    <w:rsid w:val="005535E6"/>
    <w:rsid w:val="0055585A"/>
    <w:rsid w:val="00606E20"/>
    <w:rsid w:val="00677ED7"/>
    <w:rsid w:val="006C63D7"/>
    <w:rsid w:val="00735193"/>
    <w:rsid w:val="00792047"/>
    <w:rsid w:val="007A199D"/>
    <w:rsid w:val="007D78BB"/>
    <w:rsid w:val="008111FA"/>
    <w:rsid w:val="008C295A"/>
    <w:rsid w:val="008D4E18"/>
    <w:rsid w:val="00932D73"/>
    <w:rsid w:val="009602C7"/>
    <w:rsid w:val="00960849"/>
    <w:rsid w:val="00A01CAD"/>
    <w:rsid w:val="00A835C7"/>
    <w:rsid w:val="00B230AF"/>
    <w:rsid w:val="00B74EB0"/>
    <w:rsid w:val="00B81BA3"/>
    <w:rsid w:val="00BA2D73"/>
    <w:rsid w:val="00BE54C8"/>
    <w:rsid w:val="00C15E91"/>
    <w:rsid w:val="00C823ED"/>
    <w:rsid w:val="00CB396E"/>
    <w:rsid w:val="00CF5F4E"/>
    <w:rsid w:val="00D251A9"/>
    <w:rsid w:val="00DA12A9"/>
    <w:rsid w:val="00DA2AA2"/>
    <w:rsid w:val="00F07103"/>
    <w:rsid w:val="00F41ACA"/>
    <w:rsid w:val="00F65058"/>
    <w:rsid w:val="00F95543"/>
    <w:rsid w:val="00FA21BB"/>
    <w:rsid w:val="00FA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3A9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2703A9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703A9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703A9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2703A9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703A9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703A9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2703A9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2703A9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2703A9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03A9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703A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703A9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2703A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2703A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703A9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2703A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703A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2703A9"/>
    <w:rPr>
      <w:rFonts w:ascii="Times New Roman" w:eastAsia="Times New Roman" w:hAnsi="Times New Roman" w:cs="Times New Roman"/>
      <w:b/>
    </w:rPr>
  </w:style>
  <w:style w:type="paragraph" w:styleId="Header">
    <w:name w:val="header"/>
    <w:basedOn w:val="Normal"/>
    <w:link w:val="HeaderChar"/>
    <w:rsid w:val="002703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703A9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rsid w:val="002703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03A9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rsid w:val="002703A9"/>
  </w:style>
  <w:style w:type="character" w:styleId="Hyperlink">
    <w:name w:val="Hyperlink"/>
    <w:rsid w:val="002703A9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2703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703A9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rsid w:val="002703A9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703A9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2703A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2703A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70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unhideWhenUsed/>
    <w:qFormat/>
    <w:rsid w:val="002703A9"/>
    <w:pPr>
      <w:spacing w:before="0" w:after="200"/>
    </w:pPr>
    <w:rPr>
      <w:b/>
      <w:bCs/>
      <w:color w:val="4F81BD"/>
      <w:sz w:val="18"/>
      <w:szCs w:val="18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customStyle="1" w:styleId="tableheading">
    <w:name w:val="table heading"/>
    <w:basedOn w:val="Normal"/>
    <w:rsid w:val="002703A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2703A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703A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703A9"/>
    <w:rPr>
      <w:rFonts w:ascii="Times" w:eastAsia="Malgun Gothic" w:hAnsi="Times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rsid w:val="002703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2703A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703A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2703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03A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aptionChar">
    <w:name w:val="Caption Char"/>
    <w:link w:val="Caption"/>
    <w:locked/>
    <w:rsid w:val="009602C7"/>
    <w:rPr>
      <w:rFonts w:ascii="Times New Roman" w:eastAsia="Times New Roman" w:hAnsi="Times New Roman" w:cs="Times New Roman"/>
      <w:b/>
      <w:bCs/>
      <w:color w:val="4F81BD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3A9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2703A9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703A9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703A9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2703A9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703A9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703A9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2703A9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2703A9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2703A9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03A9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703A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703A9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2703A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2703A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703A9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2703A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703A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2703A9"/>
    <w:rPr>
      <w:rFonts w:ascii="Times New Roman" w:eastAsia="Times New Roman" w:hAnsi="Times New Roman" w:cs="Times New Roman"/>
      <w:b/>
    </w:rPr>
  </w:style>
  <w:style w:type="paragraph" w:styleId="Header">
    <w:name w:val="header"/>
    <w:basedOn w:val="Normal"/>
    <w:link w:val="HeaderChar"/>
    <w:rsid w:val="002703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703A9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rsid w:val="002703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03A9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rsid w:val="002703A9"/>
  </w:style>
  <w:style w:type="character" w:styleId="Hyperlink">
    <w:name w:val="Hyperlink"/>
    <w:rsid w:val="002703A9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2703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703A9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rsid w:val="002703A9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703A9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2703A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2703A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70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unhideWhenUsed/>
    <w:qFormat/>
    <w:rsid w:val="002703A9"/>
    <w:pPr>
      <w:spacing w:before="0" w:after="200"/>
    </w:pPr>
    <w:rPr>
      <w:b/>
      <w:bCs/>
      <w:color w:val="4F81BD"/>
      <w:sz w:val="18"/>
      <w:szCs w:val="18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customStyle="1" w:styleId="tableheading">
    <w:name w:val="table heading"/>
    <w:basedOn w:val="Normal"/>
    <w:rsid w:val="002703A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2703A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703A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703A9"/>
    <w:rPr>
      <w:rFonts w:ascii="Times" w:eastAsia="Malgun Gothic" w:hAnsi="Times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rsid w:val="002703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2703A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703A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2703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03A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aptionChar">
    <w:name w:val="Caption Char"/>
    <w:link w:val="Caption"/>
    <w:locked/>
    <w:rsid w:val="009602C7"/>
    <w:rPr>
      <w:rFonts w:ascii="Times New Roman" w:eastAsia="Times New Roman" w:hAnsi="Times New Roman" w:cs="Times New Roman"/>
      <w:b/>
      <w:bCs/>
      <w:color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xiang@qti.qualcomm.com" TargetMode="External"/><Relationship Id="rId18" Type="http://schemas.openxmlformats.org/officeDocument/2006/relationships/hyperlink" Target="mailto:jill@vidyo.co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mailto:cjianle@qti.qualcomm.com" TargetMode="External"/><Relationship Id="rId17" Type="http://schemas.openxmlformats.org/officeDocument/2006/relationships/hyperlink" Target="mailto:lxiang@qti.qualcomm.com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hyperlink" Target="mailto:yan.ye@interdigital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rapaka@qti.qualcomm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mailto:patrice.onno@crf.canon.f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martak@qti.qualcomm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EFB4E-5895-4FAC-9F8F-990FF6CCF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 Rapaka</dc:creator>
  <cp:keywords/>
  <dc:description/>
  <cp:lastModifiedBy>Krishna Rapaka</cp:lastModifiedBy>
  <cp:revision>51</cp:revision>
  <dcterms:created xsi:type="dcterms:W3CDTF">2013-04-08T14:12:00Z</dcterms:created>
  <dcterms:modified xsi:type="dcterms:W3CDTF">2013-04-09T07:49:00Z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1680629645</vt:i4>
  </property>
  <property fmtid="{D5CDD505-2E9C-101B-9397-08002B2CF9AE}" pid="3" name="_NewReviewCycle">
    <vt:lpwstr/>
  </property>
  <property fmtid="{D5CDD505-2E9C-101B-9397-08002B2CF9AE}" pid="4" name="_EmailSubject">
    <vt:lpwstr>Draft of SCE 3.3 GRP</vt:lpwstr>
  </property>
  <property fmtid="{D5CDD505-2E9C-101B-9397-08002B2CF9AE}" pid="5" name="_AuthorEmail">
    <vt:lpwstr>lxiang@qti.qualcomm.com</vt:lpwstr>
  </property>
  <property fmtid="{D5CDD505-2E9C-101B-9397-08002B2CF9AE}" pid="6" name="_AuthorEmailDisplayName">
    <vt:lpwstr>Li, Xiang</vt:lpwstr>
  </property>
  <property fmtid="{D5CDD505-2E9C-101B-9397-08002B2CF9AE}" pid="7" name="_PreviousAdHocReviewCycleID">
    <vt:i4>-1775880804</vt:i4>
  </property>
</Properties>
</file>