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2239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4D543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D543B" w:rsidRPr="004D543B">
              <w:rPr>
                <w:lang w:val="en-CA"/>
              </w:rPr>
              <w:t>M</w:t>
            </w:r>
            <w:r w:rsidR="004D543B" w:rsidRPr="00303D33">
              <w:rPr>
                <w:lang w:val="en-CA"/>
              </w:rPr>
              <w:t>0275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623BF" w:rsidP="004D543B">
            <w:pPr>
              <w:spacing w:before="60" w:after="6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483EC7">
              <w:rPr>
                <w:b/>
                <w:szCs w:val="22"/>
                <w:lang w:val="en-CA"/>
              </w:rPr>
              <w:t xml:space="preserve">SCE3: </w:t>
            </w:r>
            <w:r w:rsidR="004D543B">
              <w:rPr>
                <w:b/>
                <w:szCs w:val="22"/>
                <w:lang w:val="en-CA"/>
              </w:rPr>
              <w:t xml:space="preserve">Simplified </w:t>
            </w:r>
            <w:r w:rsidR="00483EC7">
              <w:rPr>
                <w:b/>
                <w:szCs w:val="22"/>
                <w:lang w:val="en-CA"/>
              </w:rPr>
              <w:t>Generalized Residual Prediction</w:t>
            </w:r>
            <w:r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483EC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483EC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83EC7" w:rsidRDefault="00483EC7" w:rsidP="00483EC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483EC7" w:rsidRDefault="00483EC7" w:rsidP="00483EC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483EC7" w:rsidRDefault="00483EC7" w:rsidP="00483EC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</w:p>
          <w:p w:rsidR="0022239C" w:rsidRPr="0022239C" w:rsidRDefault="00483EC7" w:rsidP="00F623BF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en-CA"/>
              </w:rPr>
              <w:t>Marta Karczewicz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83EC7" w:rsidRDefault="00487DC5" w:rsidP="00483EC7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483EC7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483EC7" w:rsidRDefault="00487DC5" w:rsidP="00483EC7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483EC7" w:rsidRPr="00DB605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483EC7" w:rsidRDefault="00487DC5" w:rsidP="00483EC7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483EC7" w:rsidRPr="00DB605D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</w:p>
          <w:p w:rsidR="00E61DAC" w:rsidRPr="005B217D" w:rsidRDefault="00487DC5" w:rsidP="00F623BF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483EC7" w:rsidRPr="00D23912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483EC7" w:rsidRPr="005B217D" w:rsidRDefault="00483EC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83EC7" w:rsidRPr="005B217D" w:rsidRDefault="00483EC7" w:rsidP="00483EC7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83EC7" w:rsidRDefault="00483EC7" w:rsidP="00483EC7">
      <w:pPr>
        <w:jc w:val="both"/>
        <w:rPr>
          <w:lang w:val="en-CA"/>
        </w:rPr>
      </w:pPr>
      <w:r>
        <w:rPr>
          <w:lang w:val="en-CA"/>
        </w:rPr>
        <w:t xml:space="preserve">This document reports </w:t>
      </w:r>
      <w:r w:rsidR="00E943F1">
        <w:rPr>
          <w:lang w:val="en-CA"/>
        </w:rPr>
        <w:t xml:space="preserve">additional </w:t>
      </w:r>
      <w:r>
        <w:rPr>
          <w:lang w:val="en-CA"/>
        </w:rPr>
        <w:t xml:space="preserve">results </w:t>
      </w:r>
      <w:r w:rsidR="00F623BF">
        <w:rPr>
          <w:lang w:val="en-CA"/>
        </w:rPr>
        <w:t xml:space="preserve">of </w:t>
      </w:r>
      <w:r>
        <w:rPr>
          <w:lang w:val="en-CA"/>
        </w:rPr>
        <w:t>generalized residual prediction (GRP)</w:t>
      </w:r>
      <w:r w:rsidR="00E943F1">
        <w:rPr>
          <w:lang w:val="en-CA"/>
        </w:rPr>
        <w:t>. To further reduce the bandwidth requirement of GRP, two variants, i.e., GRP with 3-tap up-sampling/</w:t>
      </w:r>
      <w:r w:rsidR="00303D33">
        <w:rPr>
          <w:lang w:val="en-CA"/>
        </w:rPr>
        <w:t xml:space="preserve">smoothing </w:t>
      </w:r>
      <w:r w:rsidR="00E943F1">
        <w:rPr>
          <w:lang w:val="en-CA"/>
        </w:rPr>
        <w:t xml:space="preserve">filter and GRP with further constraint on block size, are proposed. </w:t>
      </w:r>
      <w:r>
        <w:rPr>
          <w:lang w:val="en-CA"/>
        </w:rPr>
        <w:t xml:space="preserve">It is reported </w:t>
      </w:r>
      <w:r w:rsidR="00E943F1">
        <w:rPr>
          <w:lang w:val="en-CA"/>
        </w:rPr>
        <w:t xml:space="preserve">that </w:t>
      </w:r>
      <w:r w:rsidR="005569B8">
        <w:rPr>
          <w:lang w:val="en-CA"/>
        </w:rPr>
        <w:t xml:space="preserve">the computational complexity (in terms of </w:t>
      </w:r>
      <w:r w:rsidR="00024EC1">
        <w:rPr>
          <w:lang w:val="en-CA"/>
        </w:rPr>
        <w:t xml:space="preserve">the </w:t>
      </w:r>
      <w:r w:rsidR="005569B8">
        <w:rPr>
          <w:lang w:val="en-CA"/>
        </w:rPr>
        <w:t>numbers of multiplication</w:t>
      </w:r>
      <w:r w:rsidR="004F160E">
        <w:rPr>
          <w:lang w:val="en-CA"/>
        </w:rPr>
        <w:t>s</w:t>
      </w:r>
      <w:r w:rsidR="005569B8">
        <w:rPr>
          <w:lang w:val="en-CA"/>
        </w:rPr>
        <w:t xml:space="preserve"> and addition</w:t>
      </w:r>
      <w:r w:rsidR="004F160E">
        <w:rPr>
          <w:lang w:val="en-CA"/>
        </w:rPr>
        <w:t>s</w:t>
      </w:r>
      <w:r w:rsidR="005569B8">
        <w:rPr>
          <w:lang w:val="en-CA"/>
        </w:rPr>
        <w:t xml:space="preserve">) and memory access of GRP </w:t>
      </w:r>
      <w:r w:rsidR="0030026C">
        <w:rPr>
          <w:lang w:val="en-CA"/>
        </w:rPr>
        <w:t xml:space="preserve">decoding </w:t>
      </w:r>
      <w:r w:rsidR="004F160E">
        <w:rPr>
          <w:lang w:val="en-CA"/>
        </w:rPr>
        <w:t xml:space="preserve">module </w:t>
      </w:r>
      <w:r w:rsidR="005569B8">
        <w:rPr>
          <w:lang w:val="en-CA"/>
        </w:rPr>
        <w:t xml:space="preserve">in the worst case is </w:t>
      </w:r>
      <w:r w:rsidR="00024EC1">
        <w:rPr>
          <w:lang w:val="en-CA"/>
        </w:rPr>
        <w:t xml:space="preserve">kept </w:t>
      </w:r>
      <w:r w:rsidR="005569B8">
        <w:rPr>
          <w:lang w:val="en-CA"/>
        </w:rPr>
        <w:t>lower than tha</w:t>
      </w:r>
      <w:r w:rsidR="004F160E">
        <w:rPr>
          <w:lang w:val="en-CA"/>
        </w:rPr>
        <w:t xml:space="preserve">t of motion compensation module in HEVC single layer </w:t>
      </w:r>
      <w:r w:rsidR="0030026C">
        <w:rPr>
          <w:lang w:val="en-CA"/>
        </w:rPr>
        <w:t>de</w:t>
      </w:r>
      <w:r w:rsidR="004F160E">
        <w:rPr>
          <w:lang w:val="en-CA"/>
        </w:rPr>
        <w:t>coding</w:t>
      </w:r>
      <w:r w:rsidR="00472959">
        <w:rPr>
          <w:lang w:val="en-CA"/>
        </w:rPr>
        <w:t xml:space="preserve"> according to AHG17 template</w:t>
      </w:r>
      <w:r w:rsidR="004F160E">
        <w:rPr>
          <w:lang w:val="en-CA"/>
        </w:rPr>
        <w:t xml:space="preserve">. </w:t>
      </w:r>
      <w:r w:rsidR="00303D33">
        <w:rPr>
          <w:lang w:val="en-CA"/>
        </w:rPr>
        <w:t>The</w:t>
      </w:r>
      <w:r>
        <w:rPr>
          <w:lang w:val="en-CA"/>
        </w:rPr>
        <w:t xml:space="preserve"> average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BD-rate reduction (the average of RA cases</w:t>
      </w:r>
      <w:r w:rsidR="004F160E">
        <w:rPr>
          <w:lang w:val="en-CA"/>
        </w:rPr>
        <w:t>,</w:t>
      </w:r>
      <w:r>
        <w:rPr>
          <w:lang w:val="en-CA"/>
        </w:rPr>
        <w:t xml:space="preserve"> LD-P cases</w:t>
      </w:r>
      <w:r w:rsidR="004F160E">
        <w:rPr>
          <w:lang w:val="en-CA"/>
        </w:rPr>
        <w:t>, and LD-B cases</w:t>
      </w:r>
      <w:r>
        <w:rPr>
          <w:lang w:val="en-CA"/>
        </w:rPr>
        <w:t xml:space="preserve">) is </w:t>
      </w:r>
      <w:r w:rsidR="004F160E">
        <w:rPr>
          <w:lang w:val="en-CA"/>
        </w:rPr>
        <w:t xml:space="preserve">reported as </w:t>
      </w:r>
      <w:r w:rsidR="00CC38A4" w:rsidRPr="00303D33">
        <w:rPr>
          <w:lang w:val="en-CA"/>
        </w:rPr>
        <w:t>2.0</w:t>
      </w:r>
      <w:r w:rsidRPr="00303D33">
        <w:rPr>
          <w:lang w:val="en-CA"/>
        </w:rPr>
        <w:t xml:space="preserve">%, </w:t>
      </w:r>
      <w:r w:rsidR="00CC38A4" w:rsidRPr="00303D33">
        <w:rPr>
          <w:lang w:val="en-CA"/>
        </w:rPr>
        <w:t>5.3</w:t>
      </w:r>
      <w:r w:rsidRPr="00303D33">
        <w:rPr>
          <w:lang w:val="en-CA"/>
        </w:rPr>
        <w:t xml:space="preserve">%, </w:t>
      </w:r>
      <w:r w:rsidR="00CC38A4" w:rsidRPr="00303D33">
        <w:rPr>
          <w:lang w:val="en-CA"/>
        </w:rPr>
        <w:t>and 3.1</w:t>
      </w:r>
      <w:r w:rsidRPr="00303D33">
        <w:rPr>
          <w:lang w:val="en-CA"/>
        </w:rPr>
        <w:t>%</w:t>
      </w:r>
      <w:r w:rsidR="00380B79">
        <w:rPr>
          <w:lang w:val="en-CA"/>
        </w:rPr>
        <w:t xml:space="preserve"> for GRP with 3-tap filter and 2.0%, 5.3%, and 3.1% for GRP with additional block size constraint</w:t>
      </w:r>
      <w:r w:rsidRPr="00303D33">
        <w:rPr>
          <w:lang w:val="en-CA"/>
        </w:rPr>
        <w:t xml:space="preserve">, </w:t>
      </w:r>
      <w:r>
        <w:rPr>
          <w:lang w:val="en-CA"/>
        </w:rPr>
        <w:t>respectively.</w:t>
      </w:r>
    </w:p>
    <w:p w:rsidR="00483EC7" w:rsidRPr="005B217D" w:rsidRDefault="00483EC7" w:rsidP="00483EC7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483EC7" w:rsidRDefault="00483EC7" w:rsidP="00483EC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Generalized residual prediction was proposed in </w:t>
      </w:r>
      <w:r w:rsidR="004F160E">
        <w:rPr>
          <w:szCs w:val="22"/>
        </w:rPr>
        <w:fldChar w:fldCharType="begin"/>
      </w:r>
      <w:r w:rsidR="004F160E">
        <w:rPr>
          <w:szCs w:val="22"/>
        </w:rPr>
        <w:instrText xml:space="preserve"> REF _Ref347833518 \r \h </w:instrText>
      </w:r>
      <w:r w:rsidR="004F160E">
        <w:rPr>
          <w:szCs w:val="22"/>
        </w:rPr>
      </w:r>
      <w:r w:rsidR="004F160E">
        <w:rPr>
          <w:szCs w:val="22"/>
        </w:rPr>
        <w:fldChar w:fldCharType="separate"/>
      </w:r>
      <w:r w:rsidR="00030002">
        <w:rPr>
          <w:szCs w:val="22"/>
        </w:rPr>
        <w:t>[1</w:t>
      </w:r>
      <w:proofErr w:type="gramStart"/>
      <w:r w:rsidR="00030002">
        <w:rPr>
          <w:szCs w:val="22"/>
        </w:rPr>
        <w:t>]</w:t>
      </w:r>
      <w:proofErr w:type="gramEnd"/>
      <w:r w:rsidR="004F160E">
        <w:rPr>
          <w:szCs w:val="22"/>
        </w:rPr>
        <w:fldChar w:fldCharType="end"/>
      </w:r>
      <w:r w:rsidR="004F160E">
        <w:rPr>
          <w:szCs w:val="22"/>
        </w:rPr>
        <w:fldChar w:fldCharType="begin"/>
      </w:r>
      <w:r w:rsidR="004F160E">
        <w:rPr>
          <w:szCs w:val="22"/>
        </w:rPr>
        <w:instrText xml:space="preserve"> REF _Ref347833520 \r \h </w:instrText>
      </w:r>
      <w:r w:rsidR="004F160E">
        <w:rPr>
          <w:szCs w:val="22"/>
        </w:rPr>
      </w:r>
      <w:r w:rsidR="004F160E">
        <w:rPr>
          <w:szCs w:val="22"/>
        </w:rPr>
        <w:fldChar w:fldCharType="separate"/>
      </w:r>
      <w:r w:rsidR="00030002">
        <w:rPr>
          <w:szCs w:val="22"/>
        </w:rPr>
        <w:t>[2]</w:t>
      </w:r>
      <w:r w:rsidR="004F160E">
        <w:rPr>
          <w:szCs w:val="22"/>
        </w:rPr>
        <w:fldChar w:fldCharType="end"/>
      </w:r>
      <w:r w:rsidR="004F160E">
        <w:rPr>
          <w:szCs w:val="22"/>
        </w:rPr>
        <w:fldChar w:fldCharType="begin"/>
      </w:r>
      <w:r w:rsidR="004F160E">
        <w:rPr>
          <w:szCs w:val="22"/>
        </w:rPr>
        <w:instrText xml:space="preserve"> REF _Ref347833522 \r \h </w:instrText>
      </w:r>
      <w:r w:rsidR="004F160E">
        <w:rPr>
          <w:szCs w:val="22"/>
        </w:rPr>
      </w:r>
      <w:r w:rsidR="004F160E">
        <w:rPr>
          <w:szCs w:val="22"/>
        </w:rPr>
        <w:fldChar w:fldCharType="separate"/>
      </w:r>
      <w:r w:rsidR="00030002">
        <w:rPr>
          <w:szCs w:val="22"/>
        </w:rPr>
        <w:t>[3]</w:t>
      </w:r>
      <w:r w:rsidR="004F160E">
        <w:rPr>
          <w:szCs w:val="22"/>
        </w:rPr>
        <w:fldChar w:fldCharType="end"/>
      </w:r>
      <w:r w:rsidR="004F160E">
        <w:rPr>
          <w:szCs w:val="22"/>
        </w:rPr>
        <w:fldChar w:fldCharType="begin"/>
      </w:r>
      <w:r w:rsidR="004F160E">
        <w:rPr>
          <w:szCs w:val="22"/>
        </w:rPr>
        <w:instrText xml:space="preserve"> REF _Ref347833523 \r \h </w:instrText>
      </w:r>
      <w:r w:rsidR="004F160E">
        <w:rPr>
          <w:szCs w:val="22"/>
        </w:rPr>
      </w:r>
      <w:r w:rsidR="004F160E">
        <w:rPr>
          <w:szCs w:val="22"/>
        </w:rPr>
        <w:fldChar w:fldCharType="separate"/>
      </w:r>
      <w:r w:rsidR="00030002">
        <w:rPr>
          <w:szCs w:val="22"/>
        </w:rPr>
        <w:t>[4]</w:t>
      </w:r>
      <w:r w:rsidR="004F160E">
        <w:rPr>
          <w:szCs w:val="22"/>
        </w:rPr>
        <w:fldChar w:fldCharType="end"/>
      </w:r>
      <w:r>
        <w:rPr>
          <w:szCs w:val="22"/>
          <w:lang w:val="en-CA"/>
        </w:rPr>
        <w:t xml:space="preserve"> to improve the coding efficiency of SHVC. It uses previously coded base layer and enhancement layer pictures to predict the current enhancement layer picture.</w:t>
      </w:r>
    </w:p>
    <w:p w:rsidR="00B9716B" w:rsidRPr="005B217D" w:rsidRDefault="00B9716B" w:rsidP="00483EC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_Ref353005301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[8]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>, GRP with reduced decoding complexity was proposed. In this proposal, the decoding bandwidth requirement is further reduced by shorter up-sampling/smoothing filter and additional constraint on block size.</w:t>
      </w:r>
    </w:p>
    <w:p w:rsidR="00F512DB" w:rsidRDefault="00F512DB" w:rsidP="00F512DB">
      <w:pPr>
        <w:pStyle w:val="Heading1"/>
        <w:rPr>
          <w:lang w:val="en-CA"/>
        </w:rPr>
      </w:pPr>
      <w:r>
        <w:rPr>
          <w:lang w:val="en-CA"/>
        </w:rPr>
        <w:t>Technical details</w:t>
      </w:r>
      <w:r w:rsidRPr="005B217D">
        <w:rPr>
          <w:lang w:val="en-CA"/>
        </w:rPr>
        <w:t xml:space="preserve"> </w:t>
      </w:r>
    </w:p>
    <w:p w:rsidR="003A25B9" w:rsidRPr="003A25B9" w:rsidRDefault="003A25B9" w:rsidP="00990F7D">
      <w:pPr>
        <w:jc w:val="both"/>
        <w:rPr>
          <w:lang w:val="en-CA"/>
        </w:rPr>
      </w:pPr>
      <w:r>
        <w:rPr>
          <w:lang w:val="en-CA"/>
        </w:rPr>
        <w:t>To further reduce decoding complexity of GRP, two simplification methods</w:t>
      </w:r>
      <w:r w:rsidR="00F52F20">
        <w:rPr>
          <w:lang w:val="en-CA"/>
        </w:rPr>
        <w:t>, i.e., 3-tap GRP up-sampling/smoothing filter and additional constraint on block size,</w:t>
      </w:r>
      <w:r>
        <w:rPr>
          <w:lang w:val="en-CA"/>
        </w:rPr>
        <w:t xml:space="preserve"> are proposed </w:t>
      </w:r>
      <w:r w:rsidR="00F52F20">
        <w:rPr>
          <w:lang w:val="en-CA"/>
        </w:rPr>
        <w:t xml:space="preserve">on top of test case 2 of </w:t>
      </w:r>
      <w:r w:rsidR="00F52F20">
        <w:rPr>
          <w:lang w:val="en-CA"/>
        </w:rPr>
        <w:fldChar w:fldCharType="begin"/>
      </w:r>
      <w:r w:rsidR="00F52F20">
        <w:rPr>
          <w:lang w:val="en-CA"/>
        </w:rPr>
        <w:instrText xml:space="preserve"> REF _Ref353019730 \r \h </w:instrText>
      </w:r>
      <w:r w:rsidR="00F52F20">
        <w:rPr>
          <w:lang w:val="en-CA"/>
        </w:rPr>
      </w:r>
      <w:r w:rsidR="00F52F20">
        <w:rPr>
          <w:lang w:val="en-CA"/>
        </w:rPr>
        <w:fldChar w:fldCharType="separate"/>
      </w:r>
      <w:r w:rsidR="00F52F20">
        <w:rPr>
          <w:lang w:val="en-CA"/>
        </w:rPr>
        <w:t>[8]</w:t>
      </w:r>
      <w:r w:rsidR="00F52F20">
        <w:rPr>
          <w:lang w:val="en-CA"/>
        </w:rPr>
        <w:fldChar w:fldCharType="end"/>
      </w:r>
      <w:r w:rsidR="00F52F20">
        <w:rPr>
          <w:lang w:val="en-CA"/>
        </w:rPr>
        <w:t xml:space="preserve"> </w:t>
      </w:r>
      <w:r>
        <w:rPr>
          <w:lang w:val="en-CA"/>
        </w:rPr>
        <w:t>in this section.</w:t>
      </w:r>
    </w:p>
    <w:p w:rsidR="00F512DB" w:rsidRDefault="00495CD6" w:rsidP="00495CD6">
      <w:pPr>
        <w:pStyle w:val="Heading2"/>
        <w:rPr>
          <w:szCs w:val="22"/>
        </w:rPr>
      </w:pPr>
      <w:r>
        <w:rPr>
          <w:szCs w:val="22"/>
        </w:rPr>
        <w:t>3</w:t>
      </w:r>
      <w:r w:rsidR="00413301">
        <w:rPr>
          <w:szCs w:val="22"/>
        </w:rPr>
        <w:t xml:space="preserve">-tap </w:t>
      </w:r>
      <w:r w:rsidR="0030026C">
        <w:rPr>
          <w:szCs w:val="22"/>
        </w:rPr>
        <w:t xml:space="preserve">GRP </w:t>
      </w:r>
      <w:r w:rsidR="00413301">
        <w:rPr>
          <w:szCs w:val="22"/>
        </w:rPr>
        <w:t>up-sampling</w:t>
      </w:r>
      <w:r w:rsidR="00F52F20">
        <w:rPr>
          <w:szCs w:val="22"/>
        </w:rPr>
        <w:t>/smoothing</w:t>
      </w:r>
      <w:r w:rsidR="00413301">
        <w:rPr>
          <w:szCs w:val="22"/>
        </w:rPr>
        <w:t xml:space="preserve"> filter</w:t>
      </w:r>
    </w:p>
    <w:p w:rsidR="00F52F20" w:rsidRDefault="00F52F20" w:rsidP="009E0BCE">
      <w:pPr>
        <w:jc w:val="both"/>
        <w:rPr>
          <w:lang w:val="en-CA"/>
        </w:rPr>
      </w:pPr>
      <w:r>
        <w:rPr>
          <w:lang w:val="en-CA"/>
        </w:rPr>
        <w:t xml:space="preserve">In test case 2 of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_Ref353019730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[8]</w:t>
      </w:r>
      <w:r>
        <w:rPr>
          <w:lang w:val="en-CA"/>
        </w:rPr>
        <w:fldChar w:fldCharType="end"/>
      </w:r>
      <w:r>
        <w:rPr>
          <w:lang w:val="en-CA"/>
        </w:rPr>
        <w:t xml:space="preserve">, 4-tap up-sampling/smoothing filter was proposed for GRP mode. In </w:t>
      </w:r>
      <w:r w:rsidR="00303D33">
        <w:rPr>
          <w:lang w:val="en-CA"/>
        </w:rPr>
        <w:t xml:space="preserve">this </w:t>
      </w:r>
      <w:r>
        <w:rPr>
          <w:lang w:val="en-CA"/>
        </w:rPr>
        <w:t xml:space="preserve">proposal, a 3-tap filter 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_Ref344994381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EA0A47">
        <w:rPr>
          <w:lang w:val="en-CA"/>
        </w:rPr>
        <w:t xml:space="preserve">Table </w:t>
      </w:r>
      <w:r>
        <w:rPr>
          <w:lang w:val="en-CA"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is proposed to replace the 4-tap one for further complexity reduction.</w:t>
      </w:r>
    </w:p>
    <w:p w:rsidR="009E0BCE" w:rsidRPr="00EA0A47" w:rsidRDefault="009E0BCE" w:rsidP="00EA0A47">
      <w:pPr>
        <w:jc w:val="center"/>
        <w:rPr>
          <w:lang w:val="en-CA"/>
        </w:rPr>
      </w:pPr>
      <w:bookmarkStart w:id="0" w:name="_Ref344994381"/>
      <w:r w:rsidRPr="00EA0A47">
        <w:rPr>
          <w:lang w:val="en-CA"/>
        </w:rPr>
        <w:t xml:space="preserve">Table </w:t>
      </w:r>
      <w:r w:rsidRPr="00EA0A47">
        <w:rPr>
          <w:lang w:val="en-CA"/>
        </w:rPr>
        <w:fldChar w:fldCharType="begin"/>
      </w:r>
      <w:r w:rsidRPr="00EA0A47">
        <w:rPr>
          <w:lang w:val="en-CA"/>
        </w:rPr>
        <w:instrText xml:space="preserve"> SEQ Table \* ARABIC </w:instrText>
      </w:r>
      <w:r w:rsidRPr="00EA0A47">
        <w:rPr>
          <w:lang w:val="en-CA"/>
        </w:rPr>
        <w:fldChar w:fldCharType="separate"/>
      </w:r>
      <w:r w:rsidR="00030002">
        <w:rPr>
          <w:noProof/>
          <w:lang w:val="en-CA"/>
        </w:rPr>
        <w:t>1</w:t>
      </w:r>
      <w:r w:rsidRPr="00EA0A47">
        <w:rPr>
          <w:lang w:val="en-CA"/>
        </w:rPr>
        <w:fldChar w:fldCharType="end"/>
      </w:r>
      <w:bookmarkEnd w:id="0"/>
      <w:r w:rsidRPr="00EA0A47">
        <w:rPr>
          <w:lang w:val="en-CA"/>
        </w:rPr>
        <w:t xml:space="preserve"> </w:t>
      </w:r>
      <w:r w:rsidR="00361374">
        <w:rPr>
          <w:lang w:val="en-CA"/>
        </w:rPr>
        <w:t>3</w:t>
      </w:r>
      <w:r w:rsidRPr="00EA0A47">
        <w:rPr>
          <w:lang w:val="en-CA"/>
        </w:rPr>
        <w:t>-tap up-sampling</w:t>
      </w:r>
      <w:r w:rsidR="00F52F20">
        <w:rPr>
          <w:lang w:val="en-CA"/>
        </w:rPr>
        <w:t>/smoothing</w:t>
      </w:r>
      <w:r w:rsidRPr="00EA0A47">
        <w:rPr>
          <w:lang w:val="en-CA"/>
        </w:rPr>
        <w:t xml:space="preserve"> filter for GRP</w:t>
      </w:r>
      <w:r w:rsidR="00CA029A">
        <w:rPr>
          <w:lang w:val="en-CA"/>
        </w:rPr>
        <w:t xml:space="preserve"> mode (</w:t>
      </w:r>
      <w:r w:rsidR="00F52F20">
        <w:rPr>
          <w:lang w:val="en-CA"/>
        </w:rPr>
        <w:t xml:space="preserve">for </w:t>
      </w:r>
      <w:r w:rsidR="00CA029A">
        <w:rPr>
          <w:lang w:val="en-CA"/>
        </w:rPr>
        <w:t xml:space="preserve">both </w:t>
      </w:r>
      <w:proofErr w:type="spellStart"/>
      <w:r w:rsidR="00CA029A">
        <w:rPr>
          <w:lang w:val="en-CA"/>
        </w:rPr>
        <w:t>luma</w:t>
      </w:r>
      <w:proofErr w:type="spellEnd"/>
      <w:r w:rsidR="00CA029A">
        <w:rPr>
          <w:lang w:val="en-CA"/>
        </w:rPr>
        <w:t xml:space="preserve"> and </w:t>
      </w:r>
      <w:proofErr w:type="spellStart"/>
      <w:r w:rsidR="00CA029A">
        <w:rPr>
          <w:lang w:val="en-CA"/>
        </w:rPr>
        <w:t>chroma</w:t>
      </w:r>
      <w:proofErr w:type="spellEnd"/>
      <w:r w:rsidR="00CA029A">
        <w:rPr>
          <w:lang w:val="en-CA"/>
        </w:rPr>
        <w:t>)</w:t>
      </w:r>
    </w:p>
    <w:tbl>
      <w:tblPr>
        <w:tblStyle w:val="TableGrid"/>
        <w:tblW w:w="0" w:type="auto"/>
        <w:jc w:val="center"/>
        <w:tblInd w:w="3594" w:type="dxa"/>
        <w:tblLook w:val="04A0" w:firstRow="1" w:lastRow="0" w:firstColumn="1" w:lastColumn="0" w:noHBand="0" w:noVBand="1"/>
      </w:tblPr>
      <w:tblGrid>
        <w:gridCol w:w="938"/>
        <w:gridCol w:w="959"/>
        <w:gridCol w:w="959"/>
        <w:gridCol w:w="959"/>
      </w:tblGrid>
      <w:tr w:rsidR="009E0BCE" w:rsidTr="00CA029A">
        <w:trPr>
          <w:jc w:val="center"/>
        </w:trPr>
        <w:tc>
          <w:tcPr>
            <w:tcW w:w="938" w:type="dxa"/>
          </w:tcPr>
          <w:p w:rsidR="009E0BCE" w:rsidRDefault="009E0BCE" w:rsidP="004F160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Phase</w:t>
            </w:r>
          </w:p>
        </w:tc>
        <w:tc>
          <w:tcPr>
            <w:tcW w:w="2877" w:type="dxa"/>
            <w:gridSpan w:val="3"/>
            <w:tcBorders>
              <w:bottom w:val="single" w:sz="4" w:space="0" w:color="auto"/>
            </w:tcBorders>
          </w:tcPr>
          <w:p w:rsidR="009E0BCE" w:rsidRDefault="009E0BCE" w:rsidP="004F160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Filter coefficients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0/16</w:t>
            </w:r>
          </w:p>
        </w:tc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9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46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9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45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12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2/16</w:t>
            </w:r>
          </w:p>
        </w:tc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5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45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14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lastRenderedPageBreak/>
              <w:t>3/16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44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17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42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20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5/16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40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23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6/16</w:t>
            </w:r>
          </w:p>
        </w:tc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0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38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26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35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29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8/16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32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32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9/16</w:t>
            </w:r>
          </w:p>
        </w:tc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0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29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35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10/16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26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37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11/16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40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4F160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12/16</w:t>
            </w:r>
          </w:p>
        </w:tc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2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20</w:t>
            </w:r>
          </w:p>
        </w:tc>
        <w:tc>
          <w:tcPr>
            <w:tcW w:w="959" w:type="dxa"/>
            <w:tcBorders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42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4F160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13/16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17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44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14/16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Pr="00415207" w:rsidRDefault="00CA029A" w:rsidP="00CA029A">
            <w:pPr>
              <w:jc w:val="center"/>
            </w:pPr>
            <w:r w:rsidRPr="00415207"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Pr="00BA779F" w:rsidRDefault="00CA029A" w:rsidP="00CA029A">
            <w:pPr>
              <w:jc w:val="center"/>
            </w:pPr>
            <w:r w:rsidRPr="00BA779F">
              <w:t>15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Pr="00C91B3F" w:rsidRDefault="00CA029A" w:rsidP="00CA029A">
            <w:pPr>
              <w:jc w:val="center"/>
            </w:pPr>
            <w:r w:rsidRPr="00C91B3F">
              <w:t>46</w:t>
            </w:r>
          </w:p>
        </w:tc>
      </w:tr>
      <w:tr w:rsidR="00CA029A" w:rsidTr="00CA029A">
        <w:trPr>
          <w:jc w:val="center"/>
        </w:trPr>
        <w:tc>
          <w:tcPr>
            <w:tcW w:w="938" w:type="dxa"/>
          </w:tcPr>
          <w:p w:rsidR="00CA029A" w:rsidRDefault="00CA029A" w:rsidP="007308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15/16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29A" w:rsidRDefault="00CA029A" w:rsidP="00CA029A">
            <w:pPr>
              <w:jc w:val="center"/>
            </w:pPr>
            <w:r w:rsidRPr="00415207"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29A" w:rsidRDefault="00CA029A" w:rsidP="00CA029A">
            <w:pPr>
              <w:jc w:val="center"/>
            </w:pPr>
            <w:r w:rsidRPr="00BA779F"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029A" w:rsidRDefault="00CA029A" w:rsidP="00CA029A">
            <w:pPr>
              <w:jc w:val="center"/>
            </w:pPr>
            <w:r w:rsidRPr="00C91B3F">
              <w:t>48</w:t>
            </w:r>
          </w:p>
        </w:tc>
      </w:tr>
    </w:tbl>
    <w:p w:rsidR="00F512DB" w:rsidRDefault="002459DF" w:rsidP="00495CD6">
      <w:pPr>
        <w:pStyle w:val="Heading2"/>
        <w:rPr>
          <w:szCs w:val="22"/>
        </w:rPr>
      </w:pPr>
      <w:r>
        <w:rPr>
          <w:szCs w:val="22"/>
        </w:rPr>
        <w:t xml:space="preserve">Additional </w:t>
      </w:r>
      <w:r w:rsidR="009E0BCE">
        <w:rPr>
          <w:szCs w:val="22"/>
        </w:rPr>
        <w:t>C</w:t>
      </w:r>
      <w:r w:rsidR="00F512DB">
        <w:rPr>
          <w:szCs w:val="22"/>
        </w:rPr>
        <w:t>onstraint</w:t>
      </w:r>
      <w:r w:rsidR="009E0BCE">
        <w:rPr>
          <w:szCs w:val="22"/>
        </w:rPr>
        <w:t xml:space="preserve"> on block size</w:t>
      </w:r>
    </w:p>
    <w:p w:rsidR="00962B8B" w:rsidRPr="00EA0A47" w:rsidRDefault="00962B8B" w:rsidP="00962B8B">
      <w:pPr>
        <w:jc w:val="both"/>
        <w:rPr>
          <w:lang w:val="en-CA"/>
        </w:rPr>
      </w:pPr>
      <w:r w:rsidRPr="00EA0A47">
        <w:rPr>
          <w:lang w:val="en-CA"/>
        </w:rPr>
        <w:t xml:space="preserve">To reduce computational complexity and memory access, the block </w:t>
      </w:r>
      <w:r w:rsidR="00413301" w:rsidRPr="00EA0A47">
        <w:rPr>
          <w:lang w:val="en-CA"/>
        </w:rPr>
        <w:t xml:space="preserve">size of GRP mode </w:t>
      </w:r>
      <w:r w:rsidR="002459DF">
        <w:rPr>
          <w:lang w:val="en-CA"/>
        </w:rPr>
        <w:t>was</w:t>
      </w:r>
      <w:r w:rsidR="00413301" w:rsidRPr="00EA0A47">
        <w:rPr>
          <w:lang w:val="en-CA"/>
        </w:rPr>
        <w:t xml:space="preserve"> constrained </w:t>
      </w:r>
      <w:r w:rsidR="002459DF">
        <w:rPr>
          <w:lang w:val="en-CA"/>
        </w:rPr>
        <w:t xml:space="preserve">in test case 2 of </w:t>
      </w:r>
      <w:r w:rsidR="002459DF">
        <w:rPr>
          <w:lang w:val="en-CA"/>
        </w:rPr>
        <w:fldChar w:fldCharType="begin"/>
      </w:r>
      <w:r w:rsidR="002459DF">
        <w:rPr>
          <w:lang w:val="en-CA"/>
        </w:rPr>
        <w:instrText xml:space="preserve"> REF _Ref353005301 \r \h </w:instrText>
      </w:r>
      <w:r w:rsidR="002459DF">
        <w:rPr>
          <w:lang w:val="en-CA"/>
        </w:rPr>
      </w:r>
      <w:r w:rsidR="002459DF">
        <w:rPr>
          <w:lang w:val="en-CA"/>
        </w:rPr>
        <w:fldChar w:fldCharType="separate"/>
      </w:r>
      <w:r w:rsidR="002459DF">
        <w:rPr>
          <w:lang w:val="en-CA"/>
        </w:rPr>
        <w:t>[8]</w:t>
      </w:r>
      <w:r w:rsidR="002459DF">
        <w:rPr>
          <w:lang w:val="en-CA"/>
        </w:rPr>
        <w:fldChar w:fldCharType="end"/>
      </w:r>
      <w:r w:rsidR="002459DF">
        <w:rPr>
          <w:lang w:val="en-CA"/>
        </w:rPr>
        <w:t xml:space="preserve"> </w:t>
      </w:r>
      <w:r w:rsidR="00413301" w:rsidRPr="00EA0A47">
        <w:rPr>
          <w:lang w:val="en-CA"/>
        </w:rPr>
        <w:t xml:space="preserve">as follows. </w:t>
      </w:r>
    </w:p>
    <w:p w:rsidR="00413301" w:rsidRPr="00EA0A47" w:rsidRDefault="00F52B2E" w:rsidP="00EA0A47">
      <w:pPr>
        <w:pStyle w:val="ListParagraph"/>
        <w:numPr>
          <w:ilvl w:val="0"/>
          <w:numId w:val="16"/>
        </w:numPr>
        <w:jc w:val="both"/>
        <w:rPr>
          <w:lang w:val="en-CA"/>
        </w:rPr>
      </w:pPr>
      <w:r w:rsidRPr="00EA0A47">
        <w:rPr>
          <w:lang w:val="en-CA"/>
        </w:rPr>
        <w:t>GRP mode can only be applied to PUs no smaller than 8x8.</w:t>
      </w:r>
    </w:p>
    <w:p w:rsidR="00413301" w:rsidRPr="00EA0A47" w:rsidRDefault="00F52B2E" w:rsidP="00EA0A47">
      <w:pPr>
        <w:pStyle w:val="ListParagraph"/>
        <w:numPr>
          <w:ilvl w:val="0"/>
          <w:numId w:val="16"/>
        </w:numPr>
        <w:jc w:val="both"/>
        <w:rPr>
          <w:lang w:val="en-CA"/>
        </w:rPr>
      </w:pPr>
      <w:r w:rsidRPr="00EA0A47">
        <w:rPr>
          <w:lang w:val="en-CA"/>
        </w:rPr>
        <w:t xml:space="preserve">In bi-directional prediction, </w:t>
      </w:r>
      <w:r w:rsidR="00413301" w:rsidRPr="00EA0A47">
        <w:rPr>
          <w:lang w:val="en-CA"/>
        </w:rPr>
        <w:t xml:space="preserve">GRP mode </w:t>
      </w:r>
      <w:r w:rsidRPr="00EA0A47">
        <w:rPr>
          <w:lang w:val="en-CA"/>
        </w:rPr>
        <w:t>can only be applied to</w:t>
      </w:r>
      <w:r w:rsidR="00413301" w:rsidRPr="00EA0A47">
        <w:rPr>
          <w:lang w:val="en-CA"/>
        </w:rPr>
        <w:t xml:space="preserve"> PU</w:t>
      </w:r>
      <w:r w:rsidRPr="00EA0A47">
        <w:rPr>
          <w:lang w:val="en-CA"/>
        </w:rPr>
        <w:t>s</w:t>
      </w:r>
      <w:r w:rsidR="00413301" w:rsidRPr="00EA0A47">
        <w:rPr>
          <w:lang w:val="en-CA"/>
        </w:rPr>
        <w:t xml:space="preserve"> </w:t>
      </w:r>
      <w:r w:rsidRPr="00EA0A47">
        <w:rPr>
          <w:lang w:val="en-CA"/>
        </w:rPr>
        <w:t xml:space="preserve">larger than </w:t>
      </w:r>
      <w:r w:rsidR="002459DF">
        <w:rPr>
          <w:lang w:val="en-CA"/>
        </w:rPr>
        <w:t>16x16</w:t>
      </w:r>
      <w:r w:rsidRPr="00EA0A47">
        <w:rPr>
          <w:lang w:val="en-CA"/>
        </w:rPr>
        <w:t xml:space="preserve">. </w:t>
      </w:r>
    </w:p>
    <w:p w:rsidR="002459DF" w:rsidRPr="00EA0A47" w:rsidRDefault="002459DF" w:rsidP="002459DF">
      <w:pPr>
        <w:jc w:val="both"/>
        <w:rPr>
          <w:lang w:val="en-CA"/>
        </w:rPr>
      </w:pPr>
      <w:r>
        <w:rPr>
          <w:lang w:val="en-CA"/>
        </w:rPr>
        <w:t xml:space="preserve">In this proposal, it is further constrained that GRP cannot be applied to 4x16 or 16x4 PUs in </w:t>
      </w:r>
      <w:proofErr w:type="spellStart"/>
      <w:r>
        <w:rPr>
          <w:lang w:val="en-CA"/>
        </w:rPr>
        <w:t>uni</w:t>
      </w:r>
      <w:proofErr w:type="spellEnd"/>
      <w:r>
        <w:rPr>
          <w:lang w:val="en-CA"/>
        </w:rPr>
        <w:t>-directional prediction.</w:t>
      </w:r>
    </w:p>
    <w:p w:rsidR="00483EC7" w:rsidRDefault="00483EC7" w:rsidP="00483EC7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483EC7" w:rsidRDefault="00483EC7" w:rsidP="00483EC7">
      <w:pPr>
        <w:jc w:val="both"/>
        <w:rPr>
          <w:lang w:val="en-CA"/>
        </w:rPr>
      </w:pPr>
      <w:r>
        <w:rPr>
          <w:lang w:val="en-CA"/>
        </w:rPr>
        <w:t xml:space="preserve">In this section, </w:t>
      </w:r>
      <w:r w:rsidR="003A25B9">
        <w:rPr>
          <w:lang w:val="en-CA"/>
        </w:rPr>
        <w:t>the two GRP simplification methods are</w:t>
      </w:r>
      <w:r>
        <w:rPr>
          <w:lang w:val="en-CA"/>
        </w:rPr>
        <w:t xml:space="preserve"> experimentally verified </w:t>
      </w:r>
      <w:r w:rsidR="003A25B9">
        <w:rPr>
          <w:lang w:val="en-CA"/>
        </w:rPr>
        <w:t xml:space="preserve">based on the test case 2 in </w:t>
      </w:r>
      <w:r w:rsidR="003A25B9">
        <w:rPr>
          <w:lang w:val="en-CA"/>
        </w:rPr>
        <w:fldChar w:fldCharType="begin"/>
      </w:r>
      <w:r w:rsidR="003A25B9">
        <w:rPr>
          <w:lang w:val="en-CA"/>
        </w:rPr>
        <w:instrText xml:space="preserve"> REF _Ref353019730 \r \h </w:instrText>
      </w:r>
      <w:r w:rsidR="003A25B9">
        <w:rPr>
          <w:lang w:val="en-CA"/>
        </w:rPr>
      </w:r>
      <w:r w:rsidR="003A25B9">
        <w:rPr>
          <w:lang w:val="en-CA"/>
        </w:rPr>
        <w:fldChar w:fldCharType="separate"/>
      </w:r>
      <w:r w:rsidR="003A25B9">
        <w:rPr>
          <w:lang w:val="en-CA"/>
        </w:rPr>
        <w:t>[8]</w:t>
      </w:r>
      <w:r w:rsidR="003A25B9">
        <w:rPr>
          <w:lang w:val="en-CA"/>
        </w:rPr>
        <w:fldChar w:fldCharType="end"/>
      </w:r>
      <w:r w:rsidR="005D2422">
        <w:rPr>
          <w:lang w:val="en-CA"/>
        </w:rPr>
        <w:t xml:space="preserve"> (defined in </w:t>
      </w:r>
      <w:r w:rsidR="00030002">
        <w:rPr>
          <w:lang w:val="en-CA"/>
        </w:rPr>
        <w:fldChar w:fldCharType="begin"/>
      </w:r>
      <w:r w:rsidR="00030002">
        <w:rPr>
          <w:lang w:val="en-CA"/>
        </w:rPr>
        <w:instrText xml:space="preserve"> REF _Ref350367056 \h </w:instrText>
      </w:r>
      <w:r w:rsidR="00030002">
        <w:rPr>
          <w:lang w:val="en-CA"/>
        </w:rPr>
      </w:r>
      <w:r w:rsidR="00030002">
        <w:rPr>
          <w:lang w:val="en-CA"/>
        </w:rPr>
        <w:fldChar w:fldCharType="separate"/>
      </w:r>
      <w:r w:rsidR="00030002" w:rsidRPr="00030002">
        <w:rPr>
          <w:lang w:val="en-CA"/>
        </w:rPr>
        <w:t xml:space="preserve">Table </w:t>
      </w:r>
      <w:r w:rsidR="00030002">
        <w:rPr>
          <w:noProof/>
          <w:lang w:val="en-CA"/>
        </w:rPr>
        <w:t>2</w:t>
      </w:r>
      <w:r w:rsidR="00030002">
        <w:rPr>
          <w:lang w:val="en-CA"/>
        </w:rPr>
        <w:fldChar w:fldCharType="end"/>
      </w:r>
      <w:r w:rsidR="005D2422">
        <w:rPr>
          <w:lang w:val="en-CA"/>
        </w:rPr>
        <w:t>)</w:t>
      </w:r>
      <w:r>
        <w:rPr>
          <w:lang w:val="en-CA"/>
        </w:rPr>
        <w:t xml:space="preserve">. </w:t>
      </w:r>
      <w:r w:rsidR="00EA0A47">
        <w:rPr>
          <w:lang w:val="en-CA"/>
        </w:rPr>
        <w:t xml:space="preserve">Simulation results and complexity information are summarized in </w:t>
      </w:r>
      <w:r w:rsidR="00EA0A47">
        <w:rPr>
          <w:lang w:val="en-CA"/>
        </w:rPr>
        <w:fldChar w:fldCharType="begin"/>
      </w:r>
      <w:r w:rsidR="00EA0A47">
        <w:rPr>
          <w:lang w:val="en-CA"/>
        </w:rPr>
        <w:instrText xml:space="preserve"> REF _Ref350366287 \h </w:instrText>
      </w:r>
      <w:r w:rsidR="00EA0A47">
        <w:rPr>
          <w:lang w:val="en-CA"/>
        </w:rPr>
      </w:r>
      <w:r w:rsidR="00EA0A47">
        <w:rPr>
          <w:lang w:val="en-CA"/>
        </w:rPr>
        <w:fldChar w:fldCharType="separate"/>
      </w:r>
      <w:r w:rsidR="00030002" w:rsidRPr="00EA0A47">
        <w:rPr>
          <w:lang w:val="en-CA"/>
        </w:rPr>
        <w:t xml:space="preserve">Table </w:t>
      </w:r>
      <w:r w:rsidR="00030002">
        <w:rPr>
          <w:noProof/>
          <w:lang w:val="en-CA"/>
        </w:rPr>
        <w:t>3</w:t>
      </w:r>
      <w:r w:rsidR="00EA0A47">
        <w:rPr>
          <w:lang w:val="en-CA"/>
        </w:rPr>
        <w:fldChar w:fldCharType="end"/>
      </w:r>
      <w:r w:rsidR="00EA0A47">
        <w:rPr>
          <w:lang w:val="en-CA"/>
        </w:rPr>
        <w:t>. Please refer to attached excel files for details.</w:t>
      </w:r>
      <w:r w:rsidR="00030002">
        <w:rPr>
          <w:lang w:val="en-CA"/>
        </w:rPr>
        <w:t xml:space="preserve"> </w:t>
      </w:r>
    </w:p>
    <w:p w:rsidR="00030002" w:rsidRPr="00030002" w:rsidRDefault="00030002" w:rsidP="00030002">
      <w:pPr>
        <w:jc w:val="center"/>
        <w:rPr>
          <w:lang w:val="en-CA"/>
        </w:rPr>
      </w:pPr>
      <w:bookmarkStart w:id="1" w:name="_Ref350367056"/>
      <w:r w:rsidRPr="00030002">
        <w:rPr>
          <w:lang w:val="en-CA"/>
        </w:rPr>
        <w:t xml:space="preserve">Table </w:t>
      </w:r>
      <w:r w:rsidRPr="00030002">
        <w:rPr>
          <w:lang w:val="en-CA"/>
        </w:rPr>
        <w:fldChar w:fldCharType="begin"/>
      </w:r>
      <w:r w:rsidRPr="00030002">
        <w:rPr>
          <w:lang w:val="en-CA"/>
        </w:rPr>
        <w:instrText xml:space="preserve"> SEQ Table \* ARABIC </w:instrText>
      </w:r>
      <w:r w:rsidRPr="00030002">
        <w:rPr>
          <w:lang w:val="en-CA"/>
        </w:rPr>
        <w:fldChar w:fldCharType="separate"/>
      </w:r>
      <w:r>
        <w:rPr>
          <w:noProof/>
          <w:lang w:val="en-CA"/>
        </w:rPr>
        <w:t>2</w:t>
      </w:r>
      <w:r w:rsidRPr="00030002">
        <w:rPr>
          <w:lang w:val="en-CA"/>
        </w:rPr>
        <w:fldChar w:fldCharType="end"/>
      </w:r>
      <w:bookmarkEnd w:id="1"/>
      <w:r w:rsidRPr="00030002">
        <w:rPr>
          <w:lang w:val="en-CA"/>
        </w:rPr>
        <w:t xml:space="preserve"> Configurations of test cases</w:t>
      </w:r>
    </w:p>
    <w:tbl>
      <w:tblPr>
        <w:tblStyle w:val="TableGrid"/>
        <w:tblW w:w="9587" w:type="dxa"/>
        <w:jc w:val="center"/>
        <w:tblLayout w:type="fixed"/>
        <w:tblLook w:val="04A0" w:firstRow="1" w:lastRow="0" w:firstColumn="1" w:lastColumn="0" w:noHBand="0" w:noVBand="1"/>
      </w:tblPr>
      <w:tblGrid>
        <w:gridCol w:w="931"/>
        <w:gridCol w:w="1236"/>
        <w:gridCol w:w="1237"/>
        <w:gridCol w:w="1236"/>
        <w:gridCol w:w="1237"/>
        <w:gridCol w:w="1236"/>
        <w:gridCol w:w="1237"/>
        <w:gridCol w:w="1237"/>
      </w:tblGrid>
      <w:tr w:rsidR="0030026C" w:rsidTr="00FF6E7F">
        <w:trPr>
          <w:jc w:val="center"/>
        </w:trPr>
        <w:tc>
          <w:tcPr>
            <w:tcW w:w="931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</w:p>
        </w:tc>
        <w:tc>
          <w:tcPr>
            <w:tcW w:w="1236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GRP weighting modes</w:t>
            </w:r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Bi-linear interpolation</w:t>
            </w:r>
          </w:p>
        </w:tc>
        <w:tc>
          <w:tcPr>
            <w:tcW w:w="1236" w:type="dxa"/>
            <w:vAlign w:val="center"/>
          </w:tcPr>
          <w:p w:rsidR="0030026C" w:rsidRDefault="0030026C" w:rsidP="00A21B6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GRP up-sampling</w:t>
            </w:r>
            <w:r w:rsidR="00A21B6D">
              <w:rPr>
                <w:lang w:val="en-CA"/>
              </w:rPr>
              <w:t>/ smoothing</w:t>
            </w:r>
          </w:p>
        </w:tc>
        <w:tc>
          <w:tcPr>
            <w:tcW w:w="1237" w:type="dxa"/>
            <w:vAlign w:val="center"/>
          </w:tcPr>
          <w:p w:rsidR="0030026C" w:rsidRDefault="00A21B6D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Common </w:t>
            </w:r>
            <w:r w:rsidR="0030026C">
              <w:rPr>
                <w:lang w:val="en-CA"/>
              </w:rPr>
              <w:t>GRP block size constraint</w:t>
            </w:r>
          </w:p>
        </w:tc>
        <w:tc>
          <w:tcPr>
            <w:tcW w:w="1236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No GRP for</w:t>
            </w:r>
          </w:p>
          <w:p w:rsidR="0030026C" w:rsidRDefault="0030026C" w:rsidP="00FF6E7F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chroma</w:t>
            </w:r>
            <w:proofErr w:type="spellEnd"/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No GRP filtering in</w:t>
            </w:r>
          </w:p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SNR</w:t>
            </w:r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val="en-CA"/>
              </w:rPr>
            </w:pPr>
          </w:p>
          <w:p w:rsidR="0030026C" w:rsidRDefault="0030026C" w:rsidP="00FF6E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val="en-CA"/>
              </w:rPr>
            </w:pPr>
            <w:r>
              <w:rPr>
                <w:lang w:val="en-CA"/>
              </w:rPr>
              <w:t>Additional ME</w:t>
            </w:r>
          </w:p>
          <w:p w:rsidR="0030026C" w:rsidRDefault="0030026C" w:rsidP="00FF6E7F">
            <w:pPr>
              <w:jc w:val="center"/>
              <w:rPr>
                <w:lang w:val="en-CA"/>
              </w:rPr>
            </w:pPr>
          </w:p>
        </w:tc>
      </w:tr>
      <w:tr w:rsidR="0030026C" w:rsidTr="00FF6E7F">
        <w:trPr>
          <w:jc w:val="center"/>
        </w:trPr>
        <w:tc>
          <w:tcPr>
            <w:tcW w:w="931" w:type="dxa"/>
            <w:vAlign w:val="center"/>
          </w:tcPr>
          <w:p w:rsidR="0030026C" w:rsidRDefault="003A25B9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Test case 2 </w:t>
            </w:r>
            <w:r>
              <w:rPr>
                <w:lang w:val="en-CA"/>
              </w:rPr>
              <w:fldChar w:fldCharType="begin"/>
            </w:r>
            <w:r>
              <w:rPr>
                <w:lang w:val="en-CA"/>
              </w:rPr>
              <w:instrText xml:space="preserve"> REF _Ref353019730 \r \h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t>[8]</w:t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0, res-0.5, 1, diff-0.5</w:t>
            </w:r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Y</w:t>
            </w:r>
          </w:p>
        </w:tc>
        <w:tc>
          <w:tcPr>
            <w:tcW w:w="1236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Y</w:t>
            </w:r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Uni</w:t>
            </w:r>
            <w:proofErr w:type="spellEnd"/>
            <w:r>
              <w:rPr>
                <w:lang w:val="en-CA"/>
              </w:rPr>
              <w:t>: 8x8</w:t>
            </w:r>
          </w:p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Bi: 16x16</w:t>
            </w:r>
          </w:p>
        </w:tc>
        <w:tc>
          <w:tcPr>
            <w:tcW w:w="1236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1237" w:type="dxa"/>
            <w:vAlign w:val="center"/>
          </w:tcPr>
          <w:p w:rsidR="0030026C" w:rsidRDefault="0030026C" w:rsidP="00FF6E7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</w:tr>
    </w:tbl>
    <w:p w:rsidR="00030002" w:rsidRDefault="00030002" w:rsidP="00483EC7">
      <w:pPr>
        <w:jc w:val="both"/>
        <w:rPr>
          <w:lang w:val="en-CA"/>
        </w:rPr>
      </w:pPr>
    </w:p>
    <w:p w:rsidR="00EA0A47" w:rsidRPr="00EA0A47" w:rsidRDefault="00EA0A47" w:rsidP="00EA0A47">
      <w:pPr>
        <w:jc w:val="center"/>
        <w:rPr>
          <w:lang w:val="en-CA"/>
        </w:rPr>
      </w:pPr>
      <w:bookmarkStart w:id="2" w:name="_Ref350366287"/>
      <w:r w:rsidRPr="00EA0A47">
        <w:rPr>
          <w:lang w:val="en-CA"/>
        </w:rPr>
        <w:t xml:space="preserve">Table </w:t>
      </w:r>
      <w:r w:rsidRPr="00EA0A47">
        <w:rPr>
          <w:lang w:val="en-CA"/>
        </w:rPr>
        <w:fldChar w:fldCharType="begin"/>
      </w:r>
      <w:r w:rsidRPr="00EA0A47">
        <w:rPr>
          <w:lang w:val="en-CA"/>
        </w:rPr>
        <w:instrText xml:space="preserve"> SEQ Table \* ARABIC </w:instrText>
      </w:r>
      <w:r w:rsidRPr="00EA0A47">
        <w:rPr>
          <w:lang w:val="en-CA"/>
        </w:rPr>
        <w:fldChar w:fldCharType="separate"/>
      </w:r>
      <w:r w:rsidR="00030002">
        <w:rPr>
          <w:noProof/>
          <w:lang w:val="en-CA"/>
        </w:rPr>
        <w:t>3</w:t>
      </w:r>
      <w:r w:rsidRPr="00EA0A47">
        <w:rPr>
          <w:lang w:val="en-CA"/>
        </w:rPr>
        <w:fldChar w:fldCharType="end"/>
      </w:r>
      <w:bookmarkEnd w:id="2"/>
      <w:r w:rsidRPr="00EA0A47">
        <w:rPr>
          <w:lang w:val="en-CA"/>
        </w:rPr>
        <w:t xml:space="preserve"> Simulation results and complexity information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28"/>
        <w:gridCol w:w="795"/>
        <w:gridCol w:w="795"/>
        <w:gridCol w:w="795"/>
        <w:gridCol w:w="796"/>
        <w:gridCol w:w="795"/>
        <w:gridCol w:w="795"/>
        <w:gridCol w:w="795"/>
        <w:gridCol w:w="796"/>
        <w:gridCol w:w="795"/>
        <w:gridCol w:w="795"/>
        <w:gridCol w:w="796"/>
      </w:tblGrid>
      <w:tr w:rsidR="00372D1E" w:rsidTr="00F512DB">
        <w:trPr>
          <w:jc w:val="center"/>
        </w:trPr>
        <w:tc>
          <w:tcPr>
            <w:tcW w:w="828" w:type="dxa"/>
            <w:vAlign w:val="center"/>
          </w:tcPr>
          <w:p w:rsidR="00372D1E" w:rsidRDefault="00F512DB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Case</w:t>
            </w:r>
          </w:p>
        </w:tc>
        <w:tc>
          <w:tcPr>
            <w:tcW w:w="795" w:type="dxa"/>
            <w:vAlign w:val="center"/>
          </w:tcPr>
          <w:p w:rsidR="00372D1E" w:rsidRDefault="00F512DB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Conf</w:t>
            </w:r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Y</w:t>
            </w:r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U</w:t>
            </w:r>
          </w:p>
        </w:tc>
        <w:tc>
          <w:tcPr>
            <w:tcW w:w="796" w:type="dxa"/>
            <w:vAlign w:val="center"/>
          </w:tcPr>
          <w:p w:rsidR="00372D1E" w:rsidRDefault="00372D1E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V</w:t>
            </w:r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EncT</w:t>
            </w:r>
            <w:proofErr w:type="spellEnd"/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DecT</w:t>
            </w:r>
            <w:proofErr w:type="spellEnd"/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8b/8b</w:t>
            </w:r>
          </w:p>
        </w:tc>
        <w:tc>
          <w:tcPr>
            <w:tcW w:w="796" w:type="dxa"/>
            <w:vAlign w:val="center"/>
          </w:tcPr>
          <w:p w:rsidR="00372D1E" w:rsidRDefault="00372D1E" w:rsidP="00F512D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64b/256b</w:t>
            </w:r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64b/512b</w:t>
            </w:r>
          </w:p>
        </w:tc>
        <w:tc>
          <w:tcPr>
            <w:tcW w:w="795" w:type="dxa"/>
            <w:vAlign w:val="center"/>
          </w:tcPr>
          <w:p w:rsidR="00372D1E" w:rsidRDefault="00372D1E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Mults</w:t>
            </w:r>
            <w:proofErr w:type="spellEnd"/>
          </w:p>
        </w:tc>
        <w:tc>
          <w:tcPr>
            <w:tcW w:w="796" w:type="dxa"/>
            <w:vAlign w:val="center"/>
          </w:tcPr>
          <w:p w:rsidR="00372D1E" w:rsidRDefault="00372D1E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Adds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 w:val="restart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3-tap filter</w:t>
            </w:r>
          </w:p>
        </w:tc>
        <w:tc>
          <w:tcPr>
            <w:tcW w:w="795" w:type="dxa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RA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-3.6%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-3.8%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118%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115%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116%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108%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105%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</w:p>
        </w:tc>
        <w:tc>
          <w:tcPr>
            <w:tcW w:w="795" w:type="dxa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LD-P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-5.3%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-5.5%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-4.9%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135%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131%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117%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110%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</w:p>
        </w:tc>
        <w:tc>
          <w:tcPr>
            <w:tcW w:w="795" w:type="dxa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LD-B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-4.5%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-4.4%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126%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122%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123%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112%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107%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</w:p>
        </w:tc>
        <w:tc>
          <w:tcPr>
            <w:tcW w:w="795" w:type="dxa"/>
            <w:vAlign w:val="center"/>
          </w:tcPr>
          <w:p w:rsidR="002B61E6" w:rsidRPr="00F512DB" w:rsidRDefault="002B61E6" w:rsidP="00F512DB">
            <w:pPr>
              <w:jc w:val="center"/>
              <w:rPr>
                <w:b/>
                <w:lang w:val="en-CA"/>
              </w:rPr>
            </w:pPr>
            <w:r w:rsidRPr="00F512DB">
              <w:rPr>
                <w:b/>
                <w:lang w:val="en-CA"/>
              </w:rPr>
              <w:t>Aver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-3.4%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-4.5%</w:t>
            </w:r>
          </w:p>
        </w:tc>
        <w:tc>
          <w:tcPr>
            <w:tcW w:w="796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-4.4%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115%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122%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126%</w:t>
            </w:r>
          </w:p>
        </w:tc>
        <w:tc>
          <w:tcPr>
            <w:tcW w:w="796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122%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123%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112%</w:t>
            </w:r>
          </w:p>
        </w:tc>
        <w:tc>
          <w:tcPr>
            <w:tcW w:w="796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107%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 w:val="restart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No 4x16 or16x4 </w:t>
            </w:r>
            <w:proofErr w:type="spellStart"/>
            <w:r>
              <w:rPr>
                <w:lang w:val="en-CA"/>
              </w:rPr>
              <w:t>uni-pred</w:t>
            </w:r>
            <w:proofErr w:type="spellEnd"/>
          </w:p>
        </w:tc>
        <w:tc>
          <w:tcPr>
            <w:tcW w:w="795" w:type="dxa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RA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-3.7%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-3.9%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114%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111%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</w:p>
        </w:tc>
        <w:tc>
          <w:tcPr>
            <w:tcW w:w="795" w:type="dxa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LD-P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-5.3%</w:t>
            </w:r>
          </w:p>
        </w:tc>
        <w:tc>
          <w:tcPr>
            <w:tcW w:w="795" w:type="dxa"/>
            <w:vAlign w:val="bottom"/>
          </w:tcPr>
          <w:p w:rsidR="002B61E6" w:rsidRDefault="002B61E6" w:rsidP="007E1AE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-5.6%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-5.0%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140%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125%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</w:p>
        </w:tc>
        <w:tc>
          <w:tcPr>
            <w:tcW w:w="795" w:type="dxa"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LD-B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-4.6%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-4.5%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119%</w:t>
            </w:r>
          </w:p>
        </w:tc>
        <w:tc>
          <w:tcPr>
            <w:tcW w:w="795" w:type="dxa"/>
            <w:vAlign w:val="bottom"/>
          </w:tcPr>
          <w:p w:rsidR="002B61E6" w:rsidRDefault="002B61E6" w:rsidP="007E1A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130%</w:t>
            </w:r>
          </w:p>
        </w:tc>
        <w:tc>
          <w:tcPr>
            <w:tcW w:w="795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121%</w:t>
            </w:r>
          </w:p>
        </w:tc>
        <w:tc>
          <w:tcPr>
            <w:tcW w:w="796" w:type="dxa"/>
            <w:vAlign w:val="bottom"/>
          </w:tcPr>
          <w:p w:rsidR="002B61E6" w:rsidRDefault="002B61E6" w:rsidP="00F512DB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117%</w:t>
            </w:r>
          </w:p>
        </w:tc>
      </w:tr>
      <w:tr w:rsidR="002B61E6" w:rsidTr="002B61E6">
        <w:trPr>
          <w:jc w:val="center"/>
        </w:trPr>
        <w:tc>
          <w:tcPr>
            <w:tcW w:w="828" w:type="dxa"/>
            <w:vMerge/>
            <w:vAlign w:val="center"/>
          </w:tcPr>
          <w:p w:rsidR="002B61E6" w:rsidRDefault="002B61E6" w:rsidP="00F512DB">
            <w:pPr>
              <w:jc w:val="center"/>
              <w:rPr>
                <w:lang w:val="en-CA"/>
              </w:rPr>
            </w:pPr>
          </w:p>
        </w:tc>
        <w:tc>
          <w:tcPr>
            <w:tcW w:w="795" w:type="dxa"/>
            <w:vAlign w:val="center"/>
          </w:tcPr>
          <w:p w:rsidR="002B61E6" w:rsidRPr="00F512DB" w:rsidRDefault="002B61E6" w:rsidP="00F512DB">
            <w:pPr>
              <w:jc w:val="center"/>
              <w:rPr>
                <w:b/>
                <w:lang w:val="en-CA"/>
              </w:rPr>
            </w:pPr>
            <w:r w:rsidRPr="00F512DB">
              <w:rPr>
                <w:b/>
                <w:lang w:val="en-CA"/>
              </w:rPr>
              <w:t>Aver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-3.5%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-4.6%</w:t>
            </w:r>
          </w:p>
        </w:tc>
        <w:tc>
          <w:tcPr>
            <w:tcW w:w="796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-4.5%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112%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03D33">
              <w:rPr>
                <w:rFonts w:ascii="Arial" w:hAnsi="Arial" w:cs="Arial"/>
                <w:b/>
                <w:color w:val="000000"/>
                <w:sz w:val="18"/>
                <w:szCs w:val="18"/>
              </w:rPr>
              <w:t>120%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130%</w:t>
            </w:r>
          </w:p>
        </w:tc>
        <w:tc>
          <w:tcPr>
            <w:tcW w:w="796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131%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131%</w:t>
            </w:r>
          </w:p>
        </w:tc>
        <w:tc>
          <w:tcPr>
            <w:tcW w:w="795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121%</w:t>
            </w:r>
          </w:p>
        </w:tc>
        <w:tc>
          <w:tcPr>
            <w:tcW w:w="796" w:type="dxa"/>
            <w:vAlign w:val="bottom"/>
          </w:tcPr>
          <w:p w:rsidR="002B61E6" w:rsidRPr="002B61E6" w:rsidRDefault="002B61E6" w:rsidP="00F512DB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03D33">
              <w:rPr>
                <w:rFonts w:ascii="Calibri" w:hAnsi="Calibri"/>
                <w:b/>
                <w:color w:val="000000"/>
              </w:rPr>
              <w:t>118%</w:t>
            </w:r>
          </w:p>
        </w:tc>
      </w:tr>
    </w:tbl>
    <w:p w:rsidR="00372D1E" w:rsidRDefault="00F52F20" w:rsidP="00483EC7">
      <w:pPr>
        <w:jc w:val="both"/>
        <w:rPr>
          <w:lang w:val="en-CA"/>
        </w:rPr>
      </w:pPr>
      <w:r>
        <w:rPr>
          <w:lang w:val="en-CA"/>
        </w:rPr>
        <w:t xml:space="preserve">When compared to the coding performance of test case 2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_Ref353019730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[8]</w:t>
      </w:r>
      <w:r>
        <w:rPr>
          <w:lang w:val="en-CA"/>
        </w:rPr>
        <w:fldChar w:fldCharType="end"/>
      </w:r>
      <w:r>
        <w:rPr>
          <w:lang w:val="en-CA"/>
        </w:rPr>
        <w:t>,</w:t>
      </w:r>
      <w:r w:rsidR="00122753">
        <w:rPr>
          <w:lang w:val="en-CA"/>
        </w:rPr>
        <w:t xml:space="preserve"> marginal coding loss (less than 0.1% </w:t>
      </w:r>
      <w:proofErr w:type="spellStart"/>
      <w:r w:rsidR="00122753">
        <w:rPr>
          <w:lang w:val="en-CA"/>
        </w:rPr>
        <w:t>luma</w:t>
      </w:r>
      <w:proofErr w:type="spellEnd"/>
      <w:r w:rsidR="00122753">
        <w:rPr>
          <w:lang w:val="en-CA"/>
        </w:rPr>
        <w:t xml:space="preserve"> BD rate on average) was introduced by the two simplification methods while</w:t>
      </w:r>
      <w:r w:rsidR="00A21B6D">
        <w:rPr>
          <w:lang w:val="en-CA"/>
        </w:rPr>
        <w:t xml:space="preserve"> the</w:t>
      </w:r>
      <w:r w:rsidR="00122753">
        <w:rPr>
          <w:lang w:val="en-CA"/>
        </w:rPr>
        <w:t xml:space="preserve"> decoding complexity is further reduced.</w:t>
      </w:r>
    </w:p>
    <w:p w:rsidR="00303D33" w:rsidRDefault="00303D33" w:rsidP="00303D33">
      <w:pPr>
        <w:jc w:val="both"/>
        <w:rPr>
          <w:lang w:val="en-CA"/>
        </w:rPr>
      </w:pPr>
      <w:r>
        <w:rPr>
          <w:lang w:val="en-CA"/>
        </w:rPr>
        <w:t xml:space="preserve">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_Ref353114871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926A53">
        <w:rPr>
          <w:lang w:val="en-CA"/>
        </w:rPr>
        <w:t>Table 4</w:t>
      </w:r>
      <w:r>
        <w:rPr>
          <w:lang w:val="en-CA"/>
        </w:rPr>
        <w:fldChar w:fldCharType="end"/>
      </w:r>
      <w:r>
        <w:rPr>
          <w:lang w:val="en-CA"/>
        </w:rPr>
        <w:t xml:space="preserve"> with the two simplifications, the computational complexity and memory access of GRP decoding module in </w:t>
      </w:r>
      <w:r w:rsidR="00E511EE">
        <w:rPr>
          <w:lang w:val="en-CA"/>
        </w:rPr>
        <w:t xml:space="preserve">the </w:t>
      </w:r>
      <w:r>
        <w:rPr>
          <w:lang w:val="en-CA"/>
        </w:rPr>
        <w:t xml:space="preserve">worst case is kept lower than that of motion compensation module in HEVC single layer decoding according to the AHG17 template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_Ref350368379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[7]</w:t>
      </w:r>
      <w:r>
        <w:rPr>
          <w:lang w:val="en-CA"/>
        </w:rPr>
        <w:fldChar w:fldCharType="end"/>
      </w:r>
      <w:r>
        <w:rPr>
          <w:lang w:val="en-CA"/>
        </w:rPr>
        <w:t>.</w:t>
      </w:r>
    </w:p>
    <w:p w:rsidR="00303D33" w:rsidRDefault="00303D33" w:rsidP="00483EC7">
      <w:pPr>
        <w:jc w:val="both"/>
        <w:rPr>
          <w:lang w:val="en-CA"/>
        </w:rPr>
      </w:pPr>
    </w:p>
    <w:p w:rsidR="00BE1650" w:rsidRPr="00926A53" w:rsidRDefault="00BE1650" w:rsidP="00BE1650">
      <w:pPr>
        <w:jc w:val="center"/>
        <w:rPr>
          <w:lang w:val="en-CA"/>
        </w:rPr>
      </w:pPr>
      <w:bookmarkStart w:id="3" w:name="_Ref353114871"/>
      <w:r w:rsidRPr="00926A53">
        <w:rPr>
          <w:lang w:val="en-CA"/>
        </w:rPr>
        <w:t xml:space="preserve">Table </w:t>
      </w:r>
      <w:r w:rsidRPr="00926A53">
        <w:rPr>
          <w:lang w:val="en-CA"/>
        </w:rPr>
        <w:fldChar w:fldCharType="begin"/>
      </w:r>
      <w:r w:rsidRPr="00926A53">
        <w:rPr>
          <w:lang w:val="en-CA"/>
        </w:rPr>
        <w:instrText xml:space="preserve"> SEQ Table \* ARABIC </w:instrText>
      </w:r>
      <w:r w:rsidRPr="00926A53">
        <w:rPr>
          <w:lang w:val="en-CA"/>
        </w:rPr>
        <w:fldChar w:fldCharType="separate"/>
      </w:r>
      <w:r w:rsidRPr="00926A53">
        <w:rPr>
          <w:lang w:val="en-CA"/>
        </w:rPr>
        <w:t>4</w:t>
      </w:r>
      <w:r w:rsidRPr="00926A53">
        <w:rPr>
          <w:lang w:val="en-CA"/>
        </w:rPr>
        <w:fldChar w:fldCharType="end"/>
      </w:r>
      <w:bookmarkEnd w:id="3"/>
      <w:r w:rsidRPr="00926A53">
        <w:rPr>
          <w:lang w:val="en-CA"/>
        </w:rPr>
        <w:t xml:space="preserve"> Complexity </w:t>
      </w:r>
      <w:r>
        <w:rPr>
          <w:lang w:val="en-CA"/>
        </w:rPr>
        <w:t xml:space="preserve">of the proposed tool </w:t>
      </w:r>
      <w:r w:rsidRPr="00926A53">
        <w:rPr>
          <w:lang w:val="en-CA"/>
        </w:rPr>
        <w:t>in the worst case</w:t>
      </w:r>
    </w:p>
    <w:tbl>
      <w:tblPr>
        <w:tblStyle w:val="TableGrid"/>
        <w:tblW w:w="9578" w:type="dxa"/>
        <w:jc w:val="center"/>
        <w:tblInd w:w="-1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1"/>
        <w:gridCol w:w="1085"/>
        <w:gridCol w:w="1085"/>
        <w:gridCol w:w="1085"/>
        <w:gridCol w:w="1086"/>
        <w:gridCol w:w="1085"/>
        <w:gridCol w:w="1085"/>
        <w:gridCol w:w="1216"/>
      </w:tblGrid>
      <w:tr w:rsidR="00BE1650" w:rsidTr="00926A53">
        <w:trPr>
          <w:jc w:val="center"/>
        </w:trPr>
        <w:tc>
          <w:tcPr>
            <w:tcW w:w="1851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Test case</w:t>
            </w:r>
          </w:p>
        </w:tc>
        <w:tc>
          <w:tcPr>
            <w:tcW w:w="1085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Mul</w:t>
            </w:r>
            <w:proofErr w:type="spellEnd"/>
          </w:p>
        </w:tc>
        <w:tc>
          <w:tcPr>
            <w:tcW w:w="1085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Adds</w:t>
            </w:r>
          </w:p>
        </w:tc>
        <w:tc>
          <w:tcPr>
            <w:tcW w:w="1085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MemBand</w:t>
            </w:r>
            <w:proofErr w:type="spellEnd"/>
            <w:r>
              <w:rPr>
                <w:lang w:val="en-CA"/>
              </w:rPr>
              <w:t xml:space="preserve"> (4x2)</w:t>
            </w:r>
          </w:p>
        </w:tc>
        <w:tc>
          <w:tcPr>
            <w:tcW w:w="1086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MemBand</w:t>
            </w:r>
            <w:proofErr w:type="spellEnd"/>
            <w:r>
              <w:rPr>
                <w:lang w:val="en-CA"/>
              </w:rPr>
              <w:t xml:space="preserve"> (8x2)</w:t>
            </w:r>
          </w:p>
        </w:tc>
        <w:tc>
          <w:tcPr>
            <w:tcW w:w="1085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Ref </w:t>
            </w:r>
            <w:proofErr w:type="spellStart"/>
            <w:r>
              <w:rPr>
                <w:lang w:val="en-CA"/>
              </w:rPr>
              <w:t>num</w:t>
            </w:r>
            <w:proofErr w:type="spellEnd"/>
            <w:r>
              <w:rPr>
                <w:lang w:val="en-CA"/>
              </w:rPr>
              <w:t xml:space="preserve"> in </w:t>
            </w:r>
            <w:proofErr w:type="spellStart"/>
            <w:r>
              <w:rPr>
                <w:lang w:val="en-CA"/>
              </w:rPr>
              <w:t>pred</w:t>
            </w:r>
            <w:proofErr w:type="spellEnd"/>
          </w:p>
        </w:tc>
        <w:tc>
          <w:tcPr>
            <w:tcW w:w="1085" w:type="dxa"/>
            <w:vAlign w:val="center"/>
          </w:tcPr>
          <w:p w:rsidR="00BE1650" w:rsidRDefault="00BE1650" w:rsidP="00926A5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Additional picture buffer</w:t>
            </w:r>
          </w:p>
        </w:tc>
        <w:tc>
          <w:tcPr>
            <w:tcW w:w="1216" w:type="dxa"/>
            <w:vAlign w:val="center"/>
          </w:tcPr>
          <w:p w:rsidR="00BE1650" w:rsidRDefault="00BE1650" w:rsidP="00926A5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Size of lookup table</w:t>
            </w:r>
          </w:p>
        </w:tc>
      </w:tr>
      <w:tr w:rsidR="00BE1650" w:rsidTr="00926A53">
        <w:trPr>
          <w:jc w:val="center"/>
        </w:trPr>
        <w:tc>
          <w:tcPr>
            <w:tcW w:w="1851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3-tap filter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61%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49%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98%</w:t>
            </w:r>
          </w:p>
        </w:tc>
        <w:tc>
          <w:tcPr>
            <w:tcW w:w="1086" w:type="dxa"/>
            <w:vAlign w:val="center"/>
          </w:tcPr>
          <w:p w:rsidR="00BE1650" w:rsidRPr="00926A53" w:rsidRDefault="00BE1650" w:rsidP="00BE165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96%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180%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0%</w:t>
            </w:r>
          </w:p>
        </w:tc>
        <w:tc>
          <w:tcPr>
            <w:tcW w:w="1216" w:type="dxa"/>
            <w:vAlign w:val="center"/>
          </w:tcPr>
          <w:p w:rsidR="00BE1650" w:rsidRPr="00926A53" w:rsidRDefault="00BE1650" w:rsidP="00BE165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138%</w:t>
            </w:r>
          </w:p>
        </w:tc>
      </w:tr>
      <w:tr w:rsidR="00BE1650" w:rsidTr="00926A53">
        <w:trPr>
          <w:jc w:val="center"/>
        </w:trPr>
        <w:tc>
          <w:tcPr>
            <w:tcW w:w="1851" w:type="dxa"/>
            <w:vAlign w:val="center"/>
          </w:tcPr>
          <w:p w:rsidR="00BE1650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No 4x16 or16x4 </w:t>
            </w:r>
            <w:proofErr w:type="spellStart"/>
            <w:r>
              <w:rPr>
                <w:lang w:val="en-CA"/>
              </w:rPr>
              <w:t>uni-pred</w:t>
            </w:r>
            <w:proofErr w:type="spellEnd"/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76%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67%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98%</w:t>
            </w:r>
          </w:p>
        </w:tc>
        <w:tc>
          <w:tcPr>
            <w:tcW w:w="1086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91%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180%</w:t>
            </w:r>
          </w:p>
        </w:tc>
        <w:tc>
          <w:tcPr>
            <w:tcW w:w="1085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0%</w:t>
            </w:r>
          </w:p>
        </w:tc>
        <w:tc>
          <w:tcPr>
            <w:tcW w:w="1216" w:type="dxa"/>
            <w:vAlign w:val="center"/>
          </w:tcPr>
          <w:p w:rsidR="00BE1650" w:rsidRPr="00926A53" w:rsidRDefault="00BE1650" w:rsidP="00926A5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146%</w:t>
            </w:r>
          </w:p>
        </w:tc>
      </w:tr>
    </w:tbl>
    <w:p w:rsidR="00F52F20" w:rsidRPr="001654EB" w:rsidRDefault="00F52F20" w:rsidP="00483EC7">
      <w:pPr>
        <w:jc w:val="both"/>
        <w:rPr>
          <w:lang w:val="en-CA"/>
        </w:rPr>
      </w:pPr>
    </w:p>
    <w:p w:rsidR="00483EC7" w:rsidRPr="005B217D" w:rsidRDefault="00483EC7" w:rsidP="00483EC7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483EC7" w:rsidRPr="005B217D" w:rsidRDefault="00483EC7" w:rsidP="00483EC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proposal, generalized residual prediction </w:t>
      </w:r>
      <w:r w:rsidR="003A25B9">
        <w:rPr>
          <w:szCs w:val="22"/>
          <w:lang w:val="en-CA"/>
        </w:rPr>
        <w:t xml:space="preserve">proposed in </w:t>
      </w:r>
      <w:r w:rsidR="003A25B9">
        <w:rPr>
          <w:szCs w:val="22"/>
          <w:lang w:val="en-CA"/>
        </w:rPr>
        <w:fldChar w:fldCharType="begin"/>
      </w:r>
      <w:r w:rsidR="003A25B9">
        <w:rPr>
          <w:szCs w:val="22"/>
          <w:lang w:val="en-CA"/>
        </w:rPr>
        <w:instrText xml:space="preserve"> REF _Ref353019730 \r \h </w:instrText>
      </w:r>
      <w:r w:rsidR="003A25B9">
        <w:rPr>
          <w:szCs w:val="22"/>
          <w:lang w:val="en-CA"/>
        </w:rPr>
      </w:r>
      <w:r w:rsidR="003A25B9">
        <w:rPr>
          <w:szCs w:val="22"/>
          <w:lang w:val="en-CA"/>
        </w:rPr>
        <w:fldChar w:fldCharType="separate"/>
      </w:r>
      <w:r w:rsidR="003A25B9">
        <w:rPr>
          <w:szCs w:val="22"/>
          <w:lang w:val="en-CA"/>
        </w:rPr>
        <w:t>[8]</w:t>
      </w:r>
      <w:r w:rsidR="003A25B9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is </w:t>
      </w:r>
      <w:r w:rsidR="003A25B9">
        <w:rPr>
          <w:szCs w:val="22"/>
          <w:lang w:val="en-CA"/>
        </w:rPr>
        <w:t>further simplified</w:t>
      </w:r>
      <w:r>
        <w:rPr>
          <w:szCs w:val="22"/>
          <w:lang w:val="en-CA"/>
        </w:rPr>
        <w:t xml:space="preserve">. </w:t>
      </w:r>
      <w:r w:rsidR="003A25B9">
        <w:rPr>
          <w:szCs w:val="22"/>
          <w:lang w:val="en-CA"/>
        </w:rPr>
        <w:t>T</w:t>
      </w:r>
      <w:r w:rsidR="00EA0A47">
        <w:rPr>
          <w:szCs w:val="22"/>
          <w:lang w:val="en-CA"/>
        </w:rPr>
        <w:t>he computational complexity (in terms of the number</w:t>
      </w:r>
      <w:r w:rsidR="00472959">
        <w:rPr>
          <w:szCs w:val="22"/>
          <w:lang w:val="en-CA"/>
        </w:rPr>
        <w:t>s</w:t>
      </w:r>
      <w:r w:rsidR="00EA0A47">
        <w:rPr>
          <w:szCs w:val="22"/>
          <w:lang w:val="en-CA"/>
        </w:rPr>
        <w:t xml:space="preserve"> of multiplications and additions) </w:t>
      </w:r>
      <w:r w:rsidR="004C7227">
        <w:rPr>
          <w:szCs w:val="22"/>
          <w:lang w:val="en-CA"/>
        </w:rPr>
        <w:t xml:space="preserve">and memory access of GRP </w:t>
      </w:r>
      <w:r w:rsidR="00472959">
        <w:rPr>
          <w:szCs w:val="22"/>
          <w:lang w:val="en-CA"/>
        </w:rPr>
        <w:t xml:space="preserve">decoding module </w:t>
      </w:r>
      <w:r w:rsidR="004C7227">
        <w:rPr>
          <w:szCs w:val="22"/>
          <w:lang w:val="en-CA"/>
        </w:rPr>
        <w:t xml:space="preserve">in the worst case is kept lower than that of motion compensation module of HEVC single layer </w:t>
      </w:r>
      <w:r w:rsidR="00472959">
        <w:rPr>
          <w:szCs w:val="22"/>
          <w:lang w:val="en-CA"/>
        </w:rPr>
        <w:t>de</w:t>
      </w:r>
      <w:r w:rsidR="004C7227">
        <w:rPr>
          <w:szCs w:val="22"/>
          <w:lang w:val="en-CA"/>
        </w:rPr>
        <w:t>coding.</w:t>
      </w:r>
      <w:r w:rsidR="00EA0A47">
        <w:rPr>
          <w:szCs w:val="22"/>
          <w:lang w:val="en-CA"/>
        </w:rPr>
        <w:t xml:space="preserve"> </w:t>
      </w:r>
      <w:r>
        <w:rPr>
          <w:szCs w:val="22"/>
          <w:lang w:val="en-CA"/>
        </w:rPr>
        <w:t>It is suggested to adopt GRP into SHVC and reference software.</w:t>
      </w:r>
    </w:p>
    <w:p w:rsidR="00483EC7" w:rsidRDefault="00483EC7" w:rsidP="00483EC7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22239C" w:rsidRPr="009E6EFE" w:rsidRDefault="0022239C" w:rsidP="0022239C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bookmarkStart w:id="4" w:name="_Ref347833518"/>
      <w:r w:rsidRPr="009E6EFE">
        <w:rPr>
          <w:szCs w:val="22"/>
        </w:rPr>
        <w:t xml:space="preserve">X. Li, J. Chen, K. Rapaka, M. Karczewicz, “TE3: Results of Test 4.6.2.1 on Generalized Residual Prediction”, JCTVC-L0078,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4"/>
    </w:p>
    <w:p w:rsidR="0022239C" w:rsidRPr="009E6EFE" w:rsidRDefault="0022239C" w:rsidP="0022239C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bookmarkStart w:id="5" w:name="_Ref347833520"/>
      <w:r w:rsidRPr="009E6EFE">
        <w:rPr>
          <w:szCs w:val="22"/>
        </w:rPr>
        <w:t xml:space="preserve">X. Li, J. Chen, K. Rapaka, M. Karczewicz, “Non-TE3: Extension of Test 4.6.2.1 on Generalized Residual Prediction”, JCTVC-L0190,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5"/>
    </w:p>
    <w:p w:rsidR="0022239C" w:rsidRPr="009E6EFE" w:rsidRDefault="0022239C" w:rsidP="0022239C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bookmarkStart w:id="6" w:name="_Ref347833522"/>
      <w:r w:rsidRPr="009E6EFE">
        <w:rPr>
          <w:szCs w:val="22"/>
        </w:rPr>
        <w:t xml:space="preserve">J. </w:t>
      </w:r>
      <w:proofErr w:type="spellStart"/>
      <w:r w:rsidRPr="009E6EFE">
        <w:rPr>
          <w:szCs w:val="22"/>
        </w:rPr>
        <w:t>Lainema</w:t>
      </w:r>
      <w:proofErr w:type="spellEnd"/>
      <w:r w:rsidRPr="009E6EFE">
        <w:rPr>
          <w:szCs w:val="22"/>
        </w:rPr>
        <w:t xml:space="preserve">, K. </w:t>
      </w:r>
      <w:proofErr w:type="spellStart"/>
      <w:r w:rsidRPr="009E6EFE">
        <w:rPr>
          <w:szCs w:val="22"/>
        </w:rPr>
        <w:t>Ugur</w:t>
      </w:r>
      <w:proofErr w:type="spellEnd"/>
      <w:r w:rsidRPr="009E6EFE">
        <w:rPr>
          <w:szCs w:val="22"/>
        </w:rPr>
        <w:t xml:space="preserve">, “TE3: Results of test 4.6.3 on base enhanced motion compensated prediction”, JCTVC-L0038,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6"/>
    </w:p>
    <w:bookmarkStart w:id="7" w:name="_Ref347833523"/>
    <w:p w:rsidR="0022239C" w:rsidRDefault="0022239C" w:rsidP="0022239C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"mailto:christophe.gisquet@crf.canon.fr"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 xml:space="preserve">C. </w:t>
      </w:r>
      <w:proofErr w:type="spellStart"/>
      <w:r w:rsidRPr="009E6EFE">
        <w:rPr>
          <w:szCs w:val="22"/>
        </w:rPr>
        <w:t>Gisquet</w:t>
      </w:r>
      <w:proofErr w:type="spellEnd"/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5" w:history="1">
        <w:r w:rsidRPr="009E6EFE">
          <w:rPr>
            <w:szCs w:val="22"/>
          </w:rPr>
          <w:t xml:space="preserve">F. Le </w:t>
        </w:r>
        <w:proofErr w:type="spellStart"/>
        <w:r w:rsidRPr="009E6EFE">
          <w:rPr>
            <w:szCs w:val="22"/>
          </w:rPr>
          <w:t>Léannec</w:t>
        </w:r>
        <w:proofErr w:type="spellEnd"/>
      </w:hyperlink>
      <w:r w:rsidRPr="009E6EFE">
        <w:rPr>
          <w:szCs w:val="22"/>
        </w:rPr>
        <w:t xml:space="preserve">, J. </w:t>
      </w:r>
      <w:proofErr w:type="spellStart"/>
      <w:r w:rsidRPr="009E6EFE">
        <w:rPr>
          <w:szCs w:val="22"/>
        </w:rPr>
        <w:t>Taquet</w:t>
      </w:r>
      <w:proofErr w:type="spellEnd"/>
      <w:r w:rsidRPr="009E6EFE">
        <w:rPr>
          <w:szCs w:val="22"/>
        </w:rPr>
        <w:t xml:space="preserve">, </w:t>
      </w:r>
      <w:hyperlink r:id="rId16" w:history="1">
        <w:r w:rsidRPr="009E6EFE">
          <w:rPr>
            <w:szCs w:val="22"/>
          </w:rPr>
          <w:t>E. François</w:t>
        </w:r>
      </w:hyperlink>
      <w:r w:rsidRPr="009E6EFE">
        <w:rPr>
          <w:szCs w:val="22"/>
        </w:rPr>
        <w:t xml:space="preserve">, </w:t>
      </w:r>
      <w:hyperlink r:id="rId17" w:history="1">
        <w:r w:rsidRPr="009E6EFE">
          <w:rPr>
            <w:szCs w:val="22"/>
          </w:rPr>
          <w:t xml:space="preserve">G. </w:t>
        </w:r>
        <w:proofErr w:type="spellStart"/>
        <w:r w:rsidRPr="009E6EFE">
          <w:rPr>
            <w:szCs w:val="22"/>
          </w:rPr>
          <w:t>Laroche</w:t>
        </w:r>
        <w:proofErr w:type="spellEnd"/>
      </w:hyperlink>
      <w:r w:rsidRPr="009E6EFE">
        <w:rPr>
          <w:szCs w:val="22"/>
        </w:rPr>
        <w:t xml:space="preserve">, </w:t>
      </w:r>
      <w:hyperlink r:id="rId18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“TE3: Results of test 4.6.1 on the Generalized Residual Inter-Layer Prediction (GRILP)”, JCTVC-L0100,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7"/>
    </w:p>
    <w:bookmarkStart w:id="8" w:name="_Ref347833434"/>
    <w:bookmarkStart w:id="9" w:name="_Ref350366153"/>
    <w:p w:rsidR="0022239C" w:rsidRPr="00C75200" w:rsidRDefault="0022239C" w:rsidP="0022239C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9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20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21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8"/>
      <w:r w:rsidR="00C75200">
        <w:rPr>
          <w:szCs w:val="22"/>
        </w:rPr>
        <w:t>.</w:t>
      </w:r>
      <w:bookmarkEnd w:id="9"/>
    </w:p>
    <w:bookmarkStart w:id="10" w:name="_Ref347833635"/>
    <w:p w:rsidR="00C75200" w:rsidRDefault="00C75200" w:rsidP="00C75200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"mailto:wonkap@vidyo.com"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W. Jang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22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23" w:history="1">
        <w:r w:rsidRPr="009E6EFE">
          <w:rPr>
            <w:szCs w:val="22"/>
          </w:rPr>
          <w:t>A. Abbas (</w:t>
        </w:r>
        <w:proofErr w:type="spellStart"/>
        <w:r w:rsidRPr="009E6EFE">
          <w:rPr>
            <w:szCs w:val="22"/>
          </w:rPr>
          <w:t>Vidyo</w:t>
        </w:r>
        <w:proofErr w:type="spellEnd"/>
        <w:r w:rsidRPr="009E6EFE">
          <w:rPr>
            <w:szCs w:val="22"/>
          </w:rPr>
          <w:t>)</w:t>
        </w:r>
      </w:hyperlink>
      <w:r w:rsidRPr="009E6EFE">
        <w:rPr>
          <w:szCs w:val="22"/>
        </w:rPr>
        <w:t xml:space="preserve">, </w:t>
      </w:r>
      <w:hyperlink r:id="rId24" w:history="1">
        <w:r w:rsidRPr="009E6EFE">
          <w:rPr>
            <w:szCs w:val="22"/>
          </w:rPr>
          <w:t xml:space="preserve">E. </w:t>
        </w:r>
        <w:proofErr w:type="spellStart"/>
        <w:r w:rsidRPr="009E6EFE">
          <w:rPr>
            <w:szCs w:val="22"/>
          </w:rPr>
          <w:t>Alshina</w:t>
        </w:r>
        <w:proofErr w:type="spellEnd"/>
      </w:hyperlink>
      <w:r w:rsidRPr="009E6EFE">
        <w:rPr>
          <w:szCs w:val="22"/>
        </w:rPr>
        <w:t xml:space="preserve">, </w:t>
      </w:r>
      <w:hyperlink r:id="rId25" w:history="1">
        <w:r w:rsidRPr="009E6EFE">
          <w:rPr>
            <w:szCs w:val="22"/>
          </w:rPr>
          <w:t>C. Kim</w:t>
        </w:r>
      </w:hyperlink>
      <w:r w:rsidRPr="009E6EFE">
        <w:rPr>
          <w:szCs w:val="22"/>
        </w:rPr>
        <w:t xml:space="preserve">, “TE3: Results of test 4.4.2 on inter prediction based on difference coding”, JCTVC-L0184,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10"/>
    </w:p>
    <w:bookmarkStart w:id="11" w:name="_Ref350368379"/>
    <w:bookmarkStart w:id="12" w:name="_GoBack"/>
    <w:bookmarkEnd w:id="12"/>
    <w:p w:rsidR="00B7779B" w:rsidRDefault="00B7779B" w:rsidP="00C75200">
      <w:pPr>
        <w:numPr>
          <w:ilvl w:val="0"/>
          <w:numId w:val="14"/>
        </w:numPr>
        <w:tabs>
          <w:tab w:val="left" w:pos="360"/>
        </w:tabs>
        <w:jc w:val="both"/>
        <w:textAlignment w:val="auto"/>
        <w:rPr>
          <w:szCs w:val="22"/>
        </w:rPr>
      </w:pPr>
      <w:r w:rsidRPr="00B7779B">
        <w:rPr>
          <w:szCs w:val="22"/>
        </w:rPr>
        <w:lastRenderedPageBreak/>
        <w:fldChar w:fldCharType="begin"/>
      </w:r>
      <w:r w:rsidRPr="00B7779B">
        <w:rPr>
          <w:szCs w:val="22"/>
        </w:rPr>
        <w:instrText xml:space="preserve"> HYPERLINK "mailto:edouard.francois@crf.canon.fr" </w:instrText>
      </w:r>
      <w:r w:rsidRPr="00B7779B">
        <w:rPr>
          <w:szCs w:val="22"/>
        </w:rPr>
        <w:fldChar w:fldCharType="separate"/>
      </w:r>
      <w:r w:rsidRPr="00B7779B">
        <w:rPr>
          <w:szCs w:val="22"/>
        </w:rPr>
        <w:t>E. François</w:t>
      </w:r>
      <w:r w:rsidRPr="00B7779B">
        <w:rPr>
          <w:szCs w:val="22"/>
        </w:rPr>
        <w:fldChar w:fldCharType="end"/>
      </w:r>
      <w:r w:rsidRPr="00B7779B">
        <w:rPr>
          <w:szCs w:val="22"/>
        </w:rPr>
        <w:t xml:space="preserve">, </w:t>
      </w:r>
      <w:hyperlink r:id="rId26" w:history="1">
        <w:r w:rsidRPr="00B7779B">
          <w:rPr>
            <w:szCs w:val="22"/>
          </w:rPr>
          <w:t xml:space="preserve">A. </w:t>
        </w:r>
        <w:proofErr w:type="spellStart"/>
        <w:r w:rsidRPr="00B7779B">
          <w:rPr>
            <w:szCs w:val="22"/>
          </w:rPr>
          <w:t>Tabatabai</w:t>
        </w:r>
        <w:proofErr w:type="spellEnd"/>
      </w:hyperlink>
      <w:r w:rsidRPr="00B7779B">
        <w:rPr>
          <w:szCs w:val="22"/>
        </w:rPr>
        <w:t xml:space="preserve">, </w:t>
      </w:r>
      <w:hyperlink r:id="rId27" w:history="1">
        <w:r w:rsidRPr="00B7779B">
          <w:rPr>
            <w:szCs w:val="22"/>
          </w:rPr>
          <w:t xml:space="preserve">E. </w:t>
        </w:r>
        <w:proofErr w:type="spellStart"/>
        <w:r w:rsidRPr="00B7779B">
          <w:rPr>
            <w:szCs w:val="22"/>
          </w:rPr>
          <w:t>Alshina</w:t>
        </w:r>
        <w:proofErr w:type="spellEnd"/>
      </w:hyperlink>
      <w:r w:rsidRPr="00B7779B">
        <w:rPr>
          <w:szCs w:val="22"/>
        </w:rPr>
        <w:t xml:space="preserve">, </w:t>
      </w:r>
      <w:proofErr w:type="spellStart"/>
      <w:r w:rsidRPr="00B7779B">
        <w:rPr>
          <w:szCs w:val="22"/>
        </w:rPr>
        <w:t>BoG</w:t>
      </w:r>
      <w:proofErr w:type="spellEnd"/>
      <w:r w:rsidRPr="00B7779B">
        <w:rPr>
          <w:szCs w:val="22"/>
        </w:rPr>
        <w:t xml:space="preserve"> report: Methodology for evaluating complexity of combined and residual prediction methods in SHVC, JCTVC-L0440,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  <w:bookmarkEnd w:id="11"/>
    </w:p>
    <w:p w:rsidR="002459DF" w:rsidRPr="009E6EFE" w:rsidRDefault="002459DF" w:rsidP="00F52F20">
      <w:pPr>
        <w:numPr>
          <w:ilvl w:val="0"/>
          <w:numId w:val="14"/>
        </w:numPr>
        <w:jc w:val="both"/>
        <w:textAlignment w:val="auto"/>
        <w:rPr>
          <w:szCs w:val="22"/>
        </w:rPr>
      </w:pPr>
      <w:bookmarkStart w:id="13" w:name="_Ref353019730"/>
      <w:r w:rsidRPr="009E6EFE">
        <w:rPr>
          <w:szCs w:val="22"/>
        </w:rPr>
        <w:t xml:space="preserve">X. Li, J. Chen, K. Rapaka, M. Karczewicz, </w:t>
      </w:r>
      <w:r w:rsidR="00F52F20" w:rsidRPr="00F52F20">
        <w:rPr>
          <w:szCs w:val="22"/>
        </w:rPr>
        <w:t xml:space="preserve">J. </w:t>
      </w:r>
      <w:proofErr w:type="spellStart"/>
      <w:r w:rsidR="00F52F20" w:rsidRPr="00F52F20">
        <w:rPr>
          <w:szCs w:val="22"/>
        </w:rPr>
        <w:t>Lainema</w:t>
      </w:r>
      <w:proofErr w:type="spellEnd"/>
      <w:r w:rsidR="00F52F20" w:rsidRPr="00F52F20">
        <w:rPr>
          <w:szCs w:val="22"/>
        </w:rPr>
        <w:t xml:space="preserve">, K. </w:t>
      </w:r>
      <w:proofErr w:type="spellStart"/>
      <w:r w:rsidR="00F52F20" w:rsidRPr="00F52F20">
        <w:rPr>
          <w:szCs w:val="22"/>
        </w:rPr>
        <w:t>Ugur</w:t>
      </w:r>
      <w:proofErr w:type="spellEnd"/>
      <w:r w:rsidR="00F52F20" w:rsidRPr="00F52F20">
        <w:rPr>
          <w:szCs w:val="22"/>
        </w:rPr>
        <w:t xml:space="preserve">, C. </w:t>
      </w:r>
      <w:proofErr w:type="spellStart"/>
      <w:r w:rsidR="00F52F20" w:rsidRPr="00F52F20">
        <w:rPr>
          <w:szCs w:val="22"/>
        </w:rPr>
        <w:t>Gisquet</w:t>
      </w:r>
      <w:proofErr w:type="spellEnd"/>
      <w:r w:rsidR="00F52F20" w:rsidRPr="00F52F20">
        <w:rPr>
          <w:szCs w:val="22"/>
        </w:rPr>
        <w:t xml:space="preserve">, F. Le </w:t>
      </w:r>
      <w:proofErr w:type="spellStart"/>
      <w:r w:rsidR="00F52F20" w:rsidRPr="00F52F20">
        <w:rPr>
          <w:szCs w:val="22"/>
        </w:rPr>
        <w:t>Léannec</w:t>
      </w:r>
      <w:proofErr w:type="spellEnd"/>
      <w:r w:rsidR="00F52F20" w:rsidRPr="00F52F20">
        <w:rPr>
          <w:szCs w:val="22"/>
        </w:rPr>
        <w:t xml:space="preserve">, J. </w:t>
      </w:r>
      <w:proofErr w:type="spellStart"/>
      <w:r w:rsidR="00F52F20" w:rsidRPr="00F52F20">
        <w:rPr>
          <w:szCs w:val="22"/>
        </w:rPr>
        <w:t>Taquet</w:t>
      </w:r>
      <w:proofErr w:type="spellEnd"/>
      <w:r w:rsidR="00F52F20" w:rsidRPr="00F52F20">
        <w:rPr>
          <w:szCs w:val="22"/>
        </w:rPr>
        <w:t>, E.</w:t>
      </w:r>
      <w:r w:rsidR="00F52F20">
        <w:rPr>
          <w:szCs w:val="22"/>
        </w:rPr>
        <w:t xml:space="preserve"> </w:t>
      </w:r>
      <w:r w:rsidR="00F52F20" w:rsidRPr="0022239C">
        <w:rPr>
          <w:szCs w:val="22"/>
          <w:lang w:val="en-CA"/>
        </w:rPr>
        <w:t>François</w:t>
      </w:r>
      <w:r w:rsidR="00F52F20" w:rsidRPr="00F52F20">
        <w:rPr>
          <w:szCs w:val="22"/>
        </w:rPr>
        <w:t xml:space="preserve">, G. </w:t>
      </w:r>
      <w:proofErr w:type="spellStart"/>
      <w:r w:rsidR="00F52F20" w:rsidRPr="00F52F20">
        <w:rPr>
          <w:szCs w:val="22"/>
        </w:rPr>
        <w:t>Laroche</w:t>
      </w:r>
      <w:proofErr w:type="spellEnd"/>
      <w:r w:rsidR="00F52F20" w:rsidRPr="00F52F20">
        <w:rPr>
          <w:szCs w:val="22"/>
        </w:rPr>
        <w:t xml:space="preserve">, P. </w:t>
      </w:r>
      <w:proofErr w:type="spellStart"/>
      <w:r w:rsidR="00F52F20" w:rsidRPr="00F52F20">
        <w:rPr>
          <w:szCs w:val="22"/>
        </w:rPr>
        <w:t>Onno</w:t>
      </w:r>
      <w:proofErr w:type="spellEnd"/>
      <w:r w:rsidR="00F52F20">
        <w:rPr>
          <w:szCs w:val="22"/>
        </w:rPr>
        <w:t>,</w:t>
      </w:r>
      <w:r w:rsidR="00F52F20" w:rsidRPr="00F52F20">
        <w:rPr>
          <w:szCs w:val="22"/>
        </w:rPr>
        <w:t xml:space="preserve"> </w:t>
      </w:r>
      <w:r w:rsidRPr="009E6EFE">
        <w:rPr>
          <w:szCs w:val="22"/>
        </w:rPr>
        <w:t>“</w:t>
      </w:r>
      <w:r>
        <w:rPr>
          <w:szCs w:val="22"/>
        </w:rPr>
        <w:t>SCE3: Results of Test 3.3</w:t>
      </w:r>
      <w:r w:rsidRPr="009E6EFE">
        <w:rPr>
          <w:szCs w:val="22"/>
        </w:rPr>
        <w:t xml:space="preserve"> on Generalized Residual Prediction”, JCTVC-</w:t>
      </w:r>
      <w:r w:rsidR="002B61E6">
        <w:rPr>
          <w:szCs w:val="22"/>
        </w:rPr>
        <w:t>M0260</w:t>
      </w:r>
      <w:r w:rsidRPr="009E6EFE">
        <w:rPr>
          <w:szCs w:val="22"/>
        </w:rPr>
        <w:t xml:space="preserve">, </w:t>
      </w:r>
      <w:r w:rsidRPr="00B4194A">
        <w:rPr>
          <w:szCs w:val="22"/>
          <w:lang w:val="en-CA"/>
        </w:rPr>
        <w:t xml:space="preserve">Incheon, </w:t>
      </w:r>
      <w:r>
        <w:rPr>
          <w:szCs w:val="22"/>
          <w:lang w:val="en-CA"/>
        </w:rPr>
        <w:t>Korean</w:t>
      </w:r>
      <w:r w:rsidRPr="00B4194A">
        <w:rPr>
          <w:szCs w:val="22"/>
          <w:lang w:val="en-CA"/>
        </w:rPr>
        <w:t>, 18–26 Apr. 2013</w:t>
      </w:r>
      <w:r w:rsidRPr="009E6EFE">
        <w:rPr>
          <w:szCs w:val="22"/>
        </w:rPr>
        <w:t>.</w:t>
      </w:r>
      <w:bookmarkEnd w:id="13"/>
    </w:p>
    <w:p w:rsidR="00F623BF" w:rsidRPr="00F623BF" w:rsidRDefault="00F623BF" w:rsidP="002459DF">
      <w:pPr>
        <w:tabs>
          <w:tab w:val="clear" w:pos="360"/>
        </w:tabs>
        <w:ind w:left="360"/>
        <w:jc w:val="both"/>
        <w:textAlignment w:val="auto"/>
        <w:rPr>
          <w:szCs w:val="22"/>
          <w:highlight w:val="yellow"/>
        </w:rPr>
      </w:pPr>
    </w:p>
    <w:p w:rsidR="001F2594" w:rsidRPr="0022239C" w:rsidRDefault="001F2594" w:rsidP="009234A5">
      <w:pPr>
        <w:jc w:val="both"/>
        <w:rPr>
          <w:szCs w:val="22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22239C" w:rsidRDefault="0022239C" w:rsidP="009234A5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Qualcomm Inc.</w:t>
      </w:r>
      <w:r w:rsidRPr="0022239C"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22239C" w:rsidSect="00A01439">
      <w:footerReference w:type="default" r:id="rId2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C5" w:rsidRDefault="00487DC5">
      <w:r>
        <w:separator/>
      </w:r>
    </w:p>
  </w:endnote>
  <w:endnote w:type="continuationSeparator" w:id="0">
    <w:p w:rsidR="00487DC5" w:rsidRDefault="0048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3BF" w:rsidRDefault="00F623B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2F28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21B6D">
      <w:rPr>
        <w:rStyle w:val="PageNumber"/>
        <w:noProof/>
      </w:rPr>
      <w:t>2013-04-08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C5" w:rsidRDefault="00487DC5">
      <w:r>
        <w:separator/>
      </w:r>
    </w:p>
  </w:footnote>
  <w:footnote w:type="continuationSeparator" w:id="0">
    <w:p w:rsidR="00487DC5" w:rsidRDefault="00487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DFC4F6D"/>
    <w:multiLevelType w:val="hybridMultilevel"/>
    <w:tmpl w:val="781A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BA1C5C"/>
    <w:multiLevelType w:val="hybridMultilevel"/>
    <w:tmpl w:val="73BE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4EC1"/>
    <w:rsid w:val="00030002"/>
    <w:rsid w:val="000458BC"/>
    <w:rsid w:val="00045C41"/>
    <w:rsid w:val="00046C03"/>
    <w:rsid w:val="00064463"/>
    <w:rsid w:val="0007614F"/>
    <w:rsid w:val="000B1C6B"/>
    <w:rsid w:val="000B488B"/>
    <w:rsid w:val="000B4FF9"/>
    <w:rsid w:val="000C09AC"/>
    <w:rsid w:val="000E00F3"/>
    <w:rsid w:val="000F158C"/>
    <w:rsid w:val="00102F3D"/>
    <w:rsid w:val="00122753"/>
    <w:rsid w:val="00124E38"/>
    <w:rsid w:val="0012580B"/>
    <w:rsid w:val="00131F90"/>
    <w:rsid w:val="0013526E"/>
    <w:rsid w:val="00143F99"/>
    <w:rsid w:val="00171371"/>
    <w:rsid w:val="00175A24"/>
    <w:rsid w:val="00187E58"/>
    <w:rsid w:val="001A297E"/>
    <w:rsid w:val="001A368E"/>
    <w:rsid w:val="001A7329"/>
    <w:rsid w:val="001B4E28"/>
    <w:rsid w:val="001C3525"/>
    <w:rsid w:val="001C6CF2"/>
    <w:rsid w:val="001D1BD2"/>
    <w:rsid w:val="001E02BE"/>
    <w:rsid w:val="001E1EEA"/>
    <w:rsid w:val="001E3B37"/>
    <w:rsid w:val="001F2594"/>
    <w:rsid w:val="001F598E"/>
    <w:rsid w:val="002055A6"/>
    <w:rsid w:val="00206460"/>
    <w:rsid w:val="002069B4"/>
    <w:rsid w:val="00215DFC"/>
    <w:rsid w:val="002212DF"/>
    <w:rsid w:val="0022239C"/>
    <w:rsid w:val="00222CD4"/>
    <w:rsid w:val="002264A6"/>
    <w:rsid w:val="00227BA7"/>
    <w:rsid w:val="0023011C"/>
    <w:rsid w:val="002459DF"/>
    <w:rsid w:val="00263398"/>
    <w:rsid w:val="00275BCF"/>
    <w:rsid w:val="00292257"/>
    <w:rsid w:val="002A54E0"/>
    <w:rsid w:val="002B1595"/>
    <w:rsid w:val="002B191D"/>
    <w:rsid w:val="002B61E6"/>
    <w:rsid w:val="002D0AF6"/>
    <w:rsid w:val="002F164D"/>
    <w:rsid w:val="0030026C"/>
    <w:rsid w:val="00303D33"/>
    <w:rsid w:val="00306206"/>
    <w:rsid w:val="00312F28"/>
    <w:rsid w:val="00317D85"/>
    <w:rsid w:val="00327C56"/>
    <w:rsid w:val="003315A1"/>
    <w:rsid w:val="003373EC"/>
    <w:rsid w:val="00342FF4"/>
    <w:rsid w:val="00361374"/>
    <w:rsid w:val="003669EA"/>
    <w:rsid w:val="003706CC"/>
    <w:rsid w:val="00372D1E"/>
    <w:rsid w:val="00377710"/>
    <w:rsid w:val="00380B79"/>
    <w:rsid w:val="003A25B9"/>
    <w:rsid w:val="003A2D8E"/>
    <w:rsid w:val="003C20E4"/>
    <w:rsid w:val="003E6F90"/>
    <w:rsid w:val="003F5D0F"/>
    <w:rsid w:val="00413301"/>
    <w:rsid w:val="00414101"/>
    <w:rsid w:val="00433DDB"/>
    <w:rsid w:val="00437619"/>
    <w:rsid w:val="00472959"/>
    <w:rsid w:val="00483EC7"/>
    <w:rsid w:val="00487DC5"/>
    <w:rsid w:val="00495CD6"/>
    <w:rsid w:val="004A2A63"/>
    <w:rsid w:val="004B210C"/>
    <w:rsid w:val="004C7227"/>
    <w:rsid w:val="004D405F"/>
    <w:rsid w:val="004D543B"/>
    <w:rsid w:val="004E4F4F"/>
    <w:rsid w:val="004E6789"/>
    <w:rsid w:val="004F160E"/>
    <w:rsid w:val="004F61E3"/>
    <w:rsid w:val="00502E10"/>
    <w:rsid w:val="0051015C"/>
    <w:rsid w:val="00516CF1"/>
    <w:rsid w:val="00531AE9"/>
    <w:rsid w:val="00550A66"/>
    <w:rsid w:val="005569B8"/>
    <w:rsid w:val="00567EC7"/>
    <w:rsid w:val="00570013"/>
    <w:rsid w:val="005801A2"/>
    <w:rsid w:val="005952A5"/>
    <w:rsid w:val="005A33A1"/>
    <w:rsid w:val="005B217D"/>
    <w:rsid w:val="005C385F"/>
    <w:rsid w:val="005D0004"/>
    <w:rsid w:val="005D2422"/>
    <w:rsid w:val="005E1AC6"/>
    <w:rsid w:val="005F6F1B"/>
    <w:rsid w:val="006031E6"/>
    <w:rsid w:val="0061678A"/>
    <w:rsid w:val="00624B33"/>
    <w:rsid w:val="00630AA2"/>
    <w:rsid w:val="00646707"/>
    <w:rsid w:val="00662E58"/>
    <w:rsid w:val="00664DCF"/>
    <w:rsid w:val="006A6354"/>
    <w:rsid w:val="006C5D39"/>
    <w:rsid w:val="006E2810"/>
    <w:rsid w:val="006E5417"/>
    <w:rsid w:val="00712F60"/>
    <w:rsid w:val="00720E3B"/>
    <w:rsid w:val="00721F92"/>
    <w:rsid w:val="00745F6B"/>
    <w:rsid w:val="0075585E"/>
    <w:rsid w:val="00770571"/>
    <w:rsid w:val="007768FF"/>
    <w:rsid w:val="007824D3"/>
    <w:rsid w:val="00796EE3"/>
    <w:rsid w:val="007A7D29"/>
    <w:rsid w:val="007B4AB8"/>
    <w:rsid w:val="007E1AEE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E480C"/>
    <w:rsid w:val="00907757"/>
    <w:rsid w:val="009212B0"/>
    <w:rsid w:val="009234A5"/>
    <w:rsid w:val="009269D3"/>
    <w:rsid w:val="009336F7"/>
    <w:rsid w:val="009374A7"/>
    <w:rsid w:val="00954983"/>
    <w:rsid w:val="00962B8B"/>
    <w:rsid w:val="0098551D"/>
    <w:rsid w:val="00990F7D"/>
    <w:rsid w:val="0099518F"/>
    <w:rsid w:val="009A523D"/>
    <w:rsid w:val="009E0BCE"/>
    <w:rsid w:val="009F496B"/>
    <w:rsid w:val="00A01439"/>
    <w:rsid w:val="00A02E61"/>
    <w:rsid w:val="00A05CFF"/>
    <w:rsid w:val="00A21B6D"/>
    <w:rsid w:val="00A56B97"/>
    <w:rsid w:val="00A6093D"/>
    <w:rsid w:val="00A76A6D"/>
    <w:rsid w:val="00A83253"/>
    <w:rsid w:val="00AA6E84"/>
    <w:rsid w:val="00AE341B"/>
    <w:rsid w:val="00AF7651"/>
    <w:rsid w:val="00B07CA7"/>
    <w:rsid w:val="00B1279A"/>
    <w:rsid w:val="00B4194A"/>
    <w:rsid w:val="00B5222E"/>
    <w:rsid w:val="00B61C96"/>
    <w:rsid w:val="00B640BC"/>
    <w:rsid w:val="00B73A2A"/>
    <w:rsid w:val="00B7779B"/>
    <w:rsid w:val="00B94B06"/>
    <w:rsid w:val="00B94C28"/>
    <w:rsid w:val="00B9716B"/>
    <w:rsid w:val="00BC10BA"/>
    <w:rsid w:val="00BC5AFD"/>
    <w:rsid w:val="00BE1650"/>
    <w:rsid w:val="00C020C7"/>
    <w:rsid w:val="00C04F43"/>
    <w:rsid w:val="00C0609D"/>
    <w:rsid w:val="00C115AB"/>
    <w:rsid w:val="00C11CF7"/>
    <w:rsid w:val="00C30249"/>
    <w:rsid w:val="00C3723B"/>
    <w:rsid w:val="00C606C9"/>
    <w:rsid w:val="00C75200"/>
    <w:rsid w:val="00C76136"/>
    <w:rsid w:val="00C80288"/>
    <w:rsid w:val="00C84003"/>
    <w:rsid w:val="00C90650"/>
    <w:rsid w:val="00C97D78"/>
    <w:rsid w:val="00CA029A"/>
    <w:rsid w:val="00CA2A52"/>
    <w:rsid w:val="00CC2AAE"/>
    <w:rsid w:val="00CC38A4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E6B43"/>
    <w:rsid w:val="00E11923"/>
    <w:rsid w:val="00E262D4"/>
    <w:rsid w:val="00E36250"/>
    <w:rsid w:val="00E4339B"/>
    <w:rsid w:val="00E511EE"/>
    <w:rsid w:val="00E54511"/>
    <w:rsid w:val="00E61DAC"/>
    <w:rsid w:val="00E72B80"/>
    <w:rsid w:val="00E75FE3"/>
    <w:rsid w:val="00E86C4C"/>
    <w:rsid w:val="00E943F1"/>
    <w:rsid w:val="00EA0A47"/>
    <w:rsid w:val="00EB7AB1"/>
    <w:rsid w:val="00EF48CC"/>
    <w:rsid w:val="00F512DB"/>
    <w:rsid w:val="00F52B2E"/>
    <w:rsid w:val="00F52F20"/>
    <w:rsid w:val="00F623BF"/>
    <w:rsid w:val="00F72701"/>
    <w:rsid w:val="00F73032"/>
    <w:rsid w:val="00F848FC"/>
    <w:rsid w:val="00F9282A"/>
    <w:rsid w:val="00F96BAD"/>
    <w:rsid w:val="00FB0E84"/>
    <w:rsid w:val="00FD01C2"/>
    <w:rsid w:val="00FF0CE3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83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483EC7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483EC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483E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483E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83E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83EC7"/>
    <w:rPr>
      <w:rFonts w:ascii="Times" w:eastAsia="Malgun Gothic" w:hAnsi="Times"/>
      <w:lang w:val="en-GB" w:eastAsia="en-US"/>
    </w:rPr>
  </w:style>
  <w:style w:type="character" w:styleId="CommentReference">
    <w:name w:val="annotation reference"/>
    <w:basedOn w:val="DefaultParagraphFont"/>
    <w:rsid w:val="009269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69D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269D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26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269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83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483EC7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483EC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483E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483E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83E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83EC7"/>
    <w:rPr>
      <w:rFonts w:ascii="Times" w:eastAsia="Malgun Gothic" w:hAnsi="Times"/>
      <w:lang w:val="en-GB" w:eastAsia="en-US"/>
    </w:rPr>
  </w:style>
  <w:style w:type="character" w:styleId="CommentReference">
    <w:name w:val="annotation reference"/>
    <w:basedOn w:val="DefaultParagraphFont"/>
    <w:rsid w:val="009269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69D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269D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26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269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rapaka@qti.qualcomm.com" TargetMode="External"/><Relationship Id="rId18" Type="http://schemas.openxmlformats.org/officeDocument/2006/relationships/hyperlink" Target="mailto:patrice.onno@crf.canon.fr" TargetMode="External"/><Relationship Id="rId26" Type="http://schemas.openxmlformats.org/officeDocument/2006/relationships/hyperlink" Target="mailto:ali.tabatabai@am.sony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yan.ye@interdigital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hyperlink" Target="mailto:guillaume.laroche@crf.canon.fr" TargetMode="External"/><Relationship Id="rId25" Type="http://schemas.openxmlformats.org/officeDocument/2006/relationships/hyperlink" Target="mailto:dionism@samsung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douard.francois@crf.canon.fr" TargetMode="External"/><Relationship Id="rId20" Type="http://schemas.openxmlformats.org/officeDocument/2006/relationships/hyperlink" Target="mailto:patrice.onno@crf.canon.f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24" Type="http://schemas.openxmlformats.org/officeDocument/2006/relationships/hyperlink" Target="mailto:elena_a.alshina@samsung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abrice.leleannec@crf.canon.fr" TargetMode="External"/><Relationship Id="rId23" Type="http://schemas.openxmlformats.org/officeDocument/2006/relationships/hyperlink" Target="mailto:adeel@vidy.com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jill@vidyo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ti.qualcomm.com" TargetMode="External"/><Relationship Id="rId22" Type="http://schemas.openxmlformats.org/officeDocument/2006/relationships/hyperlink" Target="mailto:jill@vidyo.com" TargetMode="External"/><Relationship Id="rId27" Type="http://schemas.openxmlformats.org/officeDocument/2006/relationships/hyperlink" Target="mailto:elena_a.alshina@samsung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2DD7-A18B-4897-928E-7D947F30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4</Pages>
  <Words>1321</Words>
  <Characters>7533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8837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38</cp:revision>
  <cp:lastPrinted>2013-03-07T00:22:00Z</cp:lastPrinted>
  <dcterms:created xsi:type="dcterms:W3CDTF">2013-03-07T00:22:00Z</dcterms:created>
  <dcterms:modified xsi:type="dcterms:W3CDTF">2013-04-09T04:03:00Z</dcterms:modified>
</cp:coreProperties>
</file>