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DA7406">
        <w:tc>
          <w:tcPr>
            <w:tcW w:w="6408" w:type="dxa"/>
          </w:tcPr>
          <w:p w:rsidR="006C5D39" w:rsidRPr="00DA7406" w:rsidRDefault="00195C1A" w:rsidP="00E03266">
            <w:pPr>
              <w:tabs>
                <w:tab w:val="left" w:pos="7200"/>
              </w:tabs>
              <w:spacing w:before="0"/>
              <w:jc w:val="both"/>
              <w:rPr>
                <w:b/>
                <w:szCs w:val="22"/>
              </w:rPr>
            </w:pPr>
            <w:r>
              <w:rPr>
                <w:b/>
                <w:szCs w:val="22"/>
              </w:rPr>
              <w:pict>
                <v:group id="_x0000_s1026" style="position:absolute;left:0;text-align:left;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B43C72">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B43C72">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DA7406">
              <w:rPr>
                <w:b/>
                <w:szCs w:val="22"/>
              </w:rPr>
              <w:t xml:space="preserve">Joint </w:t>
            </w:r>
            <w:r w:rsidR="006C5D39" w:rsidRPr="00DA7406">
              <w:rPr>
                <w:b/>
                <w:szCs w:val="22"/>
              </w:rPr>
              <w:t>Collaborative</w:t>
            </w:r>
            <w:r w:rsidR="00E61DAC" w:rsidRPr="00DA7406">
              <w:rPr>
                <w:b/>
                <w:szCs w:val="22"/>
              </w:rPr>
              <w:t xml:space="preserve"> Team </w:t>
            </w:r>
            <w:r w:rsidR="006C5D39" w:rsidRPr="00DA7406">
              <w:rPr>
                <w:b/>
                <w:szCs w:val="22"/>
              </w:rPr>
              <w:t>on Video Coding (JCT-VC)</w:t>
            </w:r>
          </w:p>
          <w:p w:rsidR="00E61DAC" w:rsidRPr="00DA7406" w:rsidRDefault="00E54511" w:rsidP="00E03266">
            <w:pPr>
              <w:tabs>
                <w:tab w:val="left" w:pos="7200"/>
              </w:tabs>
              <w:spacing w:before="0"/>
              <w:jc w:val="both"/>
              <w:rPr>
                <w:b/>
                <w:szCs w:val="22"/>
              </w:rPr>
            </w:pPr>
            <w:r w:rsidRPr="00DA7406">
              <w:rPr>
                <w:b/>
                <w:szCs w:val="22"/>
              </w:rPr>
              <w:t xml:space="preserve">of </w:t>
            </w:r>
            <w:r w:rsidR="007F1F8B" w:rsidRPr="00DA7406">
              <w:rPr>
                <w:b/>
                <w:szCs w:val="22"/>
              </w:rPr>
              <w:t>ITU-T SG</w:t>
            </w:r>
            <w:r w:rsidR="005E1AC6" w:rsidRPr="00DA7406">
              <w:rPr>
                <w:b/>
                <w:szCs w:val="22"/>
              </w:rPr>
              <w:t> </w:t>
            </w:r>
            <w:r w:rsidR="007F1F8B" w:rsidRPr="00DA7406">
              <w:rPr>
                <w:b/>
                <w:szCs w:val="22"/>
              </w:rPr>
              <w:t>16 WP</w:t>
            </w:r>
            <w:r w:rsidR="005E1AC6" w:rsidRPr="00DA7406">
              <w:rPr>
                <w:b/>
                <w:szCs w:val="22"/>
              </w:rPr>
              <w:t> </w:t>
            </w:r>
            <w:r w:rsidR="007F1F8B" w:rsidRPr="00DA7406">
              <w:rPr>
                <w:b/>
                <w:szCs w:val="22"/>
              </w:rPr>
              <w:t>3 and ISO/IEC JTC</w:t>
            </w:r>
            <w:r w:rsidR="005E1AC6" w:rsidRPr="00DA7406">
              <w:rPr>
                <w:b/>
                <w:szCs w:val="22"/>
              </w:rPr>
              <w:t> </w:t>
            </w:r>
            <w:r w:rsidR="007F1F8B" w:rsidRPr="00DA7406">
              <w:rPr>
                <w:b/>
                <w:szCs w:val="22"/>
              </w:rPr>
              <w:t>1/SC</w:t>
            </w:r>
            <w:r w:rsidR="005E1AC6" w:rsidRPr="00DA7406">
              <w:rPr>
                <w:b/>
                <w:szCs w:val="22"/>
              </w:rPr>
              <w:t> </w:t>
            </w:r>
            <w:r w:rsidR="007F1F8B" w:rsidRPr="00DA7406">
              <w:rPr>
                <w:b/>
                <w:szCs w:val="22"/>
              </w:rPr>
              <w:t>29/WG</w:t>
            </w:r>
            <w:r w:rsidR="005E1AC6" w:rsidRPr="00DA7406">
              <w:rPr>
                <w:b/>
                <w:szCs w:val="22"/>
              </w:rPr>
              <w:t> </w:t>
            </w:r>
            <w:r w:rsidR="007F1F8B" w:rsidRPr="00DA7406">
              <w:rPr>
                <w:b/>
                <w:szCs w:val="22"/>
              </w:rPr>
              <w:t>11</w:t>
            </w:r>
          </w:p>
          <w:p w:rsidR="00E61DAC" w:rsidRPr="00DA7406" w:rsidRDefault="00E03266" w:rsidP="00E03266">
            <w:pPr>
              <w:tabs>
                <w:tab w:val="left" w:pos="7200"/>
              </w:tabs>
              <w:spacing w:before="0"/>
              <w:jc w:val="both"/>
              <w:rPr>
                <w:b/>
                <w:szCs w:val="22"/>
              </w:rPr>
            </w:pPr>
            <w:r>
              <w:rPr>
                <w:szCs w:val="22"/>
                <w:lang w:val="en-CA"/>
              </w:rPr>
              <w:t>13</w:t>
            </w:r>
            <w:r w:rsidRPr="005B217D">
              <w:rPr>
                <w:szCs w:val="22"/>
                <w:lang w:val="en-CA"/>
              </w:rPr>
              <w:t xml:space="preserve">th Meeting: </w:t>
            </w:r>
            <w:r w:rsidRPr="00B4194A">
              <w:rPr>
                <w:szCs w:val="22"/>
                <w:lang w:val="en-CA"/>
              </w:rPr>
              <w:t>Incheon, KR, 18–26 Apr. 2013</w:t>
            </w:r>
          </w:p>
        </w:tc>
        <w:tc>
          <w:tcPr>
            <w:tcW w:w="3168" w:type="dxa"/>
          </w:tcPr>
          <w:p w:rsidR="008A4B4C" w:rsidRPr="00DA7406" w:rsidRDefault="00E61DAC" w:rsidP="00D648D1">
            <w:pPr>
              <w:tabs>
                <w:tab w:val="left" w:pos="7200"/>
              </w:tabs>
              <w:jc w:val="both"/>
              <w:rPr>
                <w:u w:val="single"/>
              </w:rPr>
            </w:pPr>
            <w:r w:rsidRPr="00DA7406">
              <w:t>Document</w:t>
            </w:r>
            <w:r w:rsidR="006C5D39" w:rsidRPr="00DA7406">
              <w:t>: JC</w:t>
            </w:r>
            <w:r w:rsidRPr="00DA7406">
              <w:t>T</w:t>
            </w:r>
            <w:r w:rsidR="006C5D39" w:rsidRPr="00DA7406">
              <w:t>VC</w:t>
            </w:r>
            <w:r w:rsidRPr="00DA7406">
              <w:t>-</w:t>
            </w:r>
            <w:r w:rsidR="00E03266">
              <w:t>M0</w:t>
            </w:r>
            <w:r w:rsidR="00D72D0F">
              <w:t>23</w:t>
            </w:r>
            <w:r w:rsidR="00D648D1">
              <w:t>8</w:t>
            </w:r>
          </w:p>
        </w:tc>
      </w:tr>
    </w:tbl>
    <w:p w:rsidR="00E61DAC" w:rsidRPr="00DA7406" w:rsidRDefault="00E61DAC" w:rsidP="00E03266">
      <w:pPr>
        <w:spacing w:before="0"/>
        <w:jc w:val="both"/>
      </w:pPr>
    </w:p>
    <w:tbl>
      <w:tblPr>
        <w:tblW w:w="0" w:type="auto"/>
        <w:tblLayout w:type="fixed"/>
        <w:tblLook w:val="0000" w:firstRow="0" w:lastRow="0" w:firstColumn="0" w:lastColumn="0" w:noHBand="0" w:noVBand="0"/>
      </w:tblPr>
      <w:tblGrid>
        <w:gridCol w:w="1458"/>
        <w:gridCol w:w="4050"/>
        <w:gridCol w:w="900"/>
        <w:gridCol w:w="3168"/>
      </w:tblGrid>
      <w:tr w:rsidR="00E61DAC" w:rsidRPr="00DA7406">
        <w:tc>
          <w:tcPr>
            <w:tcW w:w="1458" w:type="dxa"/>
          </w:tcPr>
          <w:p w:rsidR="00E61DAC" w:rsidRPr="00DA7406" w:rsidRDefault="00E61DAC" w:rsidP="00E03266">
            <w:pPr>
              <w:spacing w:before="60" w:after="60"/>
              <w:jc w:val="both"/>
              <w:rPr>
                <w:i/>
                <w:szCs w:val="22"/>
              </w:rPr>
            </w:pPr>
            <w:r w:rsidRPr="00DA7406">
              <w:rPr>
                <w:i/>
                <w:szCs w:val="22"/>
              </w:rPr>
              <w:t>Title:</w:t>
            </w:r>
          </w:p>
        </w:tc>
        <w:tc>
          <w:tcPr>
            <w:tcW w:w="8118" w:type="dxa"/>
            <w:gridSpan w:val="3"/>
          </w:tcPr>
          <w:p w:rsidR="00E61DAC" w:rsidRPr="00E55841" w:rsidRDefault="00E03266" w:rsidP="007124A2">
            <w:pPr>
              <w:spacing w:before="60" w:after="60"/>
              <w:jc w:val="both"/>
              <w:rPr>
                <w:b/>
                <w:szCs w:val="22"/>
              </w:rPr>
            </w:pPr>
            <w:r>
              <w:rPr>
                <w:b/>
              </w:rPr>
              <w:t>SC</w:t>
            </w:r>
            <w:r w:rsidR="00F67403">
              <w:rPr>
                <w:b/>
              </w:rPr>
              <w:t>E4</w:t>
            </w:r>
            <w:bookmarkStart w:id="0" w:name="_GoBack"/>
            <w:bookmarkEnd w:id="0"/>
            <w:r w:rsidR="00E55841" w:rsidRPr="00E55841">
              <w:rPr>
                <w:b/>
              </w:rPr>
              <w:t xml:space="preserve">: Crosschecking of </w:t>
            </w:r>
            <w:r w:rsidR="007124A2" w:rsidRPr="007124A2">
              <w:rPr>
                <w:b/>
              </w:rPr>
              <w:t>SCE4: Results of test 4.2.4 on chroma enhancement for inter layer prediction</w:t>
            </w:r>
            <w:r w:rsidR="00D72D0F" w:rsidRPr="007124A2">
              <w:rPr>
                <w:b/>
              </w:rPr>
              <w:t xml:space="preserve"> (</w:t>
            </w:r>
            <w:r w:rsidR="00D72D0F">
              <w:rPr>
                <w:b/>
                <w:szCs w:val="22"/>
                <w:lang w:val="en-CA"/>
              </w:rPr>
              <w:t>JCTVC-M0</w:t>
            </w:r>
            <w:r w:rsidR="007124A2">
              <w:rPr>
                <w:b/>
                <w:szCs w:val="22"/>
                <w:lang w:val="en-CA"/>
              </w:rPr>
              <w:t>183</w:t>
            </w:r>
            <w:r w:rsidR="00D72D0F">
              <w:rPr>
                <w:b/>
                <w:szCs w:val="22"/>
                <w:lang w:val="en-CA"/>
              </w:rPr>
              <w:t>)</w:t>
            </w:r>
          </w:p>
        </w:tc>
      </w:tr>
      <w:tr w:rsidR="00E61DAC" w:rsidRPr="00DA7406">
        <w:tc>
          <w:tcPr>
            <w:tcW w:w="1458" w:type="dxa"/>
          </w:tcPr>
          <w:p w:rsidR="00E61DAC" w:rsidRPr="00DA7406" w:rsidRDefault="00E61DAC" w:rsidP="00E03266">
            <w:pPr>
              <w:spacing w:before="60" w:after="60"/>
              <w:jc w:val="both"/>
              <w:rPr>
                <w:i/>
                <w:szCs w:val="22"/>
              </w:rPr>
            </w:pPr>
            <w:r w:rsidRPr="00DA7406">
              <w:rPr>
                <w:i/>
                <w:szCs w:val="22"/>
              </w:rPr>
              <w:t>Status:</w:t>
            </w:r>
          </w:p>
        </w:tc>
        <w:tc>
          <w:tcPr>
            <w:tcW w:w="8118" w:type="dxa"/>
            <w:gridSpan w:val="3"/>
          </w:tcPr>
          <w:p w:rsidR="00E61DAC" w:rsidRPr="00DA7406" w:rsidRDefault="00E61DAC" w:rsidP="00E03266">
            <w:pPr>
              <w:spacing w:before="60" w:after="60"/>
              <w:jc w:val="both"/>
              <w:rPr>
                <w:szCs w:val="22"/>
              </w:rPr>
            </w:pPr>
            <w:r w:rsidRPr="00DA7406">
              <w:rPr>
                <w:szCs w:val="22"/>
              </w:rPr>
              <w:t xml:space="preserve">Input Document to </w:t>
            </w:r>
            <w:r w:rsidR="00AE341B" w:rsidRPr="00DA7406">
              <w:rPr>
                <w:szCs w:val="22"/>
              </w:rPr>
              <w:t>JCT-VC</w:t>
            </w:r>
          </w:p>
        </w:tc>
      </w:tr>
      <w:tr w:rsidR="00E61DAC" w:rsidRPr="00DA7406">
        <w:tc>
          <w:tcPr>
            <w:tcW w:w="1458" w:type="dxa"/>
          </w:tcPr>
          <w:p w:rsidR="00E61DAC" w:rsidRPr="00DA7406" w:rsidRDefault="00E61DAC" w:rsidP="00E03266">
            <w:pPr>
              <w:spacing w:before="60" w:after="60"/>
              <w:jc w:val="both"/>
              <w:rPr>
                <w:i/>
                <w:szCs w:val="22"/>
              </w:rPr>
            </w:pPr>
            <w:r w:rsidRPr="00DA7406">
              <w:rPr>
                <w:i/>
                <w:szCs w:val="22"/>
              </w:rPr>
              <w:t>Purpose:</w:t>
            </w:r>
          </w:p>
        </w:tc>
        <w:tc>
          <w:tcPr>
            <w:tcW w:w="8118" w:type="dxa"/>
            <w:gridSpan w:val="3"/>
          </w:tcPr>
          <w:p w:rsidR="00E61DAC" w:rsidRPr="00DA7406" w:rsidRDefault="00E61DAC" w:rsidP="00E03266">
            <w:pPr>
              <w:spacing w:before="60" w:after="60"/>
              <w:jc w:val="both"/>
              <w:rPr>
                <w:szCs w:val="22"/>
              </w:rPr>
            </w:pPr>
            <w:r w:rsidRPr="00DA7406">
              <w:rPr>
                <w:szCs w:val="22"/>
              </w:rPr>
              <w:t>Proposal</w:t>
            </w:r>
          </w:p>
        </w:tc>
      </w:tr>
      <w:tr w:rsidR="00E61DAC" w:rsidRPr="00DA7406">
        <w:tc>
          <w:tcPr>
            <w:tcW w:w="1458" w:type="dxa"/>
          </w:tcPr>
          <w:p w:rsidR="00E61DAC" w:rsidRPr="00DA7406" w:rsidRDefault="00E61DAC" w:rsidP="00E03266">
            <w:pPr>
              <w:spacing w:before="60" w:after="60"/>
              <w:jc w:val="both"/>
              <w:rPr>
                <w:i/>
                <w:szCs w:val="22"/>
              </w:rPr>
            </w:pPr>
            <w:r w:rsidRPr="00DA7406">
              <w:rPr>
                <w:i/>
                <w:szCs w:val="22"/>
              </w:rPr>
              <w:t>Author(s) or</w:t>
            </w:r>
            <w:r w:rsidRPr="00DA7406">
              <w:rPr>
                <w:i/>
                <w:szCs w:val="22"/>
              </w:rPr>
              <w:br/>
              <w:t>Contact(s):</w:t>
            </w:r>
          </w:p>
        </w:tc>
        <w:tc>
          <w:tcPr>
            <w:tcW w:w="4050" w:type="dxa"/>
          </w:tcPr>
          <w:p w:rsidR="006932CC" w:rsidRPr="00DA7406" w:rsidRDefault="00E55841" w:rsidP="00E03266">
            <w:pPr>
              <w:spacing w:before="60" w:after="60"/>
              <w:jc w:val="both"/>
              <w:rPr>
                <w:szCs w:val="22"/>
              </w:rPr>
            </w:pPr>
            <w:r>
              <w:rPr>
                <w:szCs w:val="22"/>
              </w:rPr>
              <w:t>Xiang Li</w:t>
            </w:r>
          </w:p>
          <w:p w:rsidR="00E61DAC" w:rsidRPr="00DA7406" w:rsidRDefault="00E55841" w:rsidP="00E03266">
            <w:pPr>
              <w:spacing w:before="60" w:after="60"/>
              <w:jc w:val="both"/>
              <w:rPr>
                <w:szCs w:val="22"/>
              </w:rPr>
            </w:pPr>
            <w:r w:rsidRPr="00916548">
              <w:rPr>
                <w:szCs w:val="22"/>
                <w:lang w:val="en-CA"/>
              </w:rPr>
              <w:t>5775 More</w:t>
            </w:r>
            <w:r>
              <w:rPr>
                <w:szCs w:val="22"/>
                <w:lang w:val="en-CA"/>
              </w:rPr>
              <w:t xml:space="preserve"> </w:t>
            </w:r>
            <w:r w:rsidRPr="00916548">
              <w:rPr>
                <w:szCs w:val="22"/>
                <w:lang w:val="en-CA"/>
              </w:rPr>
              <w:t xml:space="preserve">house </w:t>
            </w:r>
            <w:r>
              <w:rPr>
                <w:szCs w:val="22"/>
                <w:lang w:val="en-CA"/>
              </w:rPr>
              <w:t>d</w:t>
            </w:r>
            <w:r w:rsidRPr="00916548">
              <w:rPr>
                <w:szCs w:val="22"/>
                <w:lang w:val="en-CA"/>
              </w:rPr>
              <w:t>rive</w:t>
            </w:r>
            <w:r w:rsidRPr="00916548">
              <w:rPr>
                <w:szCs w:val="22"/>
                <w:lang w:val="en-CA"/>
              </w:rPr>
              <w:br/>
              <w:t>San Diego, CA 92121-1714</w:t>
            </w:r>
          </w:p>
        </w:tc>
        <w:tc>
          <w:tcPr>
            <w:tcW w:w="900" w:type="dxa"/>
          </w:tcPr>
          <w:p w:rsidR="00E61DAC" w:rsidRPr="00DA7406" w:rsidRDefault="00E61DAC" w:rsidP="00E03266">
            <w:pPr>
              <w:spacing w:before="60" w:after="60"/>
              <w:jc w:val="both"/>
              <w:rPr>
                <w:szCs w:val="22"/>
              </w:rPr>
            </w:pPr>
            <w:r w:rsidRPr="00DA7406">
              <w:rPr>
                <w:szCs w:val="22"/>
              </w:rPr>
              <w:t>Tel:</w:t>
            </w:r>
            <w:r w:rsidRPr="00DA7406">
              <w:rPr>
                <w:szCs w:val="22"/>
              </w:rPr>
              <w:br/>
              <w:t>Email:</w:t>
            </w:r>
          </w:p>
        </w:tc>
        <w:tc>
          <w:tcPr>
            <w:tcW w:w="3168" w:type="dxa"/>
          </w:tcPr>
          <w:p w:rsidR="00E61DAC" w:rsidRPr="00DA7406" w:rsidRDefault="006932CC" w:rsidP="00E03266">
            <w:pPr>
              <w:spacing w:before="60" w:after="60"/>
              <w:jc w:val="both"/>
              <w:rPr>
                <w:szCs w:val="22"/>
              </w:rPr>
            </w:pPr>
            <w:r w:rsidRPr="00DA7406">
              <w:rPr>
                <w:szCs w:val="22"/>
              </w:rPr>
              <w:t>+</w:t>
            </w:r>
            <w:r w:rsidR="00E55841">
              <w:rPr>
                <w:szCs w:val="22"/>
              </w:rPr>
              <w:t>1</w:t>
            </w:r>
            <w:r w:rsidRPr="00DA7406">
              <w:rPr>
                <w:szCs w:val="22"/>
              </w:rPr>
              <w:t xml:space="preserve"> </w:t>
            </w:r>
            <w:r w:rsidR="00E55841">
              <w:rPr>
                <w:szCs w:val="22"/>
              </w:rPr>
              <w:t>858-658-3923</w:t>
            </w:r>
            <w:r w:rsidR="00E61DAC" w:rsidRPr="00DA7406">
              <w:rPr>
                <w:szCs w:val="22"/>
              </w:rPr>
              <w:br/>
            </w:r>
            <w:r w:rsidR="00E55841">
              <w:rPr>
                <w:szCs w:val="22"/>
              </w:rPr>
              <w:t>lxiang@qti.qualcomm.com</w:t>
            </w:r>
          </w:p>
        </w:tc>
      </w:tr>
      <w:tr w:rsidR="00E61DAC" w:rsidRPr="00DA7406">
        <w:tc>
          <w:tcPr>
            <w:tcW w:w="1458" w:type="dxa"/>
          </w:tcPr>
          <w:p w:rsidR="00E61DAC" w:rsidRPr="00DA7406" w:rsidRDefault="00E61DAC" w:rsidP="00E03266">
            <w:pPr>
              <w:spacing w:before="60" w:after="60"/>
              <w:jc w:val="both"/>
              <w:rPr>
                <w:i/>
                <w:szCs w:val="22"/>
              </w:rPr>
            </w:pPr>
            <w:r w:rsidRPr="00DA7406">
              <w:rPr>
                <w:i/>
                <w:szCs w:val="22"/>
              </w:rPr>
              <w:t>Source:</w:t>
            </w:r>
          </w:p>
        </w:tc>
        <w:tc>
          <w:tcPr>
            <w:tcW w:w="8118" w:type="dxa"/>
            <w:gridSpan w:val="3"/>
          </w:tcPr>
          <w:p w:rsidR="00E61DAC" w:rsidRPr="00DA7406" w:rsidRDefault="00E55841" w:rsidP="00E03266">
            <w:pPr>
              <w:spacing w:before="60" w:after="60"/>
              <w:jc w:val="both"/>
              <w:rPr>
                <w:szCs w:val="22"/>
              </w:rPr>
            </w:pPr>
            <w:r>
              <w:rPr>
                <w:szCs w:val="22"/>
                <w:lang w:val="en-CA"/>
              </w:rPr>
              <w:t>Qualcomm Incorporated</w:t>
            </w:r>
          </w:p>
        </w:tc>
      </w:tr>
    </w:tbl>
    <w:p w:rsidR="00E61DAC" w:rsidRPr="00DA7406" w:rsidRDefault="00E61DAC" w:rsidP="00E03266">
      <w:pPr>
        <w:tabs>
          <w:tab w:val="left" w:pos="1800"/>
          <w:tab w:val="right" w:pos="9360"/>
        </w:tabs>
        <w:spacing w:before="120" w:after="240"/>
        <w:jc w:val="both"/>
        <w:rPr>
          <w:szCs w:val="22"/>
        </w:rPr>
      </w:pPr>
      <w:r w:rsidRPr="00DA7406">
        <w:rPr>
          <w:szCs w:val="22"/>
          <w:u w:val="single"/>
        </w:rPr>
        <w:t>_____________________________</w:t>
      </w:r>
    </w:p>
    <w:p w:rsidR="00275BCF" w:rsidRPr="00DA7406" w:rsidRDefault="00275BCF" w:rsidP="00E03266">
      <w:pPr>
        <w:pStyle w:val="Heading1"/>
        <w:numPr>
          <w:ilvl w:val="0"/>
          <w:numId w:val="0"/>
        </w:numPr>
        <w:ind w:left="432" w:hanging="432"/>
        <w:jc w:val="both"/>
      </w:pPr>
      <w:r w:rsidRPr="00DA7406">
        <w:t>Abstract</w:t>
      </w:r>
    </w:p>
    <w:p w:rsidR="00903EF5" w:rsidRPr="00DA7406" w:rsidRDefault="001709E8" w:rsidP="00E03266">
      <w:pPr>
        <w:jc w:val="both"/>
        <w:rPr>
          <w:szCs w:val="22"/>
        </w:rPr>
      </w:pPr>
      <w:r w:rsidRPr="00DA7406">
        <w:rPr>
          <w:szCs w:val="22"/>
        </w:rPr>
        <w:t xml:space="preserve">This </w:t>
      </w:r>
      <w:r w:rsidR="00807BA7">
        <w:rPr>
          <w:szCs w:val="22"/>
        </w:rPr>
        <w:t xml:space="preserve">contribution </w:t>
      </w:r>
      <w:r w:rsidR="00B43C72">
        <w:rPr>
          <w:szCs w:val="22"/>
        </w:rPr>
        <w:t xml:space="preserve">reports </w:t>
      </w:r>
      <w:r w:rsidR="00E55841">
        <w:rPr>
          <w:szCs w:val="22"/>
        </w:rPr>
        <w:t>crosschecking results</w:t>
      </w:r>
      <w:r w:rsidR="00B43C72">
        <w:rPr>
          <w:szCs w:val="22"/>
        </w:rPr>
        <w:t xml:space="preserve"> of JCTVC-</w:t>
      </w:r>
      <w:r w:rsidR="00E03266">
        <w:rPr>
          <w:szCs w:val="22"/>
        </w:rPr>
        <w:t>M0</w:t>
      </w:r>
      <w:r w:rsidR="00D648D1">
        <w:rPr>
          <w:szCs w:val="22"/>
        </w:rPr>
        <w:t>183</w:t>
      </w:r>
      <w:r w:rsidR="00B43C72">
        <w:rPr>
          <w:szCs w:val="22"/>
        </w:rPr>
        <w:t xml:space="preserve"> on </w:t>
      </w:r>
      <w:r w:rsidR="00D648D1" w:rsidRPr="00D648D1">
        <w:rPr>
          <w:szCs w:val="22"/>
        </w:rPr>
        <w:t>chroma enhancement for inter layer prediction</w:t>
      </w:r>
      <w:r w:rsidR="00E55841" w:rsidRPr="00D648D1">
        <w:rPr>
          <w:szCs w:val="22"/>
        </w:rPr>
        <w:t xml:space="preserve"> </w:t>
      </w:r>
      <w:r w:rsidR="00D72D0F" w:rsidRPr="00D648D1">
        <w:rPr>
          <w:szCs w:val="22"/>
        </w:rPr>
        <w:t>i</w:t>
      </w:r>
      <w:r w:rsidR="00D72D0F">
        <w:t xml:space="preserve">n </w:t>
      </w:r>
      <w:r w:rsidR="00E55841">
        <w:t>SHVC</w:t>
      </w:r>
      <w:r w:rsidR="00B43C72">
        <w:rPr>
          <w:szCs w:val="22"/>
        </w:rPr>
        <w:t xml:space="preserve">. The simulation results </w:t>
      </w:r>
      <w:r w:rsidR="00B43C72" w:rsidRPr="007B6548">
        <w:rPr>
          <w:szCs w:val="22"/>
        </w:rPr>
        <w:t>reportedly matched</w:t>
      </w:r>
      <w:r w:rsidR="00B43C72">
        <w:rPr>
          <w:szCs w:val="22"/>
        </w:rPr>
        <w:t xml:space="preserve"> those provided by the proponents.</w:t>
      </w:r>
    </w:p>
    <w:p w:rsidR="001A7887" w:rsidRPr="00DA7406" w:rsidRDefault="00745F6B" w:rsidP="00E03266">
      <w:pPr>
        <w:pStyle w:val="Heading1"/>
        <w:jc w:val="both"/>
      </w:pPr>
      <w:r w:rsidRPr="00DA7406">
        <w:t>Introduction</w:t>
      </w:r>
    </w:p>
    <w:p w:rsidR="00D648D1" w:rsidRDefault="00B43C72" w:rsidP="00D648D1">
      <w:pPr>
        <w:jc w:val="both"/>
        <w:rPr>
          <w:lang w:val="en-CA"/>
        </w:rPr>
      </w:pPr>
      <w:r>
        <w:rPr>
          <w:szCs w:val="22"/>
        </w:rPr>
        <w:t xml:space="preserve">In </w:t>
      </w:r>
      <w:r w:rsidR="00E55841">
        <w:rPr>
          <w:szCs w:val="22"/>
        </w:rPr>
        <w:t>JCTVC-</w:t>
      </w:r>
      <w:r w:rsidR="00D72D0F">
        <w:rPr>
          <w:szCs w:val="22"/>
        </w:rPr>
        <w:t>M01</w:t>
      </w:r>
      <w:r w:rsidR="00D648D1">
        <w:rPr>
          <w:szCs w:val="22"/>
        </w:rPr>
        <w:t>83</w:t>
      </w:r>
      <w:r w:rsidR="00E55841">
        <w:rPr>
          <w:szCs w:val="22"/>
        </w:rPr>
        <w:t xml:space="preserve">, </w:t>
      </w:r>
      <w:r w:rsidR="00D648D1">
        <w:rPr>
          <w:lang w:val="en-CA"/>
        </w:rPr>
        <w:t>a method was proposed to enhance chroma components with information from luma component when generating inter-layer reference (ILR) pictures.</w:t>
      </w:r>
    </w:p>
    <w:p w:rsidR="00D648D1" w:rsidRPr="00820C55" w:rsidRDefault="00D648D1" w:rsidP="00D648D1">
      <w:pPr>
        <w:jc w:val="both"/>
        <w:rPr>
          <w:lang w:val="en-CA"/>
        </w:rPr>
      </w:pPr>
      <w:r>
        <w:rPr>
          <w:lang w:val="en-CA"/>
        </w:rPr>
        <w:fldChar w:fldCharType="begin"/>
      </w:r>
      <w:r>
        <w:rPr>
          <w:lang w:val="en-CA"/>
        </w:rPr>
        <w:instrText xml:space="preserve"> REF _Ref353025521 \h </w:instrText>
      </w:r>
      <w:r>
        <w:rPr>
          <w:lang w:val="en-CA"/>
        </w:rPr>
      </w:r>
      <w:r>
        <w:rPr>
          <w:lang w:val="en-CA"/>
        </w:rPr>
        <w:fldChar w:fldCharType="separate"/>
      </w:r>
      <w:r>
        <w:t xml:space="preserve">Figure </w:t>
      </w:r>
      <w:r>
        <w:rPr>
          <w:noProof/>
        </w:rPr>
        <w:t>1</w:t>
      </w:r>
      <w:r>
        <w:rPr>
          <w:lang w:val="en-CA"/>
        </w:rPr>
        <w:fldChar w:fldCharType="end"/>
      </w:r>
      <w:r>
        <w:rPr>
          <w:lang w:val="en-CA"/>
        </w:rPr>
        <w:t xml:space="preserve"> </w:t>
      </w:r>
      <w:r w:rsidRPr="00820C55">
        <w:rPr>
          <w:lang w:val="en-CA"/>
        </w:rPr>
        <w:t xml:space="preserve">shows the relative luma and chroma </w:t>
      </w:r>
      <w:r>
        <w:rPr>
          <w:lang w:val="en-CA"/>
        </w:rPr>
        <w:t>sample</w:t>
      </w:r>
      <w:r w:rsidRPr="00820C55">
        <w:rPr>
          <w:lang w:val="en-CA"/>
        </w:rPr>
        <w:t xml:space="preserve"> positions in 4:2:0 color format. Each chroma </w:t>
      </w:r>
      <w:r>
        <w:rPr>
          <w:lang w:val="en-CA"/>
        </w:rPr>
        <w:t>sample</w:t>
      </w:r>
      <w:r w:rsidRPr="00820C55">
        <w:rPr>
          <w:lang w:val="en-CA"/>
        </w:rPr>
        <w:t xml:space="preserve"> (red dot) in an ILR picture is enhanced by adding an appropriate offset, where the offset is the result of filtering the surrounding 3×4 luma </w:t>
      </w:r>
      <w:r>
        <w:rPr>
          <w:lang w:val="en-CA"/>
        </w:rPr>
        <w:t>sample</w:t>
      </w:r>
      <w:r w:rsidRPr="00820C55">
        <w:rPr>
          <w:lang w:val="en-CA"/>
        </w:rPr>
        <w:t xml:space="preserve">s (white squares) by a high-pass filter. The coefficients of </w:t>
      </w:r>
      <w:r>
        <w:rPr>
          <w:lang w:val="en-CA"/>
        </w:rPr>
        <w:t xml:space="preserve">the </w:t>
      </w:r>
      <w:r w:rsidRPr="00820C55">
        <w:rPr>
          <w:lang w:val="en-CA"/>
        </w:rPr>
        <w:t>high-pass filter are signaled for each chroma component in an enhancement layer picture.</w:t>
      </w:r>
    </w:p>
    <w:p w:rsidR="00D648D1" w:rsidRPr="00820C55" w:rsidRDefault="00D648D1" w:rsidP="00D648D1">
      <w:pPr>
        <w:jc w:val="both"/>
        <w:rPr>
          <w:lang w:val="en-CA"/>
        </w:rPr>
      </w:pPr>
      <w:r w:rsidRPr="00820C55">
        <w:rPr>
          <w:lang w:val="en-CA"/>
        </w:rPr>
        <w:t xml:space="preserve">At decoder, enhanced chroma </w:t>
      </w:r>
      <w:r>
        <w:rPr>
          <w:lang w:val="en-CA"/>
        </w:rPr>
        <w:t>samples</w:t>
      </w:r>
      <w:r w:rsidRPr="00820C55">
        <w:rPr>
          <w:lang w:val="en-CA"/>
        </w:rPr>
        <w:t xml:space="preserve"> are generally calculated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703"/>
        <w:gridCol w:w="1436"/>
      </w:tblGrid>
      <w:tr w:rsidR="00D648D1" w:rsidRPr="001A15CF" w:rsidTr="00EA2079">
        <w:tc>
          <w:tcPr>
            <w:tcW w:w="750" w:type="pct"/>
            <w:vAlign w:val="center"/>
          </w:tcPr>
          <w:p w:rsidR="00D648D1" w:rsidRPr="001A15CF" w:rsidRDefault="00D648D1" w:rsidP="00EA2079">
            <w:pPr>
              <w:spacing w:before="120"/>
              <w:jc w:val="center"/>
              <w:rPr>
                <w:szCs w:val="22"/>
              </w:rPr>
            </w:pPr>
          </w:p>
        </w:tc>
        <w:tc>
          <w:tcPr>
            <w:tcW w:w="3500" w:type="pct"/>
            <w:vAlign w:val="center"/>
          </w:tcPr>
          <w:p w:rsidR="00D648D1" w:rsidRPr="00DC14F0" w:rsidRDefault="00D648D1" w:rsidP="00EA2079">
            <w:pPr>
              <w:spacing w:before="120"/>
              <w:ind w:left="360"/>
              <w:jc w:val="center"/>
              <w:rPr>
                <w:szCs w:val="22"/>
              </w:rPr>
            </w:pPr>
            <m:oMathPara>
              <m:oMath>
                <m:r>
                  <w:rPr>
                    <w:rFonts w:ascii="Cambria Math" w:hAnsi="Cambria Math"/>
                    <w:szCs w:val="22"/>
                  </w:rPr>
                  <m:t>C</m:t>
                </m:r>
                <m:sSub>
                  <m:sSubPr>
                    <m:ctrlPr>
                      <w:rPr>
                        <w:rFonts w:ascii="Cambria Math" w:hAnsi="Cambria Math"/>
                        <w:i/>
                        <w:szCs w:val="22"/>
                      </w:rPr>
                    </m:ctrlPr>
                  </m:sSubPr>
                  <m:e>
                    <m:r>
                      <w:rPr>
                        <w:rFonts w:ascii="Cambria Math" w:hAnsi="Cambria Math"/>
                        <w:szCs w:val="22"/>
                      </w:rPr>
                      <m:t>b</m:t>
                    </m:r>
                  </m:e>
                  <m:sub>
                    <m:r>
                      <w:rPr>
                        <w:rFonts w:ascii="Cambria Math" w:hAnsi="Cambria Math"/>
                        <w:szCs w:val="22"/>
                      </w:rPr>
                      <m:t>enh</m:t>
                    </m:r>
                  </m:sub>
                </m:sSub>
                <m:d>
                  <m:dPr>
                    <m:ctrlPr>
                      <w:rPr>
                        <w:rFonts w:ascii="Cambria Math" w:hAnsi="Cambria Math"/>
                        <w:i/>
                        <w:szCs w:val="22"/>
                      </w:rPr>
                    </m:ctrlPr>
                  </m:dPr>
                  <m:e>
                    <m:r>
                      <w:rPr>
                        <w:rFonts w:ascii="Cambria Math" w:hAnsi="Cambria Math"/>
                        <w:szCs w:val="22"/>
                      </w:rPr>
                      <m:t>x,y</m:t>
                    </m:r>
                  </m:e>
                </m:d>
                <m:r>
                  <w:rPr>
                    <w:rFonts w:ascii="Cambria Math" w:hAnsi="Cambria Math"/>
                    <w:szCs w:val="22"/>
                  </w:rPr>
                  <m:t>=Cb</m:t>
                </m:r>
                <m:d>
                  <m:dPr>
                    <m:ctrlPr>
                      <w:rPr>
                        <w:rFonts w:ascii="Cambria Math" w:hAnsi="Cambria Math"/>
                        <w:i/>
                        <w:szCs w:val="22"/>
                      </w:rPr>
                    </m:ctrlPr>
                  </m:dPr>
                  <m:e>
                    <m:r>
                      <w:rPr>
                        <w:rFonts w:ascii="Cambria Math" w:hAnsi="Cambria Math"/>
                        <w:szCs w:val="22"/>
                      </w:rPr>
                      <m:t>x,y</m:t>
                    </m:r>
                  </m:e>
                </m:d>
                <m:r>
                  <w:rPr>
                    <w:rFonts w:ascii="Cambria Math" w:hAnsi="Cambria Math"/>
                    <w:szCs w:val="22"/>
                  </w:rPr>
                  <m:t>+</m:t>
                </m:r>
                <m:nary>
                  <m:naryPr>
                    <m:chr m:val="∑"/>
                    <m:limLoc m:val="undOvr"/>
                    <m:ctrlPr>
                      <w:rPr>
                        <w:rFonts w:ascii="Cambria Math" w:hAnsi="Cambria Math"/>
                        <w:i/>
                        <w:szCs w:val="22"/>
                      </w:rPr>
                    </m:ctrlPr>
                  </m:naryPr>
                  <m:sub>
                    <m:r>
                      <w:rPr>
                        <w:rFonts w:ascii="Cambria Math" w:hAnsi="Cambria Math"/>
                        <w:szCs w:val="22"/>
                      </w:rPr>
                      <m:t>j=-2</m:t>
                    </m:r>
                  </m:sub>
                  <m:sup>
                    <m:r>
                      <w:rPr>
                        <w:rFonts w:ascii="Cambria Math" w:hAnsi="Cambria Math"/>
                        <w:szCs w:val="22"/>
                      </w:rPr>
                      <m:t>1</m:t>
                    </m:r>
                  </m:sup>
                  <m:e>
                    <m:nary>
                      <m:naryPr>
                        <m:chr m:val="∑"/>
                        <m:limLoc m:val="undOvr"/>
                        <m:ctrlPr>
                          <w:rPr>
                            <w:rFonts w:ascii="Cambria Math" w:hAnsi="Cambria Math"/>
                            <w:i/>
                            <w:szCs w:val="22"/>
                          </w:rPr>
                        </m:ctrlPr>
                      </m:naryPr>
                      <m:sub>
                        <m:r>
                          <w:rPr>
                            <w:rFonts w:ascii="Cambria Math" w:hAnsi="Cambria Math"/>
                            <w:szCs w:val="22"/>
                          </w:rPr>
                          <m:t>i=-1</m:t>
                        </m:r>
                      </m:sub>
                      <m:sup>
                        <m:r>
                          <w:rPr>
                            <w:rFonts w:ascii="Cambria Math" w:hAnsi="Cambria Math"/>
                            <w:szCs w:val="22"/>
                          </w:rPr>
                          <m:t>1</m:t>
                        </m:r>
                      </m:sup>
                      <m:e>
                        <m:sSub>
                          <m:sSubPr>
                            <m:ctrlPr>
                              <w:rPr>
                                <w:rFonts w:ascii="Cambria Math" w:hAnsi="Cambria Math"/>
                                <w:i/>
                                <w:szCs w:val="22"/>
                              </w:rPr>
                            </m:ctrlPr>
                          </m:sSubPr>
                          <m:e>
                            <m:r>
                              <w:rPr>
                                <w:rFonts w:ascii="Cambria Math" w:hAnsi="Cambria Math"/>
                                <w:szCs w:val="22"/>
                              </w:rPr>
                              <m:t>f</m:t>
                            </m:r>
                          </m:e>
                          <m:sub>
                            <m:r>
                              <w:rPr>
                                <w:rFonts w:ascii="Cambria Math" w:hAnsi="Cambria Math"/>
                                <w:szCs w:val="22"/>
                              </w:rPr>
                              <m:t>Cb</m:t>
                            </m:r>
                          </m:sub>
                        </m:sSub>
                        <m:d>
                          <m:dPr>
                            <m:ctrlPr>
                              <w:rPr>
                                <w:rFonts w:ascii="Cambria Math" w:hAnsi="Cambria Math"/>
                                <w:i/>
                                <w:szCs w:val="22"/>
                              </w:rPr>
                            </m:ctrlPr>
                          </m:dPr>
                          <m:e>
                            <m:r>
                              <w:rPr>
                                <w:rFonts w:ascii="Cambria Math" w:hAnsi="Cambria Math"/>
                                <w:szCs w:val="22"/>
                              </w:rPr>
                              <m:t>i,j</m:t>
                            </m:r>
                          </m:e>
                        </m:d>
                        <m:r>
                          <w:rPr>
                            <w:rFonts w:ascii="Cambria Math" w:hAnsi="Cambria Math"/>
                            <w:szCs w:val="22"/>
                          </w:rPr>
                          <m:t>⋅Y</m:t>
                        </m:r>
                        <m:d>
                          <m:dPr>
                            <m:ctrlPr>
                              <w:rPr>
                                <w:rFonts w:ascii="Cambria Math" w:hAnsi="Cambria Math"/>
                                <w:i/>
                                <w:szCs w:val="22"/>
                              </w:rPr>
                            </m:ctrlPr>
                          </m:dPr>
                          <m:e>
                            <m:r>
                              <w:rPr>
                                <w:rFonts w:ascii="Cambria Math" w:hAnsi="Cambria Math"/>
                                <w:szCs w:val="22"/>
                              </w:rPr>
                              <m:t>2⋅x-i,2⋅y-j</m:t>
                            </m:r>
                          </m:e>
                        </m:d>
                      </m:e>
                    </m:nary>
                  </m:e>
                </m:nary>
              </m:oMath>
            </m:oMathPara>
          </w:p>
          <w:p w:rsidR="00D648D1" w:rsidRPr="00463F2A" w:rsidRDefault="00D648D1" w:rsidP="00EA2079">
            <w:pPr>
              <w:spacing w:before="120"/>
              <w:ind w:left="360"/>
              <w:jc w:val="center"/>
              <w:rPr>
                <w:szCs w:val="22"/>
              </w:rPr>
            </w:pPr>
            <m:oMathPara>
              <m:oMath>
                <m:r>
                  <w:rPr>
                    <w:rFonts w:ascii="Cambria Math" w:hAnsi="Cambria Math"/>
                    <w:szCs w:val="22"/>
                  </w:rPr>
                  <m:t>C</m:t>
                </m:r>
                <m:sSub>
                  <m:sSubPr>
                    <m:ctrlPr>
                      <w:rPr>
                        <w:rFonts w:ascii="Cambria Math" w:hAnsi="Cambria Math"/>
                        <w:i/>
                        <w:szCs w:val="22"/>
                      </w:rPr>
                    </m:ctrlPr>
                  </m:sSubPr>
                  <m:e>
                    <m:r>
                      <w:rPr>
                        <w:rFonts w:ascii="Cambria Math" w:hAnsi="Cambria Math"/>
                        <w:szCs w:val="22"/>
                      </w:rPr>
                      <m:t>r</m:t>
                    </m:r>
                  </m:e>
                  <m:sub>
                    <m:r>
                      <w:rPr>
                        <w:rFonts w:ascii="Cambria Math" w:hAnsi="Cambria Math"/>
                        <w:szCs w:val="22"/>
                      </w:rPr>
                      <m:t>enh</m:t>
                    </m:r>
                  </m:sub>
                </m:sSub>
                <m:d>
                  <m:dPr>
                    <m:ctrlPr>
                      <w:rPr>
                        <w:rFonts w:ascii="Cambria Math" w:hAnsi="Cambria Math"/>
                        <w:i/>
                        <w:szCs w:val="22"/>
                      </w:rPr>
                    </m:ctrlPr>
                  </m:dPr>
                  <m:e>
                    <m:r>
                      <w:rPr>
                        <w:rFonts w:ascii="Cambria Math" w:hAnsi="Cambria Math"/>
                        <w:szCs w:val="22"/>
                      </w:rPr>
                      <m:t>x,y</m:t>
                    </m:r>
                  </m:e>
                </m:d>
                <m:r>
                  <w:rPr>
                    <w:rFonts w:ascii="Cambria Math" w:hAnsi="Cambria Math"/>
                    <w:szCs w:val="22"/>
                  </w:rPr>
                  <m:t>=Cr</m:t>
                </m:r>
                <m:d>
                  <m:dPr>
                    <m:ctrlPr>
                      <w:rPr>
                        <w:rFonts w:ascii="Cambria Math" w:hAnsi="Cambria Math"/>
                        <w:i/>
                        <w:szCs w:val="22"/>
                      </w:rPr>
                    </m:ctrlPr>
                  </m:dPr>
                  <m:e>
                    <m:r>
                      <w:rPr>
                        <w:rFonts w:ascii="Cambria Math" w:hAnsi="Cambria Math"/>
                        <w:szCs w:val="22"/>
                      </w:rPr>
                      <m:t>x,y</m:t>
                    </m:r>
                  </m:e>
                </m:d>
                <m:r>
                  <w:rPr>
                    <w:rFonts w:ascii="Cambria Math" w:hAnsi="Cambria Math"/>
                    <w:szCs w:val="22"/>
                  </w:rPr>
                  <m:t>+</m:t>
                </m:r>
                <m:nary>
                  <m:naryPr>
                    <m:chr m:val="∑"/>
                    <m:limLoc m:val="undOvr"/>
                    <m:ctrlPr>
                      <w:rPr>
                        <w:rFonts w:ascii="Cambria Math" w:hAnsi="Cambria Math"/>
                        <w:i/>
                        <w:szCs w:val="22"/>
                      </w:rPr>
                    </m:ctrlPr>
                  </m:naryPr>
                  <m:sub>
                    <m:r>
                      <w:rPr>
                        <w:rFonts w:ascii="Cambria Math" w:hAnsi="Cambria Math"/>
                        <w:szCs w:val="22"/>
                      </w:rPr>
                      <m:t>j=-2</m:t>
                    </m:r>
                  </m:sub>
                  <m:sup>
                    <m:r>
                      <w:rPr>
                        <w:rFonts w:ascii="Cambria Math" w:hAnsi="Cambria Math"/>
                        <w:szCs w:val="22"/>
                      </w:rPr>
                      <m:t>1</m:t>
                    </m:r>
                  </m:sup>
                  <m:e>
                    <m:nary>
                      <m:naryPr>
                        <m:chr m:val="∑"/>
                        <m:limLoc m:val="undOvr"/>
                        <m:ctrlPr>
                          <w:rPr>
                            <w:rFonts w:ascii="Cambria Math" w:hAnsi="Cambria Math"/>
                            <w:i/>
                            <w:szCs w:val="22"/>
                          </w:rPr>
                        </m:ctrlPr>
                      </m:naryPr>
                      <m:sub>
                        <m:r>
                          <w:rPr>
                            <w:rFonts w:ascii="Cambria Math" w:hAnsi="Cambria Math"/>
                            <w:szCs w:val="22"/>
                          </w:rPr>
                          <m:t>i=-1</m:t>
                        </m:r>
                      </m:sub>
                      <m:sup>
                        <m:r>
                          <w:rPr>
                            <w:rFonts w:ascii="Cambria Math" w:hAnsi="Cambria Math"/>
                            <w:szCs w:val="22"/>
                          </w:rPr>
                          <m:t>1</m:t>
                        </m:r>
                      </m:sup>
                      <m:e>
                        <m:sSub>
                          <m:sSubPr>
                            <m:ctrlPr>
                              <w:rPr>
                                <w:rFonts w:ascii="Cambria Math" w:hAnsi="Cambria Math"/>
                                <w:i/>
                                <w:szCs w:val="22"/>
                              </w:rPr>
                            </m:ctrlPr>
                          </m:sSubPr>
                          <m:e>
                            <m:r>
                              <w:rPr>
                                <w:rFonts w:ascii="Cambria Math" w:hAnsi="Cambria Math"/>
                                <w:szCs w:val="22"/>
                              </w:rPr>
                              <m:t>f</m:t>
                            </m:r>
                          </m:e>
                          <m:sub>
                            <m:r>
                              <w:rPr>
                                <w:rFonts w:ascii="Cambria Math" w:hAnsi="Cambria Math"/>
                                <w:szCs w:val="22"/>
                              </w:rPr>
                              <m:t>Cr</m:t>
                            </m:r>
                          </m:sub>
                        </m:sSub>
                        <m:d>
                          <m:dPr>
                            <m:ctrlPr>
                              <w:rPr>
                                <w:rFonts w:ascii="Cambria Math" w:hAnsi="Cambria Math"/>
                                <w:i/>
                                <w:szCs w:val="22"/>
                              </w:rPr>
                            </m:ctrlPr>
                          </m:dPr>
                          <m:e>
                            <m:r>
                              <w:rPr>
                                <w:rFonts w:ascii="Cambria Math" w:hAnsi="Cambria Math"/>
                                <w:szCs w:val="22"/>
                              </w:rPr>
                              <m:t>i,j</m:t>
                            </m:r>
                          </m:e>
                        </m:d>
                        <m:r>
                          <w:rPr>
                            <w:rFonts w:ascii="Cambria Math" w:hAnsi="Cambria Math"/>
                            <w:szCs w:val="22"/>
                          </w:rPr>
                          <m:t>⋅Y(2⋅x-i,2⋅y-j)</m:t>
                        </m:r>
                      </m:e>
                    </m:nary>
                  </m:e>
                </m:nary>
              </m:oMath>
            </m:oMathPara>
          </w:p>
        </w:tc>
        <w:tc>
          <w:tcPr>
            <w:tcW w:w="750" w:type="pct"/>
            <w:vAlign w:val="center"/>
          </w:tcPr>
          <w:p w:rsidR="00D648D1" w:rsidRPr="001A15CF" w:rsidRDefault="00D648D1" w:rsidP="00D648D1">
            <w:pPr>
              <w:pStyle w:val="ListParagraph"/>
              <w:numPr>
                <w:ilvl w:val="0"/>
                <w:numId w:val="16"/>
              </w:numPr>
              <w:spacing w:before="120" w:after="0" w:line="240" w:lineRule="auto"/>
              <w:jc w:val="center"/>
              <w:rPr>
                <w:rFonts w:ascii="Times New Roman" w:hAnsi="Times New Roman"/>
                <w:lang w:eastAsia="en-US"/>
              </w:rPr>
            </w:pPr>
          </w:p>
        </w:tc>
      </w:tr>
    </w:tbl>
    <w:p w:rsidR="00D648D1" w:rsidRPr="008B62C0" w:rsidRDefault="00D648D1" w:rsidP="00D648D1">
      <w:pPr>
        <w:jc w:val="both"/>
        <w:rPr>
          <w:sz w:val="20"/>
          <w:lang w:eastAsia="zh-TW"/>
        </w:rPr>
      </w:pPr>
      <w:r>
        <w:rPr>
          <w:lang w:val="en-CA"/>
        </w:rPr>
        <w:t>w</w:t>
      </w:r>
      <w:r w:rsidRPr="00820C55">
        <w:rPr>
          <w:lang w:val="en-CA"/>
        </w:rPr>
        <w:t xml:space="preserve">here </w:t>
      </w:r>
      <m:oMath>
        <m:r>
          <w:rPr>
            <w:rFonts w:ascii="Cambria Math" w:hAnsi="Cambria Math"/>
            <w:szCs w:val="22"/>
          </w:rPr>
          <m:t>Cb</m:t>
        </m:r>
        <m:d>
          <m:dPr>
            <m:ctrlPr>
              <w:rPr>
                <w:rFonts w:ascii="Cambria Math" w:hAnsi="Cambria Math"/>
                <w:i/>
                <w:szCs w:val="22"/>
              </w:rPr>
            </m:ctrlPr>
          </m:dPr>
          <m:e>
            <m:r>
              <w:rPr>
                <w:rFonts w:ascii="Cambria Math" w:hAnsi="Cambria Math"/>
                <w:szCs w:val="22"/>
              </w:rPr>
              <m:t>x,y</m:t>
            </m:r>
          </m:e>
        </m:d>
      </m:oMath>
      <w:r w:rsidRPr="00820C55">
        <w:rPr>
          <w:lang w:val="en-CA"/>
        </w:rPr>
        <w:t xml:space="preserve">, </w:t>
      </w:r>
      <m:oMath>
        <m:r>
          <w:rPr>
            <w:rFonts w:ascii="Cambria Math" w:hAnsi="Cambria Math"/>
            <w:szCs w:val="22"/>
          </w:rPr>
          <m:t>Cr</m:t>
        </m:r>
        <m:d>
          <m:dPr>
            <m:ctrlPr>
              <w:rPr>
                <w:rFonts w:ascii="Cambria Math" w:hAnsi="Cambria Math"/>
                <w:i/>
                <w:szCs w:val="22"/>
              </w:rPr>
            </m:ctrlPr>
          </m:dPr>
          <m:e>
            <m:r>
              <w:rPr>
                <w:rFonts w:ascii="Cambria Math" w:hAnsi="Cambria Math"/>
                <w:szCs w:val="22"/>
              </w:rPr>
              <m:t>x,y</m:t>
            </m:r>
          </m:e>
        </m:d>
      </m:oMath>
      <w:r w:rsidRPr="00820C55">
        <w:rPr>
          <w:lang w:val="en-CA"/>
        </w:rPr>
        <w:t xml:space="preserve"> and </w:t>
      </w:r>
      <m:oMath>
        <m:r>
          <w:rPr>
            <w:rFonts w:ascii="Cambria Math" w:hAnsi="Cambria Math"/>
            <w:szCs w:val="22"/>
          </w:rPr>
          <m:t>Y</m:t>
        </m:r>
        <m:d>
          <m:dPr>
            <m:ctrlPr>
              <w:rPr>
                <w:rFonts w:ascii="Cambria Math" w:hAnsi="Cambria Math"/>
                <w:i/>
                <w:szCs w:val="22"/>
              </w:rPr>
            </m:ctrlPr>
          </m:dPr>
          <m:e>
            <m:r>
              <w:rPr>
                <w:rFonts w:ascii="Cambria Math" w:hAnsi="Cambria Math"/>
                <w:szCs w:val="22"/>
              </w:rPr>
              <m:t>x,y</m:t>
            </m:r>
          </m:e>
        </m:d>
      </m:oMath>
      <w:r w:rsidRPr="00820C55">
        <w:rPr>
          <w:lang w:val="en-CA"/>
        </w:rPr>
        <w:t xml:space="preserve"> represent chroma and luma </w:t>
      </w:r>
      <w:r>
        <w:rPr>
          <w:lang w:val="en-CA"/>
        </w:rPr>
        <w:t>sample</w:t>
      </w:r>
      <w:r w:rsidRPr="00820C55">
        <w:rPr>
          <w:lang w:val="en-CA"/>
        </w:rPr>
        <w:t>s at</w:t>
      </w:r>
      <w:r>
        <w:rPr>
          <w:lang w:val="en-CA"/>
        </w:rPr>
        <w:t xml:space="preserve"> location</w:t>
      </w:r>
      <w:r w:rsidRPr="00820C55">
        <w:rPr>
          <w:lang w:val="en-CA"/>
        </w:rPr>
        <w:t xml:space="preserve"> </w:t>
      </w:r>
      <m:oMath>
        <m:d>
          <m:dPr>
            <m:ctrlPr>
              <w:rPr>
                <w:rFonts w:ascii="Cambria Math" w:hAnsi="Cambria Math"/>
                <w:i/>
                <w:szCs w:val="22"/>
              </w:rPr>
            </m:ctrlPr>
          </m:dPr>
          <m:e>
            <m:r>
              <w:rPr>
                <w:rFonts w:ascii="Cambria Math" w:hAnsi="Cambria Math"/>
                <w:szCs w:val="22"/>
              </w:rPr>
              <m:t>x,y</m:t>
            </m:r>
          </m:e>
        </m:d>
      </m:oMath>
      <w:r>
        <w:rPr>
          <w:szCs w:val="22"/>
        </w:rPr>
        <w:t xml:space="preserve"> in the ILR picture (</w:t>
      </w:r>
      <w:r w:rsidRPr="00820C55">
        <w:rPr>
          <w:lang w:val="en-CA"/>
        </w:rPr>
        <w:t>up-sampled</w:t>
      </w:r>
      <w:r>
        <w:rPr>
          <w:lang w:val="en-CA"/>
        </w:rPr>
        <w:t xml:space="preserve"> when necessary</w:t>
      </w:r>
      <w:r>
        <w:rPr>
          <w:szCs w:val="22"/>
        </w:rPr>
        <w:t>)</w:t>
      </w:r>
      <w:r w:rsidRPr="00820C55">
        <w:rPr>
          <w:lang w:val="en-CA"/>
        </w:rPr>
        <w:t>,</w:t>
      </w:r>
      <w:r>
        <w:rPr>
          <w:lang w:val="en-CA"/>
        </w:rPr>
        <w:t xml:space="preserve"> </w:t>
      </w:r>
      <m:oMath>
        <m:sSub>
          <m:sSubPr>
            <m:ctrlPr>
              <w:rPr>
                <w:rFonts w:ascii="Cambria Math" w:hAnsi="Cambria Math"/>
                <w:i/>
                <w:lang w:val="en-CA"/>
              </w:rPr>
            </m:ctrlPr>
          </m:sSubPr>
          <m:e>
            <m:r>
              <w:rPr>
                <w:rFonts w:ascii="Cambria Math" w:hAnsi="Cambria Math"/>
                <w:lang w:val="en-CA"/>
              </w:rPr>
              <m:t>f</m:t>
            </m:r>
          </m:e>
          <m:sub>
            <m:r>
              <w:rPr>
                <w:rFonts w:ascii="Cambria Math" w:hAnsi="Cambria Math"/>
                <w:szCs w:val="22"/>
              </w:rPr>
              <m:t>Cb</m:t>
            </m:r>
          </m:sub>
        </m:sSub>
        <m:d>
          <m:dPr>
            <m:ctrlPr>
              <w:rPr>
                <w:rFonts w:ascii="Cambria Math" w:hAnsi="Cambria Math"/>
                <w:i/>
                <w:szCs w:val="22"/>
              </w:rPr>
            </m:ctrlPr>
          </m:dPr>
          <m:e>
            <m:r>
              <w:rPr>
                <w:rFonts w:ascii="Cambria Math" w:hAnsi="Cambria Math"/>
                <w:szCs w:val="22"/>
              </w:rPr>
              <m:t>x,y</m:t>
            </m:r>
          </m:e>
        </m:d>
      </m:oMath>
      <w:r w:rsidRPr="00820C55">
        <w:rPr>
          <w:lang w:val="en-CA"/>
        </w:rPr>
        <w:t xml:space="preserve"> and </w:t>
      </w:r>
      <m:oMath>
        <m:sSub>
          <m:sSubPr>
            <m:ctrlPr>
              <w:rPr>
                <w:rFonts w:ascii="Cambria Math" w:hAnsi="Cambria Math"/>
                <w:i/>
                <w:lang w:val="en-CA"/>
              </w:rPr>
            </m:ctrlPr>
          </m:sSubPr>
          <m:e>
            <m:r>
              <w:rPr>
                <w:rFonts w:ascii="Cambria Math" w:hAnsi="Cambria Math"/>
                <w:lang w:val="en-CA"/>
              </w:rPr>
              <m:t>f</m:t>
            </m:r>
          </m:e>
          <m:sub>
            <m:r>
              <w:rPr>
                <w:rFonts w:ascii="Cambria Math" w:hAnsi="Cambria Math"/>
                <w:szCs w:val="22"/>
              </w:rPr>
              <m:t>Cr</m:t>
            </m:r>
          </m:sub>
        </m:sSub>
        <m:d>
          <m:dPr>
            <m:ctrlPr>
              <w:rPr>
                <w:rFonts w:ascii="Cambria Math" w:hAnsi="Cambria Math"/>
                <w:i/>
                <w:szCs w:val="22"/>
              </w:rPr>
            </m:ctrlPr>
          </m:dPr>
          <m:e>
            <m:r>
              <w:rPr>
                <w:rFonts w:ascii="Cambria Math" w:hAnsi="Cambria Math"/>
                <w:szCs w:val="22"/>
              </w:rPr>
              <m:t>x,y</m:t>
            </m:r>
          </m:e>
        </m:d>
      </m:oMath>
      <w:r>
        <w:rPr>
          <w:szCs w:val="22"/>
        </w:rPr>
        <w:t xml:space="preserve"> </w:t>
      </w:r>
      <w:r w:rsidRPr="00820C55">
        <w:rPr>
          <w:lang w:val="en-CA"/>
        </w:rPr>
        <w:t xml:space="preserve">indicate the two 3×4 high-pass filters, </w:t>
      </w:r>
      <m:oMath>
        <m:r>
          <w:rPr>
            <w:rFonts w:ascii="Cambria Math" w:hAnsi="Cambria Math"/>
            <w:szCs w:val="22"/>
          </w:rPr>
          <m:t>C</m:t>
        </m:r>
        <m:sSub>
          <m:sSubPr>
            <m:ctrlPr>
              <w:rPr>
                <w:rFonts w:ascii="Cambria Math" w:hAnsi="Cambria Math"/>
                <w:i/>
                <w:szCs w:val="22"/>
              </w:rPr>
            </m:ctrlPr>
          </m:sSubPr>
          <m:e>
            <m:r>
              <w:rPr>
                <w:rFonts w:ascii="Cambria Math" w:hAnsi="Cambria Math"/>
                <w:szCs w:val="22"/>
              </w:rPr>
              <m:t>b</m:t>
            </m:r>
          </m:e>
          <m:sub>
            <m:r>
              <w:rPr>
                <w:rFonts w:ascii="Cambria Math" w:hAnsi="Cambria Math"/>
                <w:szCs w:val="22"/>
              </w:rPr>
              <m:t>enh</m:t>
            </m:r>
          </m:sub>
        </m:sSub>
        <m:d>
          <m:dPr>
            <m:ctrlPr>
              <w:rPr>
                <w:rFonts w:ascii="Cambria Math" w:hAnsi="Cambria Math"/>
                <w:i/>
                <w:szCs w:val="22"/>
              </w:rPr>
            </m:ctrlPr>
          </m:dPr>
          <m:e>
            <m:r>
              <w:rPr>
                <w:rFonts w:ascii="Cambria Math" w:hAnsi="Cambria Math"/>
                <w:szCs w:val="22"/>
              </w:rPr>
              <m:t>x,y</m:t>
            </m:r>
          </m:e>
        </m:d>
      </m:oMath>
      <w:r>
        <w:rPr>
          <w:szCs w:val="22"/>
        </w:rPr>
        <w:t xml:space="preserve"> </w:t>
      </w:r>
      <w:r w:rsidRPr="00820C55">
        <w:rPr>
          <w:lang w:val="en-CA"/>
        </w:rPr>
        <w:t xml:space="preserve">and </w:t>
      </w:r>
      <m:oMath>
        <m:r>
          <w:rPr>
            <w:rFonts w:ascii="Cambria Math" w:hAnsi="Cambria Math"/>
            <w:szCs w:val="22"/>
          </w:rPr>
          <m:t>C</m:t>
        </m:r>
        <m:sSub>
          <m:sSubPr>
            <m:ctrlPr>
              <w:rPr>
                <w:rFonts w:ascii="Cambria Math" w:hAnsi="Cambria Math"/>
                <w:i/>
                <w:szCs w:val="22"/>
              </w:rPr>
            </m:ctrlPr>
          </m:sSubPr>
          <m:e>
            <m:r>
              <w:rPr>
                <w:rFonts w:ascii="Cambria Math" w:hAnsi="Cambria Math"/>
                <w:szCs w:val="22"/>
              </w:rPr>
              <m:t>r</m:t>
            </m:r>
          </m:e>
          <m:sub>
            <m:r>
              <w:rPr>
                <w:rFonts w:ascii="Cambria Math" w:hAnsi="Cambria Math"/>
                <w:szCs w:val="22"/>
              </w:rPr>
              <m:t>enh</m:t>
            </m:r>
          </m:sub>
        </m:sSub>
        <m:d>
          <m:dPr>
            <m:ctrlPr>
              <w:rPr>
                <w:rFonts w:ascii="Cambria Math" w:hAnsi="Cambria Math"/>
                <w:i/>
                <w:szCs w:val="22"/>
              </w:rPr>
            </m:ctrlPr>
          </m:dPr>
          <m:e>
            <m:r>
              <w:rPr>
                <w:rFonts w:ascii="Cambria Math" w:hAnsi="Cambria Math"/>
                <w:szCs w:val="22"/>
              </w:rPr>
              <m:t>x,y</m:t>
            </m:r>
          </m:e>
        </m:d>
      </m:oMath>
      <w:r>
        <w:rPr>
          <w:szCs w:val="22"/>
        </w:rPr>
        <w:t xml:space="preserve"> </w:t>
      </w:r>
      <w:r w:rsidRPr="00820C55">
        <w:rPr>
          <w:lang w:val="en-CA"/>
        </w:rPr>
        <w:t xml:space="preserve">denote the enhanced chroma </w:t>
      </w:r>
      <w:r>
        <w:rPr>
          <w:lang w:val="en-CA"/>
        </w:rPr>
        <w:t>sample</w:t>
      </w:r>
      <w:r w:rsidRPr="00820C55">
        <w:rPr>
          <w:lang w:val="en-CA"/>
        </w:rPr>
        <w:t xml:space="preserve">s. Please note that </w:t>
      </w:r>
      <w:r>
        <w:rPr>
          <w:lang w:val="en-CA"/>
        </w:rPr>
        <w:t>(1)</w:t>
      </w:r>
      <w:r w:rsidRPr="00820C55">
        <w:rPr>
          <w:lang w:val="en-CA"/>
        </w:rPr>
        <w:t xml:space="preserve"> shows the general idea</w:t>
      </w:r>
      <w:r>
        <w:rPr>
          <w:lang w:val="en-CA"/>
        </w:rPr>
        <w:t>. Additional operations like scaling are needed for the second term of (1) to finally derive enhanced chroma samples. With the method, 13 multiplications (additional one for scaling) and 12 additions are needed for each chroma sample.</w:t>
      </w:r>
    </w:p>
    <w:p w:rsidR="00D648D1" w:rsidRPr="00152655" w:rsidRDefault="00BF1B93" w:rsidP="00D648D1">
      <w:pPr>
        <w:tabs>
          <w:tab w:val="clear" w:pos="360"/>
          <w:tab w:val="left" w:pos="0"/>
        </w:tabs>
        <w:jc w:val="both"/>
        <w:rPr>
          <w:rFonts w:cs="Arial"/>
          <w:sz w:val="20"/>
          <w:lang w:val="en-CA" w:eastAsia="zh-TW"/>
        </w:rPr>
      </w:pPr>
      <w:r>
        <w:rPr>
          <w:rFonts w:cs="Arial"/>
          <w:sz w:val="20"/>
          <w:lang w:val="en-CA" w:eastAsia="zh-TW"/>
        </w:rPr>
        <w:t xml:space="preserve">In addition, a </w:t>
      </w:r>
      <w:r w:rsidR="00FB49A3">
        <w:rPr>
          <w:rFonts w:cs="Arial"/>
          <w:sz w:val="20"/>
          <w:lang w:val="en-CA" w:eastAsia="zh-TW"/>
        </w:rPr>
        <w:t xml:space="preserve">new version (v2) with </w:t>
      </w:r>
      <w:r>
        <w:rPr>
          <w:rFonts w:cs="Arial"/>
          <w:sz w:val="20"/>
          <w:lang w:val="en-CA" w:eastAsia="zh-TW"/>
        </w:rPr>
        <w:t>encoder optimization method was proposed after the SCE4 deadline to further improve the BD rate performance of the method. With this optimization, the chroma enhancement may be adaptively switched off at picture level.</w:t>
      </w:r>
    </w:p>
    <w:p w:rsidR="00D648D1" w:rsidRDefault="00D648D1" w:rsidP="00D648D1">
      <w:pPr>
        <w:keepNext/>
        <w:framePr w:w="9346" w:vSpace="144" w:wrap="notBeside" w:hAnchor="margin" w:xAlign="center" w:yAlign="top" w:anchorLock="1"/>
        <w:tabs>
          <w:tab w:val="clear" w:pos="360"/>
          <w:tab w:val="left" w:pos="0"/>
        </w:tabs>
        <w:spacing w:before="0"/>
        <w:suppressOverlap/>
        <w:jc w:val="center"/>
      </w:pPr>
      <w:r w:rsidRPr="00152655">
        <w:rPr>
          <w:sz w:val="20"/>
        </w:rPr>
        <w:object w:dxaOrig="8154" w:dyaOrig="4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45pt;height:134.35pt" o:ole="">
            <v:imagedata r:id="rId10" o:title=""/>
          </v:shape>
          <o:OLEObject Type="Embed" ProgID="Visio.Drawing.11" ShapeID="_x0000_i1025" DrawAspect="Content" ObjectID="_1427359257" r:id="rId11"/>
        </w:object>
      </w:r>
    </w:p>
    <w:p w:rsidR="00D648D1" w:rsidRPr="00152655" w:rsidRDefault="00D648D1" w:rsidP="00D648D1">
      <w:pPr>
        <w:pStyle w:val="Caption"/>
        <w:framePr w:w="9346" w:vSpace="144" w:wrap="notBeside" w:hAnchor="margin" w:xAlign="center" w:yAlign="top" w:anchorLock="1"/>
        <w:suppressOverlap/>
        <w:jc w:val="center"/>
      </w:pPr>
      <w:bookmarkStart w:id="1" w:name="_Ref353025521"/>
      <w:bookmarkStart w:id="2" w:name="_Ref353025491"/>
      <w:r>
        <w:t xml:space="preserve">Figure </w:t>
      </w:r>
      <w:r>
        <w:fldChar w:fldCharType="begin"/>
      </w:r>
      <w:r>
        <w:instrText xml:space="preserve"> SEQ Figure \* ARABIC </w:instrText>
      </w:r>
      <w:r>
        <w:fldChar w:fldCharType="separate"/>
      </w:r>
      <w:r>
        <w:rPr>
          <w:noProof/>
        </w:rPr>
        <w:t>1</w:t>
      </w:r>
      <w:r>
        <w:rPr>
          <w:noProof/>
        </w:rPr>
        <w:fldChar w:fldCharType="end"/>
      </w:r>
      <w:bookmarkEnd w:id="1"/>
      <w:r>
        <w:rPr>
          <w:noProof/>
        </w:rPr>
        <w:t>.</w:t>
      </w:r>
      <w:r>
        <w:t xml:space="preserve"> </w:t>
      </w:r>
      <w:r w:rsidRPr="00152655">
        <w:t xml:space="preserve">Relative Luma and Chroma </w:t>
      </w:r>
      <w:r>
        <w:t>sample</w:t>
      </w:r>
      <w:r w:rsidRPr="00152655">
        <w:t xml:space="preserve"> positions in</w:t>
      </w:r>
      <w:r>
        <w:t xml:space="preserve"> 4:2:0 color subsampling format </w:t>
      </w:r>
      <w:bookmarkEnd w:id="2"/>
      <w:r>
        <w:t>(JCTVC-M0183)</w:t>
      </w:r>
    </w:p>
    <w:p w:rsidR="00D72D0F" w:rsidRDefault="00D72D0F" w:rsidP="00D72D0F">
      <w:pPr>
        <w:jc w:val="both"/>
      </w:pPr>
    </w:p>
    <w:p w:rsidR="004F7485" w:rsidRDefault="004F7485" w:rsidP="00E03266">
      <w:pPr>
        <w:pStyle w:val="Heading1"/>
        <w:jc w:val="both"/>
        <w:rPr>
          <w:szCs w:val="22"/>
        </w:rPr>
      </w:pPr>
      <w:r w:rsidRPr="00DA7406">
        <w:rPr>
          <w:szCs w:val="22"/>
        </w:rPr>
        <w:t>Experimental results</w:t>
      </w:r>
    </w:p>
    <w:p w:rsidR="00E310F3" w:rsidRDefault="00E310F3" w:rsidP="00E03266">
      <w:pPr>
        <w:jc w:val="both"/>
      </w:pPr>
      <w:r>
        <w:t xml:space="preserve">We </w:t>
      </w:r>
      <w:r w:rsidR="00F3209B">
        <w:t xml:space="preserve">received the source code from the proponents, implemented in </w:t>
      </w:r>
      <w:r w:rsidR="00AB07EB">
        <w:t>SHM-</w:t>
      </w:r>
      <w:r>
        <w:t>1</w:t>
      </w:r>
      <w:r w:rsidR="00AB07EB">
        <w:t>.0</w:t>
      </w:r>
      <w:r w:rsidR="00F3209B">
        <w:t xml:space="preserve">, and did a </w:t>
      </w:r>
      <w:r w:rsidR="00AB07EB">
        <w:t xml:space="preserve">quick </w:t>
      </w:r>
      <w:r w:rsidR="00F3209B">
        <w:t xml:space="preserve">code study to verify that the proposed method </w:t>
      </w:r>
      <w:r w:rsidR="00506600">
        <w:t>was</w:t>
      </w:r>
      <w:r w:rsidR="00F3209B">
        <w:t xml:space="preserve"> implemented as described. We </w:t>
      </w:r>
      <w:r>
        <w:t xml:space="preserve">used the common conditions </w:t>
      </w:r>
      <w:r w:rsidR="00AB07EB">
        <w:fldChar w:fldCharType="begin"/>
      </w:r>
      <w:r w:rsidR="00AB07EB">
        <w:instrText xml:space="preserve"> REF _Ref353612270 \r \h </w:instrText>
      </w:r>
      <w:r w:rsidR="00AB07EB">
        <w:fldChar w:fldCharType="separate"/>
      </w:r>
      <w:r w:rsidR="00AB07EB">
        <w:t>[2]</w:t>
      </w:r>
      <w:r w:rsidR="00AB07EB">
        <w:fldChar w:fldCharType="end"/>
      </w:r>
      <w:r w:rsidR="00AB07EB">
        <w:t xml:space="preserve"> </w:t>
      </w:r>
      <w:r w:rsidR="00F3209B">
        <w:t xml:space="preserve">in our experiments and ran </w:t>
      </w:r>
      <w:r w:rsidR="00AB07EB">
        <w:t xml:space="preserve">simulations for the cases of RA, </w:t>
      </w:r>
      <w:r w:rsidR="00F3209B">
        <w:t>LDP</w:t>
      </w:r>
      <w:r w:rsidR="00AB07EB">
        <w:t xml:space="preserve"> and LDB</w:t>
      </w:r>
      <w:r w:rsidR="00F3209B">
        <w:t>.</w:t>
      </w:r>
    </w:p>
    <w:p w:rsidR="00E310F3" w:rsidRDefault="00F3209B" w:rsidP="00E03266">
      <w:pPr>
        <w:jc w:val="both"/>
      </w:pPr>
      <w:r>
        <w:t xml:space="preserve">The results match what was provided by the proponents and </w:t>
      </w:r>
      <w:r w:rsidR="00A34582">
        <w:t>are summarized</w:t>
      </w:r>
      <w:r w:rsidR="00D648D1">
        <w:t xml:space="preserve"> as follows</w:t>
      </w:r>
    </w:p>
    <w:p w:rsidR="00D648D1" w:rsidRDefault="00D648D1" w:rsidP="00D648D1">
      <w:pPr>
        <w:pStyle w:val="Heading2"/>
      </w:pPr>
      <w:r>
        <w:t>RefIdx framework with chroma enhancement always on</w:t>
      </w:r>
    </w:p>
    <w:p w:rsidR="00D648D1" w:rsidRPr="00D648D1" w:rsidRDefault="00BF1B93" w:rsidP="00D648D1">
      <w:r>
        <w:rPr>
          <w:noProof/>
          <w:lang w:eastAsia="zh-CN"/>
        </w:rPr>
        <w:drawing>
          <wp:inline distT="0" distB="0" distL="0" distR="0">
            <wp:extent cx="5943600" cy="491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911532"/>
                    </a:xfrm>
                    <a:prstGeom prst="rect">
                      <a:avLst/>
                    </a:prstGeom>
                    <a:noFill/>
                    <a:ln>
                      <a:noFill/>
                    </a:ln>
                  </pic:spPr>
                </pic:pic>
              </a:graphicData>
            </a:graphic>
          </wp:inline>
        </w:drawing>
      </w:r>
    </w:p>
    <w:p w:rsidR="00D648D1" w:rsidRDefault="00D648D1" w:rsidP="00D648D1">
      <w:pPr>
        <w:pStyle w:val="Heading2"/>
      </w:pPr>
      <w:r>
        <w:lastRenderedPageBreak/>
        <w:t>RefIdx framework with adaptive chroma enhancement at picture level</w:t>
      </w:r>
    </w:p>
    <w:p w:rsidR="00BF1B93" w:rsidRPr="00BF1B93" w:rsidRDefault="00BF1B93" w:rsidP="00BF1B93">
      <w:r>
        <w:rPr>
          <w:noProof/>
          <w:lang w:eastAsia="zh-CN"/>
        </w:rPr>
        <w:drawing>
          <wp:inline distT="0" distB="0" distL="0" distR="0">
            <wp:extent cx="5943600" cy="49115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911532"/>
                    </a:xfrm>
                    <a:prstGeom prst="rect">
                      <a:avLst/>
                    </a:prstGeom>
                    <a:noFill/>
                    <a:ln>
                      <a:noFill/>
                    </a:ln>
                  </pic:spPr>
                </pic:pic>
              </a:graphicData>
            </a:graphic>
          </wp:inline>
        </w:drawing>
      </w:r>
    </w:p>
    <w:p w:rsidR="00D648D1" w:rsidRDefault="00D648D1" w:rsidP="00D648D1">
      <w:pPr>
        <w:pStyle w:val="Heading2"/>
      </w:pPr>
      <w:r>
        <w:lastRenderedPageBreak/>
        <w:t>IBL framework with adaptive chroma enhancement at picture level</w:t>
      </w:r>
    </w:p>
    <w:p w:rsidR="00F3209B" w:rsidRDefault="00FB49A3" w:rsidP="00E03266">
      <w:pPr>
        <w:jc w:val="both"/>
      </w:pPr>
      <w:r>
        <w:rPr>
          <w:noProof/>
          <w:lang w:eastAsia="zh-CN"/>
        </w:rPr>
        <w:drawing>
          <wp:inline distT="0" distB="0" distL="0" distR="0">
            <wp:extent cx="5943600" cy="49115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911532"/>
                    </a:xfrm>
                    <a:prstGeom prst="rect">
                      <a:avLst/>
                    </a:prstGeom>
                    <a:noFill/>
                    <a:ln>
                      <a:noFill/>
                    </a:ln>
                  </pic:spPr>
                </pic:pic>
              </a:graphicData>
            </a:graphic>
          </wp:inline>
        </w:drawing>
      </w:r>
    </w:p>
    <w:p w:rsidR="004F7485" w:rsidRPr="00DA7406" w:rsidRDefault="004F7485" w:rsidP="00E03266">
      <w:pPr>
        <w:pStyle w:val="Heading1"/>
        <w:jc w:val="both"/>
        <w:rPr>
          <w:szCs w:val="22"/>
        </w:rPr>
      </w:pPr>
      <w:r w:rsidRPr="00DA7406">
        <w:rPr>
          <w:szCs w:val="22"/>
        </w:rPr>
        <w:t>Conclusion</w:t>
      </w:r>
    </w:p>
    <w:p w:rsidR="00C13EE1" w:rsidRDefault="00C13EE1" w:rsidP="00E03266">
      <w:pPr>
        <w:jc w:val="both"/>
        <w:rPr>
          <w:bCs/>
        </w:rPr>
      </w:pPr>
      <w:r w:rsidRPr="00DA7406">
        <w:t xml:space="preserve">In this contribution, </w:t>
      </w:r>
      <w:r w:rsidR="009D6826">
        <w:rPr>
          <w:bCs/>
        </w:rPr>
        <w:t xml:space="preserve">we </w:t>
      </w:r>
      <w:r w:rsidR="00391554">
        <w:rPr>
          <w:bCs/>
        </w:rPr>
        <w:t xml:space="preserve">have </w:t>
      </w:r>
      <w:r w:rsidR="00F3209B">
        <w:rPr>
          <w:bCs/>
        </w:rPr>
        <w:t>presented the results of our cross-check of JCTVC-</w:t>
      </w:r>
      <w:r w:rsidR="00AB07EB">
        <w:rPr>
          <w:bCs/>
        </w:rPr>
        <w:t>M</w:t>
      </w:r>
      <w:r w:rsidR="00955F9D">
        <w:rPr>
          <w:bCs/>
        </w:rPr>
        <w:t>01</w:t>
      </w:r>
      <w:r w:rsidR="00FB49A3">
        <w:rPr>
          <w:bCs/>
        </w:rPr>
        <w:t>83</w:t>
      </w:r>
      <w:r w:rsidR="00F3209B">
        <w:rPr>
          <w:bCs/>
        </w:rPr>
        <w:t xml:space="preserve">. The implemented algorithm </w:t>
      </w:r>
      <w:r w:rsidR="00A34582">
        <w:rPr>
          <w:bCs/>
        </w:rPr>
        <w:t>is in line</w:t>
      </w:r>
      <w:r w:rsidR="00F3209B">
        <w:rPr>
          <w:bCs/>
        </w:rPr>
        <w:t xml:space="preserve"> with the proponent’s description, and the simulation results also match that provided by the proponents.</w:t>
      </w:r>
    </w:p>
    <w:p w:rsidR="007D4ACC" w:rsidRDefault="007D4ACC" w:rsidP="00E03266">
      <w:pPr>
        <w:jc w:val="both"/>
        <w:rPr>
          <w:bCs/>
        </w:rPr>
      </w:pPr>
    </w:p>
    <w:p w:rsidR="007D4ACC" w:rsidRPr="00DA7406" w:rsidRDefault="007D4ACC" w:rsidP="007D4ACC">
      <w:pPr>
        <w:pStyle w:val="Heading1"/>
        <w:jc w:val="both"/>
        <w:rPr>
          <w:szCs w:val="22"/>
        </w:rPr>
      </w:pPr>
      <w:r>
        <w:rPr>
          <w:szCs w:val="22"/>
        </w:rPr>
        <w:t>References</w:t>
      </w:r>
    </w:p>
    <w:bookmarkStart w:id="3" w:name="_Ref350368379"/>
    <w:bookmarkStart w:id="4" w:name="_Ref347833434"/>
    <w:bookmarkStart w:id="5" w:name="_Ref350366153"/>
    <w:p w:rsidR="00AB07EB" w:rsidRPr="009E6EFE" w:rsidRDefault="00AB07EB" w:rsidP="00AB07EB">
      <w:pPr>
        <w:numPr>
          <w:ilvl w:val="0"/>
          <w:numId w:val="19"/>
        </w:numPr>
        <w:tabs>
          <w:tab w:val="left" w:pos="360"/>
        </w:tabs>
        <w:jc w:val="both"/>
        <w:textAlignment w:val="auto"/>
        <w:rPr>
          <w:szCs w:val="22"/>
        </w:rPr>
      </w:pPr>
      <w:r w:rsidRPr="00B7779B">
        <w:rPr>
          <w:szCs w:val="22"/>
        </w:rPr>
        <w:fldChar w:fldCharType="begin"/>
      </w:r>
      <w:r w:rsidRPr="00B7779B">
        <w:rPr>
          <w:szCs w:val="22"/>
        </w:rPr>
        <w:instrText xml:space="preserve"> HYPERLINK "mailto:edouard.francois@crf.canon.fr" </w:instrText>
      </w:r>
      <w:r w:rsidRPr="00B7779B">
        <w:rPr>
          <w:szCs w:val="22"/>
        </w:rPr>
        <w:fldChar w:fldCharType="separate"/>
      </w:r>
      <w:r w:rsidRPr="00B7779B">
        <w:rPr>
          <w:szCs w:val="22"/>
        </w:rPr>
        <w:t>E. François</w:t>
      </w:r>
      <w:r w:rsidRPr="00B7779B">
        <w:rPr>
          <w:szCs w:val="22"/>
        </w:rPr>
        <w:fldChar w:fldCharType="end"/>
      </w:r>
      <w:r w:rsidRPr="00B7779B">
        <w:rPr>
          <w:szCs w:val="22"/>
        </w:rPr>
        <w:t xml:space="preserve">, </w:t>
      </w:r>
      <w:hyperlink r:id="rId15" w:history="1">
        <w:r w:rsidRPr="00B7779B">
          <w:rPr>
            <w:szCs w:val="22"/>
          </w:rPr>
          <w:t>A. Tabatabai</w:t>
        </w:r>
      </w:hyperlink>
      <w:r w:rsidRPr="00B7779B">
        <w:rPr>
          <w:szCs w:val="22"/>
        </w:rPr>
        <w:t xml:space="preserve">, </w:t>
      </w:r>
      <w:hyperlink r:id="rId16" w:history="1">
        <w:r w:rsidRPr="00B7779B">
          <w:rPr>
            <w:szCs w:val="22"/>
          </w:rPr>
          <w:t>E. Alshina</w:t>
        </w:r>
      </w:hyperlink>
      <w:r w:rsidRPr="00B7779B">
        <w:rPr>
          <w:szCs w:val="22"/>
        </w:rPr>
        <w:t xml:space="preserve">, BoG report: Methodology for evaluating complexity of combined and residual prediction methods in SHVC, JCTVC-L0440, </w:t>
      </w:r>
      <w:r w:rsidRPr="00506D90">
        <w:rPr>
          <w:szCs w:val="22"/>
        </w:rPr>
        <w:t xml:space="preserve">Geneva, Switzerland, </w:t>
      </w:r>
      <w:r w:rsidRPr="009E6EFE">
        <w:rPr>
          <w:szCs w:val="22"/>
        </w:rPr>
        <w:t>14–23 Jan. 2013</w:t>
      </w:r>
      <w:r>
        <w:rPr>
          <w:szCs w:val="22"/>
        </w:rPr>
        <w:t>.</w:t>
      </w:r>
      <w:bookmarkEnd w:id="3"/>
    </w:p>
    <w:bookmarkStart w:id="6" w:name="_Ref353612270"/>
    <w:p w:rsidR="00AB07EB" w:rsidRPr="00C75200" w:rsidRDefault="00AB07EB" w:rsidP="00AB07EB">
      <w:pPr>
        <w:numPr>
          <w:ilvl w:val="0"/>
          <w:numId w:val="19"/>
        </w:numPr>
        <w:tabs>
          <w:tab w:val="left" w:pos="360"/>
        </w:tabs>
        <w:jc w:val="both"/>
        <w:textAlignment w:val="auto"/>
        <w:rPr>
          <w:szCs w:val="22"/>
          <w:lang w:val="en-CA"/>
        </w:rPr>
      </w:pPr>
      <w:r w:rsidRPr="009E6EFE">
        <w:rPr>
          <w:szCs w:val="22"/>
        </w:rPr>
        <w:fldChar w:fldCharType="begin"/>
      </w:r>
      <w:r w:rsidRPr="009E6EFE">
        <w:rPr>
          <w:szCs w:val="22"/>
        </w:rPr>
        <w:instrText xml:space="preserve"> HYPERLINK "mailto:lxiang@qti.qualcomm.com" </w:instrText>
      </w:r>
      <w:r w:rsidRPr="009E6EFE">
        <w:rPr>
          <w:szCs w:val="22"/>
        </w:rPr>
        <w:fldChar w:fldCharType="separate"/>
      </w:r>
      <w:r w:rsidRPr="009E6EFE">
        <w:rPr>
          <w:szCs w:val="22"/>
        </w:rPr>
        <w:t>X. Li</w:t>
      </w:r>
      <w:r w:rsidRPr="009E6EFE">
        <w:rPr>
          <w:szCs w:val="22"/>
        </w:rPr>
        <w:fldChar w:fldCharType="end"/>
      </w:r>
      <w:r w:rsidRPr="009E6EFE">
        <w:rPr>
          <w:szCs w:val="22"/>
        </w:rPr>
        <w:t xml:space="preserve">, </w:t>
      </w:r>
      <w:hyperlink r:id="rId17" w:history="1">
        <w:r w:rsidRPr="009E6EFE">
          <w:rPr>
            <w:szCs w:val="22"/>
          </w:rPr>
          <w:t>J. Boyce</w:t>
        </w:r>
      </w:hyperlink>
      <w:r w:rsidRPr="009E6EFE">
        <w:rPr>
          <w:szCs w:val="22"/>
        </w:rPr>
        <w:t xml:space="preserve">, </w:t>
      </w:r>
      <w:hyperlink r:id="rId18" w:history="1">
        <w:r w:rsidRPr="009E6EFE">
          <w:rPr>
            <w:szCs w:val="22"/>
          </w:rPr>
          <w:t>P. Onno</w:t>
        </w:r>
      </w:hyperlink>
      <w:r w:rsidRPr="009E6EFE">
        <w:rPr>
          <w:szCs w:val="22"/>
        </w:rPr>
        <w:t xml:space="preserve">, </w:t>
      </w:r>
      <w:hyperlink r:id="rId19" w:history="1">
        <w:r w:rsidRPr="009E6EFE">
          <w:rPr>
            <w:szCs w:val="22"/>
          </w:rPr>
          <w:t>Y. Ye</w:t>
        </w:r>
      </w:hyperlink>
      <w:r w:rsidRPr="009E6EFE">
        <w:rPr>
          <w:szCs w:val="22"/>
        </w:rPr>
        <w:t>, “Co</w:t>
      </w:r>
      <w:r>
        <w:t xml:space="preserve">mmon SHM test conditions and software reference configurations”, </w:t>
      </w:r>
      <w:r w:rsidRPr="00F56AE0">
        <w:rPr>
          <w:szCs w:val="22"/>
        </w:rPr>
        <w:t>JCTVC-L</w:t>
      </w:r>
      <w:r>
        <w:rPr>
          <w:szCs w:val="22"/>
        </w:rPr>
        <w:t>1009</w:t>
      </w:r>
      <w:r w:rsidRPr="00F56AE0">
        <w:rPr>
          <w:szCs w:val="22"/>
        </w:rPr>
        <w:t xml:space="preserve">, </w:t>
      </w:r>
      <w:r w:rsidRPr="00506D90">
        <w:rPr>
          <w:szCs w:val="22"/>
        </w:rPr>
        <w:t xml:space="preserve">Geneva, Switzerland, </w:t>
      </w:r>
      <w:r w:rsidRPr="00F56AE0">
        <w:rPr>
          <w:szCs w:val="22"/>
        </w:rPr>
        <w:t>14–23 Jan. 2013</w:t>
      </w:r>
      <w:bookmarkEnd w:id="4"/>
      <w:r>
        <w:rPr>
          <w:szCs w:val="22"/>
        </w:rPr>
        <w:t>.</w:t>
      </w:r>
      <w:bookmarkEnd w:id="5"/>
      <w:bookmarkEnd w:id="6"/>
    </w:p>
    <w:p w:rsidR="007D4ACC" w:rsidRPr="00AB07EB" w:rsidRDefault="007D4ACC" w:rsidP="00E03266">
      <w:pPr>
        <w:jc w:val="both"/>
        <w:rPr>
          <w:bCs/>
        </w:rPr>
      </w:pPr>
    </w:p>
    <w:sectPr w:rsidR="007D4ACC" w:rsidRPr="00AB07EB" w:rsidSect="00A01439">
      <w:footerReference w:type="default" r:id="rId2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C1A" w:rsidRDefault="00195C1A">
      <w:r>
        <w:separator/>
      </w:r>
    </w:p>
  </w:endnote>
  <w:endnote w:type="continuationSeparator" w:id="0">
    <w:p w:rsidR="00195C1A" w:rsidRDefault="00195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4F3CDC">
      <w:rPr>
        <w:rStyle w:val="PageNumber"/>
      </w:rPr>
      <w:fldChar w:fldCharType="begin"/>
    </w:r>
    <w:r>
      <w:rPr>
        <w:rStyle w:val="PageNumber"/>
      </w:rPr>
      <w:instrText xml:space="preserve"> PAGE </w:instrText>
    </w:r>
    <w:r w:rsidR="004F3CDC">
      <w:rPr>
        <w:rStyle w:val="PageNumber"/>
      </w:rPr>
      <w:fldChar w:fldCharType="separate"/>
    </w:r>
    <w:r w:rsidR="00F67403">
      <w:rPr>
        <w:rStyle w:val="PageNumber"/>
        <w:noProof/>
      </w:rPr>
      <w:t>1</w:t>
    </w:r>
    <w:r w:rsidR="004F3CDC">
      <w:rPr>
        <w:rStyle w:val="PageNumber"/>
      </w:rPr>
      <w:fldChar w:fldCharType="end"/>
    </w:r>
    <w:r>
      <w:rPr>
        <w:rStyle w:val="PageNumber"/>
      </w:rPr>
      <w:tab/>
      <w:t xml:space="preserve">Date Saved: </w:t>
    </w:r>
    <w:r w:rsidR="004F3CDC">
      <w:rPr>
        <w:rStyle w:val="PageNumber"/>
      </w:rPr>
      <w:fldChar w:fldCharType="begin"/>
    </w:r>
    <w:r>
      <w:rPr>
        <w:rStyle w:val="PageNumber"/>
      </w:rPr>
      <w:instrText xml:space="preserve"> SAVEDATE  \@ "yyyy-MM-dd"  \* MERGEFORMAT </w:instrText>
    </w:r>
    <w:r w:rsidR="004F3CDC">
      <w:rPr>
        <w:rStyle w:val="PageNumber"/>
      </w:rPr>
      <w:fldChar w:fldCharType="separate"/>
    </w:r>
    <w:r w:rsidR="00F67403">
      <w:rPr>
        <w:rStyle w:val="PageNumber"/>
        <w:noProof/>
      </w:rPr>
      <w:t>2013-04-13</w:t>
    </w:r>
    <w:r w:rsidR="004F3CDC">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C1A" w:rsidRDefault="00195C1A">
      <w:r>
        <w:separator/>
      </w:r>
    </w:p>
  </w:footnote>
  <w:footnote w:type="continuationSeparator" w:id="0">
    <w:p w:rsidR="00195C1A" w:rsidRDefault="00195C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3F6ECC"/>
    <w:multiLevelType w:val="multilevel"/>
    <w:tmpl w:val="A790AF9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nsid w:val="021C0DAD"/>
    <w:multiLevelType w:val="hybridMultilevel"/>
    <w:tmpl w:val="795C3C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0D1D58"/>
    <w:multiLevelType w:val="hybridMultilevel"/>
    <w:tmpl w:val="8E1403D6"/>
    <w:lvl w:ilvl="0" w:tplc="6870055A">
      <w:start w:val="1"/>
      <w:numFmt w:val="upperLetter"/>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6">
    <w:nsid w:val="1CDB2B63"/>
    <w:multiLevelType w:val="hybridMultilevel"/>
    <w:tmpl w:val="57FCC42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367B41BB"/>
    <w:multiLevelType w:val="hybridMultilevel"/>
    <w:tmpl w:val="77825BC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nsid w:val="37EE5CCF"/>
    <w:multiLevelType w:val="hybridMultilevel"/>
    <w:tmpl w:val="7DA230F6"/>
    <w:lvl w:ilvl="0" w:tplc="44A4B1E4">
      <w:start w:val="1"/>
      <w:numFmt w:val="decimal"/>
      <w:lvlText w:val="[%1]"/>
      <w:lvlJc w:val="righ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7F67E3"/>
    <w:multiLevelType w:val="hybridMultilevel"/>
    <w:tmpl w:val="81CAB968"/>
    <w:lvl w:ilvl="0" w:tplc="B66A713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E95DF6"/>
    <w:multiLevelType w:val="hybridMultilevel"/>
    <w:tmpl w:val="B3928190"/>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E74BC8"/>
    <w:multiLevelType w:val="hybridMultilevel"/>
    <w:tmpl w:val="DB3E68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7F250C4"/>
    <w:multiLevelType w:val="hybridMultilevel"/>
    <w:tmpl w:val="68ECC3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5"/>
  </w:num>
  <w:num w:numId="4">
    <w:abstractNumId w:val="12"/>
  </w:num>
  <w:num w:numId="5">
    <w:abstractNumId w:val="13"/>
  </w:num>
  <w:num w:numId="6">
    <w:abstractNumId w:val="8"/>
  </w:num>
  <w:num w:numId="7">
    <w:abstractNumId w:val="11"/>
  </w:num>
  <w:num w:numId="8">
    <w:abstractNumId w:val="8"/>
  </w:num>
  <w:num w:numId="9">
    <w:abstractNumId w:val="3"/>
  </w:num>
  <w:num w:numId="10">
    <w:abstractNumId w:val="7"/>
  </w:num>
  <w:num w:numId="11">
    <w:abstractNumId w:val="4"/>
  </w:num>
  <w:num w:numId="12">
    <w:abstractNumId w:val="1"/>
  </w:num>
  <w:num w:numId="13">
    <w:abstractNumId w:val="5"/>
  </w:num>
  <w:num w:numId="14">
    <w:abstractNumId w:val="9"/>
  </w:num>
  <w:num w:numId="15">
    <w:abstractNumId w:val="6"/>
  </w:num>
  <w:num w:numId="16">
    <w:abstractNumId w:val="16"/>
  </w:num>
  <w:num w:numId="17">
    <w:abstractNumId w:val="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02A47"/>
    <w:rsid w:val="000458BC"/>
    <w:rsid w:val="00045C41"/>
    <w:rsid w:val="00046C03"/>
    <w:rsid w:val="0007614F"/>
    <w:rsid w:val="000925D9"/>
    <w:rsid w:val="000A166A"/>
    <w:rsid w:val="000B1C6B"/>
    <w:rsid w:val="000B4FF9"/>
    <w:rsid w:val="000C09AC"/>
    <w:rsid w:val="000C133C"/>
    <w:rsid w:val="000E00F3"/>
    <w:rsid w:val="000F158C"/>
    <w:rsid w:val="00102F3D"/>
    <w:rsid w:val="0012141F"/>
    <w:rsid w:val="00124E38"/>
    <w:rsid w:val="0012580B"/>
    <w:rsid w:val="00125B1E"/>
    <w:rsid w:val="00131F90"/>
    <w:rsid w:val="0013526E"/>
    <w:rsid w:val="001709E8"/>
    <w:rsid w:val="00171371"/>
    <w:rsid w:val="00175A24"/>
    <w:rsid w:val="00187E58"/>
    <w:rsid w:val="00195C1A"/>
    <w:rsid w:val="001A297E"/>
    <w:rsid w:val="001A368E"/>
    <w:rsid w:val="001A7329"/>
    <w:rsid w:val="001A7887"/>
    <w:rsid w:val="001B4E28"/>
    <w:rsid w:val="001C3525"/>
    <w:rsid w:val="001D1BD2"/>
    <w:rsid w:val="001E02BE"/>
    <w:rsid w:val="001E3B37"/>
    <w:rsid w:val="001F2594"/>
    <w:rsid w:val="002055A6"/>
    <w:rsid w:val="00206460"/>
    <w:rsid w:val="002069B4"/>
    <w:rsid w:val="00215DFC"/>
    <w:rsid w:val="002212DF"/>
    <w:rsid w:val="00222CD4"/>
    <w:rsid w:val="002259DC"/>
    <w:rsid w:val="002264A6"/>
    <w:rsid w:val="00226D6A"/>
    <w:rsid w:val="00227BA7"/>
    <w:rsid w:val="00254220"/>
    <w:rsid w:val="00263398"/>
    <w:rsid w:val="00264594"/>
    <w:rsid w:val="00275BCF"/>
    <w:rsid w:val="00292257"/>
    <w:rsid w:val="002A54DD"/>
    <w:rsid w:val="002A54E0"/>
    <w:rsid w:val="002A6455"/>
    <w:rsid w:val="002B1595"/>
    <w:rsid w:val="002B191D"/>
    <w:rsid w:val="002D0AF6"/>
    <w:rsid w:val="002F164D"/>
    <w:rsid w:val="00306206"/>
    <w:rsid w:val="00317D85"/>
    <w:rsid w:val="00327C56"/>
    <w:rsid w:val="003315A1"/>
    <w:rsid w:val="003373EC"/>
    <w:rsid w:val="00342FF4"/>
    <w:rsid w:val="003706CC"/>
    <w:rsid w:val="00377710"/>
    <w:rsid w:val="00390545"/>
    <w:rsid w:val="00391554"/>
    <w:rsid w:val="003941AC"/>
    <w:rsid w:val="003A2D8E"/>
    <w:rsid w:val="003A7467"/>
    <w:rsid w:val="003C20E4"/>
    <w:rsid w:val="003E6F90"/>
    <w:rsid w:val="003E71BC"/>
    <w:rsid w:val="003F5D0F"/>
    <w:rsid w:val="00414101"/>
    <w:rsid w:val="00433DDB"/>
    <w:rsid w:val="00437619"/>
    <w:rsid w:val="00471BAA"/>
    <w:rsid w:val="004A2A63"/>
    <w:rsid w:val="004B210C"/>
    <w:rsid w:val="004C0B4D"/>
    <w:rsid w:val="004D405F"/>
    <w:rsid w:val="004E4F4F"/>
    <w:rsid w:val="004E6789"/>
    <w:rsid w:val="004F2062"/>
    <w:rsid w:val="004F3CDC"/>
    <w:rsid w:val="004F61E3"/>
    <w:rsid w:val="004F7485"/>
    <w:rsid w:val="00501CBD"/>
    <w:rsid w:val="00504116"/>
    <w:rsid w:val="00506600"/>
    <w:rsid w:val="0051015C"/>
    <w:rsid w:val="00516CF1"/>
    <w:rsid w:val="00531AE9"/>
    <w:rsid w:val="00550A66"/>
    <w:rsid w:val="005534DB"/>
    <w:rsid w:val="005673D8"/>
    <w:rsid w:val="00567EC7"/>
    <w:rsid w:val="00570013"/>
    <w:rsid w:val="005801A2"/>
    <w:rsid w:val="00591B46"/>
    <w:rsid w:val="005952A5"/>
    <w:rsid w:val="005A33A1"/>
    <w:rsid w:val="005B217D"/>
    <w:rsid w:val="005B3FFE"/>
    <w:rsid w:val="005C2E14"/>
    <w:rsid w:val="005C385F"/>
    <w:rsid w:val="005D500D"/>
    <w:rsid w:val="005E1AC6"/>
    <w:rsid w:val="005F5100"/>
    <w:rsid w:val="005F6F1B"/>
    <w:rsid w:val="00624B33"/>
    <w:rsid w:val="00630AA2"/>
    <w:rsid w:val="00641FAA"/>
    <w:rsid w:val="00646707"/>
    <w:rsid w:val="00662E58"/>
    <w:rsid w:val="00664DCF"/>
    <w:rsid w:val="006932CC"/>
    <w:rsid w:val="006C5D39"/>
    <w:rsid w:val="006E2810"/>
    <w:rsid w:val="006E5417"/>
    <w:rsid w:val="006E70AC"/>
    <w:rsid w:val="007124A2"/>
    <w:rsid w:val="00712F60"/>
    <w:rsid w:val="00720E3B"/>
    <w:rsid w:val="00745F6B"/>
    <w:rsid w:val="0075585E"/>
    <w:rsid w:val="00770571"/>
    <w:rsid w:val="007768FF"/>
    <w:rsid w:val="007824D3"/>
    <w:rsid w:val="00796EE3"/>
    <w:rsid w:val="007A4C0F"/>
    <w:rsid w:val="007A7D29"/>
    <w:rsid w:val="007B4AB8"/>
    <w:rsid w:val="007B6548"/>
    <w:rsid w:val="007D22AB"/>
    <w:rsid w:val="007D4ACC"/>
    <w:rsid w:val="007D6656"/>
    <w:rsid w:val="007F1F8B"/>
    <w:rsid w:val="007F67A1"/>
    <w:rsid w:val="00807BA7"/>
    <w:rsid w:val="00811C05"/>
    <w:rsid w:val="008206C8"/>
    <w:rsid w:val="00874A6C"/>
    <w:rsid w:val="00876C65"/>
    <w:rsid w:val="00883C51"/>
    <w:rsid w:val="008A4B4C"/>
    <w:rsid w:val="008C239F"/>
    <w:rsid w:val="008C64EA"/>
    <w:rsid w:val="008E480C"/>
    <w:rsid w:val="008F4DEA"/>
    <w:rsid w:val="008F6FCC"/>
    <w:rsid w:val="008F7C01"/>
    <w:rsid w:val="00903EF5"/>
    <w:rsid w:val="00907757"/>
    <w:rsid w:val="009212B0"/>
    <w:rsid w:val="009234A5"/>
    <w:rsid w:val="009336F7"/>
    <w:rsid w:val="009374A7"/>
    <w:rsid w:val="00943C28"/>
    <w:rsid w:val="00955F9D"/>
    <w:rsid w:val="0098431B"/>
    <w:rsid w:val="0098551D"/>
    <w:rsid w:val="00993D92"/>
    <w:rsid w:val="0099518F"/>
    <w:rsid w:val="009A523D"/>
    <w:rsid w:val="009D6826"/>
    <w:rsid w:val="009F496B"/>
    <w:rsid w:val="009F4D52"/>
    <w:rsid w:val="00A01439"/>
    <w:rsid w:val="00A02E61"/>
    <w:rsid w:val="00A05CFF"/>
    <w:rsid w:val="00A34582"/>
    <w:rsid w:val="00A56B97"/>
    <w:rsid w:val="00A6093D"/>
    <w:rsid w:val="00A76A6D"/>
    <w:rsid w:val="00A7791A"/>
    <w:rsid w:val="00A80F1E"/>
    <w:rsid w:val="00A83253"/>
    <w:rsid w:val="00A95D5D"/>
    <w:rsid w:val="00AA0F51"/>
    <w:rsid w:val="00AA6E84"/>
    <w:rsid w:val="00AB07EB"/>
    <w:rsid w:val="00AD3034"/>
    <w:rsid w:val="00AE341B"/>
    <w:rsid w:val="00AE4B90"/>
    <w:rsid w:val="00B06333"/>
    <w:rsid w:val="00B07CA7"/>
    <w:rsid w:val="00B11F0D"/>
    <w:rsid w:val="00B1279A"/>
    <w:rsid w:val="00B206DA"/>
    <w:rsid w:val="00B43C72"/>
    <w:rsid w:val="00B44166"/>
    <w:rsid w:val="00B5222E"/>
    <w:rsid w:val="00B61C96"/>
    <w:rsid w:val="00B648FD"/>
    <w:rsid w:val="00B64F81"/>
    <w:rsid w:val="00B73A2A"/>
    <w:rsid w:val="00B949EE"/>
    <w:rsid w:val="00B94B06"/>
    <w:rsid w:val="00B94C28"/>
    <w:rsid w:val="00BB6434"/>
    <w:rsid w:val="00BC10BA"/>
    <w:rsid w:val="00BC5AFD"/>
    <w:rsid w:val="00BD58A2"/>
    <w:rsid w:val="00BF1B93"/>
    <w:rsid w:val="00C04F43"/>
    <w:rsid w:val="00C0609D"/>
    <w:rsid w:val="00C06456"/>
    <w:rsid w:val="00C115AB"/>
    <w:rsid w:val="00C13EE1"/>
    <w:rsid w:val="00C30249"/>
    <w:rsid w:val="00C36813"/>
    <w:rsid w:val="00C3723B"/>
    <w:rsid w:val="00C606C9"/>
    <w:rsid w:val="00C64FC4"/>
    <w:rsid w:val="00C80288"/>
    <w:rsid w:val="00C82B04"/>
    <w:rsid w:val="00C84003"/>
    <w:rsid w:val="00C90650"/>
    <w:rsid w:val="00C97D78"/>
    <w:rsid w:val="00CC2AAE"/>
    <w:rsid w:val="00CC5A42"/>
    <w:rsid w:val="00CD0EAB"/>
    <w:rsid w:val="00CF34DB"/>
    <w:rsid w:val="00CF558F"/>
    <w:rsid w:val="00D03AAC"/>
    <w:rsid w:val="00D073E2"/>
    <w:rsid w:val="00D37F03"/>
    <w:rsid w:val="00D446EC"/>
    <w:rsid w:val="00D51BF0"/>
    <w:rsid w:val="00D55942"/>
    <w:rsid w:val="00D648D1"/>
    <w:rsid w:val="00D72D0F"/>
    <w:rsid w:val="00D7562A"/>
    <w:rsid w:val="00D807BF"/>
    <w:rsid w:val="00D82FCC"/>
    <w:rsid w:val="00D9144A"/>
    <w:rsid w:val="00DA7406"/>
    <w:rsid w:val="00DA7887"/>
    <w:rsid w:val="00DB2645"/>
    <w:rsid w:val="00DB2C26"/>
    <w:rsid w:val="00DB7477"/>
    <w:rsid w:val="00DD6D4D"/>
    <w:rsid w:val="00DE035D"/>
    <w:rsid w:val="00DE6B43"/>
    <w:rsid w:val="00E03266"/>
    <w:rsid w:val="00E11923"/>
    <w:rsid w:val="00E26176"/>
    <w:rsid w:val="00E262D4"/>
    <w:rsid w:val="00E310F3"/>
    <w:rsid w:val="00E36250"/>
    <w:rsid w:val="00E5322D"/>
    <w:rsid w:val="00E54511"/>
    <w:rsid w:val="00E55841"/>
    <w:rsid w:val="00E61DAC"/>
    <w:rsid w:val="00E710CF"/>
    <w:rsid w:val="00E72B80"/>
    <w:rsid w:val="00E75FE3"/>
    <w:rsid w:val="00E86C4C"/>
    <w:rsid w:val="00E87FED"/>
    <w:rsid w:val="00EB7AB1"/>
    <w:rsid w:val="00EC35F9"/>
    <w:rsid w:val="00EF48CC"/>
    <w:rsid w:val="00EF7D51"/>
    <w:rsid w:val="00F3209B"/>
    <w:rsid w:val="00F67403"/>
    <w:rsid w:val="00F71D98"/>
    <w:rsid w:val="00F73032"/>
    <w:rsid w:val="00F75DE6"/>
    <w:rsid w:val="00F848FC"/>
    <w:rsid w:val="00F9282A"/>
    <w:rsid w:val="00F96BAD"/>
    <w:rsid w:val="00FB0E84"/>
    <w:rsid w:val="00FB49A3"/>
    <w:rsid w:val="00FB6BA1"/>
    <w:rsid w:val="00FD01C2"/>
    <w:rsid w:val="00FD5143"/>
    <w:rsid w:val="00FF0CE3"/>
    <w:rsid w:val="00FF2115"/>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SG"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F3CDC"/>
    <w:pPr>
      <w:tabs>
        <w:tab w:val="center" w:pos="4320"/>
        <w:tab w:val="right" w:pos="8640"/>
      </w:tabs>
    </w:pPr>
  </w:style>
  <w:style w:type="paragraph" w:styleId="Footer">
    <w:name w:val="footer"/>
    <w:basedOn w:val="Normal"/>
    <w:rsid w:val="004F3CDC"/>
    <w:pPr>
      <w:tabs>
        <w:tab w:val="center" w:pos="4320"/>
        <w:tab w:val="right" w:pos="8640"/>
      </w:tabs>
    </w:pPr>
  </w:style>
  <w:style w:type="character" w:styleId="PageNumber">
    <w:name w:val="page number"/>
    <w:basedOn w:val="DefaultParagraphFont"/>
    <w:rsid w:val="004F3CD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basedOn w:val="DefaultParagraphFont"/>
    <w:uiPriority w:val="99"/>
    <w:unhideWhenUsed/>
    <w:rsid w:val="00591B46"/>
    <w:rPr>
      <w:sz w:val="16"/>
      <w:szCs w:val="16"/>
    </w:rPr>
  </w:style>
  <w:style w:type="paragraph" w:styleId="CommentText">
    <w:name w:val="annotation text"/>
    <w:basedOn w:val="Normal"/>
    <w:link w:val="CommentTextChar"/>
    <w:uiPriority w:val="99"/>
    <w:unhideWhenUsed/>
    <w:rsid w:val="00591B46"/>
    <w:pPr>
      <w:tabs>
        <w:tab w:val="clear" w:pos="360"/>
        <w:tab w:val="clear" w:pos="720"/>
        <w:tab w:val="clear" w:pos="1080"/>
        <w:tab w:val="clear" w:pos="1440"/>
      </w:tabs>
      <w:overflowPunct/>
      <w:autoSpaceDE/>
      <w:autoSpaceDN/>
      <w:adjustRightInd/>
      <w:spacing w:before="0" w:after="200"/>
      <w:textAlignment w:val="auto"/>
    </w:pPr>
    <w:rPr>
      <w:rFonts w:ascii="Calibri" w:hAnsi="Calibri"/>
      <w:sz w:val="20"/>
      <w:lang w:val="en-GB" w:eastAsia="zh-CN"/>
    </w:rPr>
  </w:style>
  <w:style w:type="character" w:customStyle="1" w:styleId="CommentTextChar">
    <w:name w:val="Comment Text Char"/>
    <w:basedOn w:val="DefaultParagraphFont"/>
    <w:link w:val="CommentText"/>
    <w:uiPriority w:val="99"/>
    <w:rsid w:val="00591B46"/>
    <w:rPr>
      <w:rFonts w:ascii="Calibri" w:eastAsia="Times New Roman" w:hAnsi="Calibri" w:cs="Times New Roman"/>
      <w:lang w:val="en-GB" w:eastAsia="zh-CN"/>
    </w:rPr>
  </w:style>
  <w:style w:type="paragraph" w:styleId="ListParagraph">
    <w:name w:val="List Paragraph"/>
    <w:basedOn w:val="Normal"/>
    <w:uiPriority w:val="34"/>
    <w:qFormat/>
    <w:rsid w:val="003A7467"/>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val="en-GB" w:eastAsia="zh-CN"/>
    </w:rPr>
  </w:style>
  <w:style w:type="character" w:styleId="PlaceholderText">
    <w:name w:val="Placeholder Text"/>
    <w:basedOn w:val="DefaultParagraphFont"/>
    <w:uiPriority w:val="99"/>
    <w:semiHidden/>
    <w:rsid w:val="00C36813"/>
    <w:rPr>
      <w:color w:val="808080"/>
    </w:rPr>
  </w:style>
  <w:style w:type="table" w:styleId="TableGrid">
    <w:name w:val="Table Grid"/>
    <w:basedOn w:val="TableNormal"/>
    <w:uiPriority w:val="59"/>
    <w:rsid w:val="00BB6434"/>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D648D1"/>
    <w:rPr>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380258">
      <w:bodyDiv w:val="1"/>
      <w:marLeft w:val="0"/>
      <w:marRight w:val="0"/>
      <w:marTop w:val="0"/>
      <w:marBottom w:val="0"/>
      <w:divBdr>
        <w:top w:val="none" w:sz="0" w:space="0" w:color="auto"/>
        <w:left w:val="none" w:sz="0" w:space="0" w:color="auto"/>
        <w:bottom w:val="none" w:sz="0" w:space="0" w:color="auto"/>
        <w:right w:val="none" w:sz="0" w:space="0" w:color="auto"/>
      </w:divBdr>
    </w:div>
    <w:div w:id="465244997">
      <w:bodyDiv w:val="1"/>
      <w:marLeft w:val="0"/>
      <w:marRight w:val="0"/>
      <w:marTop w:val="0"/>
      <w:marBottom w:val="0"/>
      <w:divBdr>
        <w:top w:val="none" w:sz="0" w:space="0" w:color="auto"/>
        <w:left w:val="none" w:sz="0" w:space="0" w:color="auto"/>
        <w:bottom w:val="none" w:sz="0" w:space="0" w:color="auto"/>
        <w:right w:val="none" w:sz="0" w:space="0" w:color="auto"/>
      </w:divBdr>
    </w:div>
    <w:div w:id="643001674">
      <w:bodyDiv w:val="1"/>
      <w:marLeft w:val="0"/>
      <w:marRight w:val="0"/>
      <w:marTop w:val="0"/>
      <w:marBottom w:val="0"/>
      <w:divBdr>
        <w:top w:val="none" w:sz="0" w:space="0" w:color="auto"/>
        <w:left w:val="none" w:sz="0" w:space="0" w:color="auto"/>
        <w:bottom w:val="none" w:sz="0" w:space="0" w:color="auto"/>
        <w:right w:val="none" w:sz="0" w:space="0" w:color="auto"/>
      </w:divBdr>
    </w:div>
    <w:div w:id="752700137">
      <w:bodyDiv w:val="1"/>
      <w:marLeft w:val="0"/>
      <w:marRight w:val="0"/>
      <w:marTop w:val="0"/>
      <w:marBottom w:val="0"/>
      <w:divBdr>
        <w:top w:val="none" w:sz="0" w:space="0" w:color="auto"/>
        <w:left w:val="none" w:sz="0" w:space="0" w:color="auto"/>
        <w:bottom w:val="none" w:sz="0" w:space="0" w:color="auto"/>
        <w:right w:val="none" w:sz="0" w:space="0" w:color="auto"/>
      </w:divBdr>
    </w:div>
    <w:div w:id="1148321928">
      <w:bodyDiv w:val="1"/>
      <w:marLeft w:val="0"/>
      <w:marRight w:val="0"/>
      <w:marTop w:val="0"/>
      <w:marBottom w:val="0"/>
      <w:divBdr>
        <w:top w:val="none" w:sz="0" w:space="0" w:color="auto"/>
        <w:left w:val="none" w:sz="0" w:space="0" w:color="auto"/>
        <w:bottom w:val="none" w:sz="0" w:space="0" w:color="auto"/>
        <w:right w:val="none" w:sz="0" w:space="0" w:color="auto"/>
      </w:divBdr>
    </w:div>
    <w:div w:id="1181773911">
      <w:bodyDiv w:val="1"/>
      <w:marLeft w:val="0"/>
      <w:marRight w:val="0"/>
      <w:marTop w:val="0"/>
      <w:marBottom w:val="0"/>
      <w:divBdr>
        <w:top w:val="none" w:sz="0" w:space="0" w:color="auto"/>
        <w:left w:val="none" w:sz="0" w:space="0" w:color="auto"/>
        <w:bottom w:val="none" w:sz="0" w:space="0" w:color="auto"/>
        <w:right w:val="none" w:sz="0" w:space="0" w:color="auto"/>
      </w:divBdr>
    </w:div>
    <w:div w:id="1327976434">
      <w:bodyDiv w:val="1"/>
      <w:marLeft w:val="0"/>
      <w:marRight w:val="0"/>
      <w:marTop w:val="0"/>
      <w:marBottom w:val="0"/>
      <w:divBdr>
        <w:top w:val="none" w:sz="0" w:space="0" w:color="auto"/>
        <w:left w:val="none" w:sz="0" w:space="0" w:color="auto"/>
        <w:bottom w:val="none" w:sz="0" w:space="0" w:color="auto"/>
        <w:right w:val="none" w:sz="0" w:space="0" w:color="auto"/>
      </w:divBdr>
    </w:div>
    <w:div w:id="1367490213">
      <w:bodyDiv w:val="1"/>
      <w:marLeft w:val="0"/>
      <w:marRight w:val="0"/>
      <w:marTop w:val="0"/>
      <w:marBottom w:val="0"/>
      <w:divBdr>
        <w:top w:val="none" w:sz="0" w:space="0" w:color="auto"/>
        <w:left w:val="none" w:sz="0" w:space="0" w:color="auto"/>
        <w:bottom w:val="none" w:sz="0" w:space="0" w:color="auto"/>
        <w:right w:val="none" w:sz="0" w:space="0" w:color="auto"/>
      </w:divBdr>
    </w:div>
    <w:div w:id="155604692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1708565">
      <w:bodyDiv w:val="1"/>
      <w:marLeft w:val="0"/>
      <w:marRight w:val="0"/>
      <w:marTop w:val="0"/>
      <w:marBottom w:val="0"/>
      <w:divBdr>
        <w:top w:val="none" w:sz="0" w:space="0" w:color="auto"/>
        <w:left w:val="none" w:sz="0" w:space="0" w:color="auto"/>
        <w:bottom w:val="none" w:sz="0" w:space="0" w:color="auto"/>
        <w:right w:val="none" w:sz="0" w:space="0" w:color="auto"/>
      </w:divBdr>
    </w:div>
    <w:div w:id="1810324252">
      <w:bodyDiv w:val="1"/>
      <w:marLeft w:val="0"/>
      <w:marRight w:val="0"/>
      <w:marTop w:val="0"/>
      <w:marBottom w:val="0"/>
      <w:divBdr>
        <w:top w:val="none" w:sz="0" w:space="0" w:color="auto"/>
        <w:left w:val="none" w:sz="0" w:space="0" w:color="auto"/>
        <w:bottom w:val="none" w:sz="0" w:space="0" w:color="auto"/>
        <w:right w:val="none" w:sz="0" w:space="0" w:color="auto"/>
      </w:divBdr>
    </w:div>
    <w:div w:id="1921982218">
      <w:bodyDiv w:val="1"/>
      <w:marLeft w:val="0"/>
      <w:marRight w:val="0"/>
      <w:marTop w:val="0"/>
      <w:marBottom w:val="0"/>
      <w:divBdr>
        <w:top w:val="none" w:sz="0" w:space="0" w:color="auto"/>
        <w:left w:val="none" w:sz="0" w:space="0" w:color="auto"/>
        <w:bottom w:val="none" w:sz="0" w:space="0" w:color="auto"/>
        <w:right w:val="none" w:sz="0" w:space="0" w:color="auto"/>
      </w:divBdr>
    </w:div>
    <w:div w:id="213879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hyperlink" Target="mailto:patrice.onno@crf.canon.fr"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mailto:jill@vidyo.com" TargetMode="External"/><Relationship Id="rId2" Type="http://schemas.openxmlformats.org/officeDocument/2006/relationships/styles" Target="styles.xml"/><Relationship Id="rId16" Type="http://schemas.openxmlformats.org/officeDocument/2006/relationships/hyperlink" Target="mailto:elena_a.alshina@samsung.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mailto:ali.tabatabai@am.sony.com" TargetMode="External"/><Relationship Id="rId10" Type="http://schemas.openxmlformats.org/officeDocument/2006/relationships/image" Target="media/image3.emf"/><Relationship Id="rId19" Type="http://schemas.openxmlformats.org/officeDocument/2006/relationships/hyperlink" Target="mailto:yan.ye@interdigita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4</Pages>
  <Words>615</Words>
  <Characters>3506</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Xiang Li</cp:lastModifiedBy>
  <cp:revision>20</cp:revision>
  <cp:lastPrinted>2013-01-09T00:54:00Z</cp:lastPrinted>
  <dcterms:created xsi:type="dcterms:W3CDTF">2013-01-08T06:48:00Z</dcterms:created>
  <dcterms:modified xsi:type="dcterms:W3CDTF">2013-04-13T18:55:00Z</dcterms:modified>
</cp:coreProperties>
</file>