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AD3034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bookmarkStart w:id="0" w:name="_GoBack"/>
            <w:bookmarkEnd w:id="0"/>
            <w:r>
              <w:rPr>
                <w:b/>
                <w:szCs w:val="22"/>
              </w:rPr>
              <w:pict>
                <v:group id="_x0000_s1026" style="position:absolute;left:0;text-align:left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E03266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DA7406" w:rsidRDefault="00E61DAC" w:rsidP="00E03266">
            <w:pPr>
              <w:tabs>
                <w:tab w:val="left" w:pos="7200"/>
              </w:tabs>
              <w:jc w:val="both"/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E03266">
              <w:t>M0236</w:t>
            </w:r>
          </w:p>
        </w:tc>
      </w:tr>
    </w:tbl>
    <w:p w:rsidR="00E61DAC" w:rsidRPr="00DA7406" w:rsidRDefault="00E61DAC" w:rsidP="00E03266">
      <w:pPr>
        <w:spacing w:befor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55841" w:rsidRDefault="00E03266" w:rsidP="00E03266">
            <w:pPr>
              <w:spacing w:before="60" w:after="60"/>
              <w:jc w:val="both"/>
              <w:rPr>
                <w:b/>
                <w:szCs w:val="22"/>
              </w:rPr>
            </w:pPr>
            <w:r>
              <w:rPr>
                <w:b/>
              </w:rPr>
              <w:t>SC</w:t>
            </w:r>
            <w:r w:rsidR="00E55841" w:rsidRPr="00E55841">
              <w:rPr>
                <w:b/>
              </w:rPr>
              <w:t xml:space="preserve">E3: Crosschecking of </w:t>
            </w:r>
            <w:r w:rsidRPr="00E03266">
              <w:rPr>
                <w:b/>
              </w:rPr>
              <w:t>SCE3.4 Generalized Combined Prediction</w:t>
            </w:r>
            <w:r w:rsidRPr="00E03266">
              <w:rPr>
                <w:b/>
              </w:rPr>
              <w:t xml:space="preserve"> (JCTVC-M0221)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 w:rsidP="00E03266">
      <w:pPr>
        <w:tabs>
          <w:tab w:val="left" w:pos="1800"/>
          <w:tab w:val="right" w:pos="9360"/>
        </w:tabs>
        <w:spacing w:before="120" w:after="240"/>
        <w:jc w:val="both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E03266">
      <w:pPr>
        <w:pStyle w:val="Heading1"/>
        <w:numPr>
          <w:ilvl w:val="0"/>
          <w:numId w:val="0"/>
        </w:numPr>
        <w:ind w:left="432" w:hanging="432"/>
        <w:jc w:val="both"/>
      </w:pPr>
      <w:r w:rsidRPr="00DA7406">
        <w:t>Abstract</w:t>
      </w:r>
    </w:p>
    <w:p w:rsidR="00903EF5" w:rsidRPr="00DA7406" w:rsidRDefault="001709E8" w:rsidP="00E03266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</w:t>
      </w:r>
      <w:r w:rsidR="007D4ACC">
        <w:rPr>
          <w:szCs w:val="22"/>
        </w:rPr>
        <w:t xml:space="preserve">Test 1 (2GCP) in </w:t>
      </w:r>
      <w:r w:rsidR="00B43C72">
        <w:rPr>
          <w:szCs w:val="22"/>
        </w:rPr>
        <w:t>JCTVC-</w:t>
      </w:r>
      <w:r w:rsidR="00E03266">
        <w:rPr>
          <w:szCs w:val="22"/>
        </w:rPr>
        <w:t>M0221</w:t>
      </w:r>
      <w:r w:rsidR="00B43C72">
        <w:rPr>
          <w:szCs w:val="22"/>
        </w:rPr>
        <w:t xml:space="preserve"> on </w:t>
      </w:r>
      <w:r w:rsidR="00E03266" w:rsidRPr="00E03266">
        <w:rPr>
          <w:szCs w:val="22"/>
        </w:rPr>
        <w:t>Generalized Combined Prediction</w:t>
      </w:r>
      <w:r w:rsidR="00E55841">
        <w:t xml:space="preserve"> SHVC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E03266">
      <w:pPr>
        <w:pStyle w:val="Heading1"/>
        <w:jc w:val="both"/>
      </w:pPr>
      <w:r w:rsidRPr="00DA7406">
        <w:t>Introduction</w:t>
      </w:r>
    </w:p>
    <w:p w:rsidR="00BB6434" w:rsidRDefault="00B43C72" w:rsidP="00E03266">
      <w:pPr>
        <w:jc w:val="both"/>
        <w:rPr>
          <w:szCs w:val="22"/>
        </w:rPr>
      </w:pPr>
      <w:r>
        <w:rPr>
          <w:szCs w:val="22"/>
        </w:rPr>
        <w:t xml:space="preserve">In </w:t>
      </w:r>
      <w:r w:rsidR="00E55841">
        <w:rPr>
          <w:szCs w:val="22"/>
        </w:rPr>
        <w:t>JCTVC-</w:t>
      </w:r>
      <w:r w:rsidR="00E03266">
        <w:rPr>
          <w:szCs w:val="22"/>
        </w:rPr>
        <w:t>M0221</w:t>
      </w:r>
      <w:r w:rsidR="00E55841">
        <w:rPr>
          <w:szCs w:val="22"/>
        </w:rPr>
        <w:t xml:space="preserve">, </w:t>
      </w:r>
      <w:r w:rsidR="00E03266">
        <w:rPr>
          <w:szCs w:val="22"/>
        </w:rPr>
        <w:t>generalized combined prediction (GCP) is proposed.</w:t>
      </w:r>
      <w:r w:rsidR="00BB6434">
        <w:rPr>
          <w:szCs w:val="22"/>
        </w:rPr>
        <w:t xml:space="preserve"> </w:t>
      </w:r>
    </w:p>
    <w:p w:rsidR="00E03266" w:rsidRDefault="00E03266" w:rsidP="00E03266">
      <w:pPr>
        <w:jc w:val="both"/>
        <w:rPr>
          <w:lang w:val="en-CA"/>
        </w:rPr>
      </w:pPr>
      <w:r>
        <w:rPr>
          <w:lang w:val="en-CA"/>
        </w:rPr>
        <w:t xml:space="preserve">Three GCP modes </w:t>
      </w:r>
      <w:r>
        <w:rPr>
          <w:lang w:val="en-CA"/>
        </w:rPr>
        <w:t>are proposed</w:t>
      </w:r>
      <w:r>
        <w:rPr>
          <w:lang w:val="en-CA"/>
        </w:rPr>
        <w:t>. The corresponding {</w:t>
      </w:r>
      <w:proofErr w:type="spellStart"/>
      <w:r>
        <w:rPr>
          <w:lang w:val="en-CA"/>
        </w:rPr>
        <w:t>a</w:t>
      </w:r>
      <w:proofErr w:type="gramStart"/>
      <w:r>
        <w:rPr>
          <w:lang w:val="en-CA"/>
        </w:rPr>
        <w:t>,b</w:t>
      </w:r>
      <w:proofErr w:type="spellEnd"/>
      <w:proofErr w:type="gramEnd"/>
      <w:r>
        <w:rPr>
          <w:lang w:val="en-CA"/>
        </w:rPr>
        <w:t>} weightings and the mode indices are summarized as below:</w:t>
      </w:r>
    </w:p>
    <w:p w:rsidR="00E03266" w:rsidRDefault="00E03266" w:rsidP="00E03266">
      <w:pPr>
        <w:spacing w:after="60"/>
        <w:jc w:val="center"/>
        <w:rPr>
          <w:b/>
          <w:lang w:val="en-CA"/>
        </w:rPr>
      </w:pPr>
      <w:r>
        <w:rPr>
          <w:b/>
          <w:lang w:val="en-CA"/>
        </w:rPr>
        <w:t>Table 1 GCP modes utilized in this contribution (SCE 3.4)</w:t>
      </w:r>
    </w:p>
    <w:tbl>
      <w:tblPr>
        <w:tblW w:w="8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1030"/>
        <w:gridCol w:w="5220"/>
        <w:gridCol w:w="1498"/>
      </w:tblGrid>
      <w:tr w:rsidR="00E03266" w:rsidTr="00E03266">
        <w:trPr>
          <w:jc w:val="center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GCP </w:t>
            </w:r>
            <w:r>
              <w:rPr>
                <w:b/>
                <w:sz w:val="20"/>
              </w:rPr>
              <w:br/>
              <w:t xml:space="preserve">mode </w:t>
            </w:r>
            <w:proofErr w:type="spellStart"/>
            <w:r>
              <w:rPr>
                <w:b/>
                <w:sz w:val="20"/>
              </w:rPr>
              <w:t>idx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lang w:val="en-CA"/>
              </w:rPr>
              <w:t>{</w:t>
            </w:r>
            <w:proofErr w:type="spellStart"/>
            <w:r>
              <w:rPr>
                <w:b/>
                <w:sz w:val="20"/>
                <w:lang w:val="en-CA"/>
              </w:rPr>
              <w:t>a,b</w:t>
            </w:r>
            <w:proofErr w:type="spellEnd"/>
            <w:r>
              <w:rPr>
                <w:b/>
                <w:sz w:val="20"/>
                <w:lang w:val="en-CA"/>
              </w:rPr>
              <w:t>}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b/>
                <w:sz w:val="20"/>
              </w:rPr>
            </w:pPr>
            <w:r>
              <w:rPr>
                <w:b/>
                <w:lang w:val="en-CA"/>
              </w:rPr>
              <w:t>Inter-CU predictor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Note</w:t>
            </w:r>
          </w:p>
        </w:tc>
      </w:tr>
      <w:tr w:rsidR="00E03266" w:rsidTr="00E03266">
        <w:trPr>
          <w:jc w:val="center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{0,0}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EL_pred</w:t>
            </w:r>
            <w:proofErr w:type="spellEnd"/>
            <w:r>
              <w:rPr>
                <w:sz w:val="20"/>
              </w:rPr>
              <w:t xml:space="preserve"> = </w:t>
            </w:r>
            <w:proofErr w:type="spellStart"/>
            <w:r>
              <w:rPr>
                <w:sz w:val="20"/>
                <w:lang w:val="en-CA"/>
              </w:rPr>
              <w:t>EL_ref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Normal Inter</w:t>
            </w:r>
          </w:p>
        </w:tc>
      </w:tr>
      <w:tr w:rsidR="00E03266" w:rsidTr="00E03266">
        <w:trPr>
          <w:jc w:val="center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{0, 0.5}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EL_pred</w:t>
            </w:r>
            <w:proofErr w:type="spellEnd"/>
            <w:r>
              <w:rPr>
                <w:sz w:val="20"/>
              </w:rPr>
              <w:t xml:space="preserve"> = </w:t>
            </w:r>
            <w:proofErr w:type="spellStart"/>
            <w:r>
              <w:rPr>
                <w:sz w:val="20"/>
                <w:lang w:val="en-CA"/>
              </w:rPr>
              <w:t>EL_ref</w:t>
            </w:r>
            <w:proofErr w:type="spellEnd"/>
            <w:r>
              <w:rPr>
                <w:sz w:val="20"/>
              </w:rPr>
              <w:t xml:space="preserve"> + </w:t>
            </w:r>
            <w:r>
              <w:rPr>
                <w:iCs/>
                <w:sz w:val="20"/>
              </w:rPr>
              <w:t>0.5</w:t>
            </w:r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  <w:lang w:val="en-CA"/>
              </w:rPr>
              <w:t>BL_col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  <w:lang w:val="en-CA"/>
              </w:rPr>
              <w:t>BL_ref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</w:p>
        </w:tc>
      </w:tr>
      <w:tr w:rsidR="00E03266" w:rsidTr="00E03266">
        <w:trPr>
          <w:jc w:val="center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{0.5, 0.5}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EL_pred</w:t>
            </w:r>
            <w:proofErr w:type="spellEnd"/>
            <w:r>
              <w:rPr>
                <w:sz w:val="20"/>
              </w:rPr>
              <w:t xml:space="preserve"> = </w:t>
            </w:r>
            <w:r>
              <w:rPr>
                <w:iCs/>
                <w:sz w:val="20"/>
              </w:rPr>
              <w:t>0.5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CA"/>
              </w:rPr>
              <w:t>EL_ref</w:t>
            </w:r>
            <w:proofErr w:type="spellEnd"/>
            <w:r>
              <w:rPr>
                <w:sz w:val="20"/>
              </w:rPr>
              <w:t xml:space="preserve"> + </w:t>
            </w:r>
            <w:r>
              <w:rPr>
                <w:iCs/>
                <w:sz w:val="20"/>
              </w:rPr>
              <w:t>0.5</w:t>
            </w:r>
            <w:r>
              <w:rPr>
                <w:sz w:val="20"/>
                <w:lang w:val="en-CA"/>
              </w:rPr>
              <w:t xml:space="preserve"> </w:t>
            </w:r>
            <w:proofErr w:type="spellStart"/>
            <w:r>
              <w:rPr>
                <w:sz w:val="20"/>
                <w:lang w:val="en-CA"/>
              </w:rPr>
              <w:t>BL_col</w:t>
            </w:r>
            <w:proofErr w:type="spellEnd"/>
            <w:r>
              <w:rPr>
                <w:sz w:val="20"/>
              </w:rPr>
              <w:t xml:space="preserve"> + </w:t>
            </w:r>
            <w:r>
              <w:rPr>
                <w:iCs/>
                <w:sz w:val="20"/>
              </w:rPr>
              <w:t>0.5</w:t>
            </w:r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  <w:lang w:val="en-CA"/>
              </w:rPr>
              <w:t>BL_col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  <w:lang w:val="en-CA"/>
              </w:rPr>
              <w:t>BL_ref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Inter-DIFF half</w:t>
            </w:r>
          </w:p>
        </w:tc>
      </w:tr>
      <w:tr w:rsidR="00E03266" w:rsidTr="00E03266">
        <w:trPr>
          <w:jc w:val="center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{0, 1}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EL_pred</w:t>
            </w:r>
            <w:proofErr w:type="spellEnd"/>
            <w:r>
              <w:rPr>
                <w:sz w:val="20"/>
              </w:rPr>
              <w:t xml:space="preserve"> = </w:t>
            </w:r>
            <w:proofErr w:type="spellStart"/>
            <w:r>
              <w:rPr>
                <w:sz w:val="20"/>
                <w:lang w:val="en-CA"/>
              </w:rPr>
              <w:t>EL_ref</w:t>
            </w:r>
            <w:proofErr w:type="spellEnd"/>
            <w:r>
              <w:rPr>
                <w:sz w:val="20"/>
              </w:rPr>
              <w:t xml:space="preserve"> + (</w:t>
            </w:r>
            <w:proofErr w:type="spellStart"/>
            <w:r>
              <w:rPr>
                <w:sz w:val="20"/>
                <w:lang w:val="en-CA"/>
              </w:rPr>
              <w:t>BL_col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  <w:lang w:val="en-CA"/>
              </w:rPr>
              <w:t>BL_ref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66" w:rsidRDefault="00E03266" w:rsidP="00E03266">
            <w:pPr>
              <w:spacing w:before="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>Inter-DIFF</w:t>
            </w:r>
          </w:p>
        </w:tc>
      </w:tr>
    </w:tbl>
    <w:p w:rsidR="00E03266" w:rsidRDefault="00E03266" w:rsidP="00E03266">
      <w:pPr>
        <w:jc w:val="both"/>
        <w:rPr>
          <w:lang w:val="en-CA"/>
        </w:rPr>
      </w:pPr>
      <w:r>
        <w:rPr>
          <w:lang w:val="en-CA"/>
        </w:rPr>
        <w:t xml:space="preserve">To generate </w:t>
      </w:r>
      <w:proofErr w:type="spellStart"/>
      <w:r>
        <w:rPr>
          <w:lang w:val="en-CA"/>
        </w:rPr>
        <w:t>EL_pred</w:t>
      </w:r>
      <w:proofErr w:type="spellEnd"/>
      <w:r>
        <w:rPr>
          <w:lang w:val="en-CA"/>
        </w:rPr>
        <w:t xml:space="preserve"> for GCP mode, </w:t>
      </w:r>
      <w:proofErr w:type="spellStart"/>
      <w:r>
        <w:rPr>
          <w:lang w:val="en-CA"/>
        </w:rPr>
        <w:t>upsampling</w:t>
      </w:r>
      <w:proofErr w:type="spellEnd"/>
      <w:r>
        <w:rPr>
          <w:lang w:val="en-CA"/>
        </w:rPr>
        <w:t xml:space="preserve"> is needed for BL signals and the motion compensation process has to be modified. Below the </w:t>
      </w:r>
      <w:proofErr w:type="spellStart"/>
      <w:r>
        <w:rPr>
          <w:lang w:val="en-CA"/>
        </w:rPr>
        <w:t>upsampling</w:t>
      </w:r>
      <w:proofErr w:type="spellEnd"/>
      <w:r>
        <w:rPr>
          <w:lang w:val="en-CA"/>
        </w:rPr>
        <w:t xml:space="preserve"> and motion compensation operations are analyzed using the methodology presented in the </w:t>
      </w:r>
      <w:proofErr w:type="spellStart"/>
      <w:r>
        <w:rPr>
          <w:lang w:val="en-CA"/>
        </w:rPr>
        <w:t>BoG</w:t>
      </w:r>
      <w:proofErr w:type="spellEnd"/>
      <w:r>
        <w:rPr>
          <w:lang w:val="en-CA"/>
        </w:rPr>
        <w:t xml:space="preserve"> report of SHVC complexity evaluation JCTVC-L0440</w:t>
      </w:r>
      <w:r w:rsidR="00AB07EB">
        <w:rPr>
          <w:lang w:val="en-CA"/>
        </w:rPr>
        <w:t xml:space="preserve"> </w:t>
      </w:r>
      <w:r w:rsidR="00AB07EB">
        <w:rPr>
          <w:lang w:val="en-CA"/>
        </w:rPr>
        <w:fldChar w:fldCharType="begin"/>
      </w:r>
      <w:r w:rsidR="00AB07EB">
        <w:rPr>
          <w:lang w:val="en-CA"/>
        </w:rPr>
        <w:instrText xml:space="preserve"> REF _Ref350368379 \r \h </w:instrText>
      </w:r>
      <w:r w:rsidR="00AB07EB">
        <w:rPr>
          <w:lang w:val="en-CA"/>
        </w:rPr>
      </w:r>
      <w:r w:rsidR="00AB07EB">
        <w:rPr>
          <w:lang w:val="en-CA"/>
        </w:rPr>
        <w:fldChar w:fldCharType="separate"/>
      </w:r>
      <w:r w:rsidR="00AB07EB">
        <w:rPr>
          <w:lang w:val="en-CA"/>
        </w:rPr>
        <w:t>[1]</w:t>
      </w:r>
      <w:r w:rsidR="00AB07EB">
        <w:rPr>
          <w:lang w:val="en-CA"/>
        </w:rPr>
        <w:fldChar w:fldCharType="end"/>
      </w:r>
      <w:r w:rsidR="007D4ACC">
        <w:rPr>
          <w:lang w:val="en-CA"/>
        </w:rPr>
        <w:t>.</w:t>
      </w:r>
      <w:r>
        <w:rPr>
          <w:lang w:val="en-CA"/>
        </w:rPr>
        <w:t xml:space="preserve"> </w:t>
      </w:r>
    </w:p>
    <w:p w:rsidR="00E03266" w:rsidRPr="007D4ACC" w:rsidRDefault="00E03266" w:rsidP="00E03266">
      <w:pPr>
        <w:numPr>
          <w:ilvl w:val="0"/>
          <w:numId w:val="17"/>
        </w:numPr>
        <w:jc w:val="both"/>
        <w:textAlignment w:val="auto"/>
        <w:rPr>
          <w:u w:val="single"/>
          <w:lang w:val="en-CA"/>
        </w:rPr>
      </w:pPr>
      <w:r w:rsidRPr="007D4ACC">
        <w:rPr>
          <w:u w:val="single"/>
          <w:lang w:val="en-CA"/>
        </w:rPr>
        <w:t>GCP mode 1: {</w:t>
      </w:r>
      <w:proofErr w:type="spellStart"/>
      <w:r w:rsidRPr="007D4ACC">
        <w:rPr>
          <w:u w:val="single"/>
          <w:lang w:val="en-CA"/>
        </w:rPr>
        <w:t>a,b</w:t>
      </w:r>
      <w:proofErr w:type="spellEnd"/>
      <w:r w:rsidRPr="007D4ACC">
        <w:rPr>
          <w:u w:val="single"/>
          <w:lang w:val="en-CA"/>
        </w:rPr>
        <w:t>} = {0,0.5}</w:t>
      </w:r>
    </w:p>
    <w:p w:rsidR="00E03266" w:rsidRPr="007D4ACC" w:rsidRDefault="00E03266" w:rsidP="00E03266">
      <w:pPr>
        <w:spacing w:before="0"/>
        <w:jc w:val="both"/>
        <w:rPr>
          <w:sz w:val="20"/>
        </w:rPr>
      </w:pPr>
      <w:r w:rsidRPr="007D4ACC">
        <w:rPr>
          <w:sz w:val="20"/>
        </w:rPr>
        <w:tab/>
      </w:r>
      <w:proofErr w:type="spellStart"/>
      <w:r w:rsidRPr="007D4ACC">
        <w:rPr>
          <w:sz w:val="20"/>
        </w:rPr>
        <w:t>EL_pred</w:t>
      </w:r>
      <w:proofErr w:type="spellEnd"/>
      <w:r w:rsidRPr="007D4ACC">
        <w:rPr>
          <w:sz w:val="20"/>
        </w:rPr>
        <w:t xml:space="preserve"> = </w:t>
      </w:r>
      <w:proofErr w:type="spellStart"/>
      <w:r w:rsidRPr="007D4ACC">
        <w:rPr>
          <w:sz w:val="20"/>
          <w:lang w:val="en-CA"/>
        </w:rPr>
        <w:t>EL_ref</w:t>
      </w:r>
      <w:proofErr w:type="spellEnd"/>
      <w:r w:rsidRPr="007D4ACC">
        <w:rPr>
          <w:sz w:val="20"/>
        </w:rPr>
        <w:t xml:space="preserve"> + </w:t>
      </w:r>
      <w:r w:rsidRPr="007D4ACC">
        <w:rPr>
          <w:iCs/>
          <w:sz w:val="20"/>
        </w:rPr>
        <w:t>0.5</w:t>
      </w:r>
      <w:r w:rsidRPr="007D4ACC">
        <w:rPr>
          <w:sz w:val="20"/>
        </w:rPr>
        <w:t xml:space="preserve"> (</w:t>
      </w:r>
      <w:proofErr w:type="spellStart"/>
      <w:r w:rsidRPr="007D4ACC">
        <w:rPr>
          <w:sz w:val="20"/>
          <w:lang w:val="en-CA"/>
        </w:rPr>
        <w:t>BL_col</w:t>
      </w:r>
      <w:proofErr w:type="spellEnd"/>
      <w:r w:rsidRPr="007D4ACC">
        <w:rPr>
          <w:sz w:val="20"/>
        </w:rPr>
        <w:t xml:space="preserve"> – </w:t>
      </w:r>
      <w:proofErr w:type="spellStart"/>
      <w:r w:rsidRPr="007D4ACC">
        <w:rPr>
          <w:sz w:val="20"/>
          <w:lang w:val="en-CA"/>
        </w:rPr>
        <w:t>BL_ref</w:t>
      </w:r>
      <w:proofErr w:type="spellEnd"/>
      <w:r w:rsidRPr="007D4ACC">
        <w:rPr>
          <w:sz w:val="20"/>
        </w:rPr>
        <w:t xml:space="preserve">) </w:t>
      </w:r>
    </w:p>
    <w:p w:rsidR="00E03266" w:rsidRPr="007D4ACC" w:rsidRDefault="00E03266" w:rsidP="00E03266">
      <w:pPr>
        <w:spacing w:before="0"/>
        <w:jc w:val="both"/>
        <w:rPr>
          <w:sz w:val="20"/>
        </w:rPr>
      </w:pPr>
      <w:r w:rsidRPr="007D4ACC">
        <w:rPr>
          <w:sz w:val="20"/>
        </w:rPr>
        <w:tab/>
      </w:r>
      <w:r w:rsidRPr="007D4ACC">
        <w:rPr>
          <w:sz w:val="20"/>
        </w:rPr>
        <w:tab/>
      </w:r>
      <w:r w:rsidRPr="007D4ACC">
        <w:rPr>
          <w:sz w:val="20"/>
        </w:rPr>
        <w:tab/>
        <w:t xml:space="preserve"> = </w:t>
      </w:r>
      <w:r w:rsidRPr="007D4ACC">
        <w:rPr>
          <w:iCs/>
          <w:sz w:val="20"/>
        </w:rPr>
        <w:t>0.5</w:t>
      </w:r>
      <w:r w:rsidRPr="007D4ACC">
        <w:rPr>
          <w:sz w:val="20"/>
        </w:rPr>
        <w:t xml:space="preserve"> </w:t>
      </w:r>
      <w:proofErr w:type="spellStart"/>
      <w:r w:rsidRPr="007D4ACC">
        <w:rPr>
          <w:sz w:val="20"/>
          <w:lang w:val="en-CA"/>
        </w:rPr>
        <w:t>BL_col</w:t>
      </w:r>
      <w:proofErr w:type="spellEnd"/>
      <w:r w:rsidRPr="007D4ACC">
        <w:rPr>
          <w:sz w:val="20"/>
        </w:rPr>
        <w:t xml:space="preserve"> + (</w:t>
      </w:r>
      <w:proofErr w:type="spellStart"/>
      <w:r w:rsidRPr="007D4ACC">
        <w:rPr>
          <w:sz w:val="20"/>
          <w:lang w:val="en-CA"/>
        </w:rPr>
        <w:t>EL_ref</w:t>
      </w:r>
      <w:proofErr w:type="spellEnd"/>
      <w:r w:rsidRPr="007D4ACC">
        <w:rPr>
          <w:sz w:val="20"/>
          <w:lang w:val="en-CA"/>
        </w:rPr>
        <w:t xml:space="preserve"> - </w:t>
      </w:r>
      <w:r w:rsidRPr="007D4ACC">
        <w:rPr>
          <w:iCs/>
          <w:sz w:val="20"/>
        </w:rPr>
        <w:t>0.5</w:t>
      </w:r>
      <w:r w:rsidRPr="007D4ACC">
        <w:rPr>
          <w:sz w:val="20"/>
          <w:lang w:val="en-CA"/>
        </w:rPr>
        <w:t xml:space="preserve"> </w:t>
      </w:r>
      <w:proofErr w:type="spellStart"/>
      <w:r w:rsidRPr="007D4ACC">
        <w:rPr>
          <w:sz w:val="20"/>
          <w:lang w:val="en-CA"/>
        </w:rPr>
        <w:t>BL_ref</w:t>
      </w:r>
      <w:proofErr w:type="spellEnd"/>
      <w:r w:rsidRPr="007D4ACC">
        <w:rPr>
          <w:sz w:val="20"/>
          <w:lang w:val="en-CA"/>
        </w:rPr>
        <w:t xml:space="preserve">) </w:t>
      </w:r>
    </w:p>
    <w:p w:rsidR="00E03266" w:rsidRPr="007D4ACC" w:rsidRDefault="00E03266" w:rsidP="00E03266">
      <w:pPr>
        <w:spacing w:before="0"/>
        <w:jc w:val="both"/>
        <w:rPr>
          <w:sz w:val="20"/>
          <w:lang w:val="en-CA"/>
        </w:rPr>
      </w:pPr>
      <w:r w:rsidRPr="007D4ACC">
        <w:rPr>
          <w:sz w:val="20"/>
          <w:lang w:val="en-CA"/>
        </w:rPr>
        <w:tab/>
        <w:t xml:space="preserve">Complexity operations: </w:t>
      </w:r>
    </w:p>
    <w:p w:rsidR="00E03266" w:rsidRPr="007D4ACC" w:rsidRDefault="00E03266" w:rsidP="00E03266">
      <w:pPr>
        <w:spacing w:before="0"/>
        <w:jc w:val="both"/>
        <w:rPr>
          <w:sz w:val="20"/>
          <w:lang w:val="en-CA"/>
        </w:rPr>
      </w:pPr>
      <w:r w:rsidRPr="007D4ACC">
        <w:rPr>
          <w:sz w:val="20"/>
          <w:lang w:val="en-CA"/>
        </w:rPr>
        <w:tab/>
      </w:r>
      <w:proofErr w:type="spellStart"/>
      <w:r w:rsidRPr="007D4ACC">
        <w:rPr>
          <w:sz w:val="20"/>
        </w:rPr>
        <w:t>EL_pred</w:t>
      </w:r>
      <w:proofErr w:type="spellEnd"/>
      <w:r w:rsidRPr="007D4ACC">
        <w:rPr>
          <w:sz w:val="20"/>
        </w:rPr>
        <w:t xml:space="preserve"> = </w:t>
      </w:r>
      <w:r w:rsidRPr="007D4ACC">
        <w:rPr>
          <w:iCs/>
          <w:sz w:val="20"/>
        </w:rPr>
        <w:t>0.5</w:t>
      </w:r>
      <w:r w:rsidRPr="007D4ACC">
        <w:rPr>
          <w:sz w:val="20"/>
        </w:rPr>
        <w:t xml:space="preserve"> UP1 {</w:t>
      </w:r>
      <w:proofErr w:type="spellStart"/>
      <w:r w:rsidRPr="007D4ACC">
        <w:rPr>
          <w:sz w:val="20"/>
          <w:lang w:val="en-CA"/>
        </w:rPr>
        <w:t>BL_col</w:t>
      </w:r>
      <w:proofErr w:type="spellEnd"/>
      <w:r w:rsidRPr="007D4ACC">
        <w:rPr>
          <w:sz w:val="20"/>
          <w:lang w:val="en-CA"/>
        </w:rPr>
        <w:t>}</w:t>
      </w:r>
      <w:r w:rsidRPr="007D4ACC">
        <w:rPr>
          <w:sz w:val="20"/>
        </w:rPr>
        <w:t xml:space="preserve"> + MC1 [(</w:t>
      </w:r>
      <w:proofErr w:type="spellStart"/>
      <w:r w:rsidRPr="007D4ACC">
        <w:rPr>
          <w:sz w:val="20"/>
          <w:lang w:val="en-CA"/>
        </w:rPr>
        <w:t>EL_ref</w:t>
      </w:r>
      <w:proofErr w:type="spellEnd"/>
      <w:r w:rsidRPr="007D4ACC">
        <w:rPr>
          <w:sz w:val="20"/>
          <w:lang w:val="en-CA"/>
        </w:rPr>
        <w:t xml:space="preserve"> - </w:t>
      </w:r>
      <w:r w:rsidRPr="007D4ACC">
        <w:rPr>
          <w:iCs/>
          <w:sz w:val="20"/>
        </w:rPr>
        <w:t>0.5</w:t>
      </w:r>
      <w:r w:rsidRPr="007D4ACC">
        <w:rPr>
          <w:sz w:val="20"/>
          <w:lang w:val="en-CA"/>
        </w:rPr>
        <w:t xml:space="preserve"> UP2 {</w:t>
      </w:r>
      <w:proofErr w:type="spellStart"/>
      <w:r w:rsidRPr="007D4ACC">
        <w:rPr>
          <w:sz w:val="20"/>
          <w:lang w:val="en-CA"/>
        </w:rPr>
        <w:t>BL_ref</w:t>
      </w:r>
      <w:proofErr w:type="spellEnd"/>
      <w:r w:rsidRPr="007D4ACC">
        <w:rPr>
          <w:sz w:val="20"/>
          <w:lang w:val="en-CA"/>
        </w:rPr>
        <w:t xml:space="preserve">}), </w:t>
      </w:r>
      <w:proofErr w:type="spellStart"/>
      <w:r w:rsidRPr="007D4ACC">
        <w:rPr>
          <w:sz w:val="20"/>
          <w:lang w:val="en-CA"/>
        </w:rPr>
        <w:t>EL_motion</w:t>
      </w:r>
      <w:proofErr w:type="spellEnd"/>
      <w:r w:rsidRPr="007D4ACC">
        <w:rPr>
          <w:sz w:val="20"/>
          <w:lang w:val="en-CA"/>
        </w:rPr>
        <w:t>]</w:t>
      </w:r>
    </w:p>
    <w:p w:rsidR="00E03266" w:rsidRPr="007D4ACC" w:rsidRDefault="00E03266" w:rsidP="00E03266">
      <w:pPr>
        <w:numPr>
          <w:ilvl w:val="0"/>
          <w:numId w:val="17"/>
        </w:numPr>
        <w:jc w:val="both"/>
        <w:textAlignment w:val="auto"/>
        <w:rPr>
          <w:u w:val="single"/>
          <w:lang w:val="en-CA"/>
        </w:rPr>
      </w:pPr>
      <w:r w:rsidRPr="007D4ACC">
        <w:rPr>
          <w:u w:val="single"/>
          <w:lang w:val="en-CA"/>
        </w:rPr>
        <w:t>GCP mode 2: {</w:t>
      </w:r>
      <w:proofErr w:type="spellStart"/>
      <w:r w:rsidRPr="007D4ACC">
        <w:rPr>
          <w:u w:val="single"/>
          <w:lang w:val="en-CA"/>
        </w:rPr>
        <w:t>a,b</w:t>
      </w:r>
      <w:proofErr w:type="spellEnd"/>
      <w:r w:rsidRPr="007D4ACC">
        <w:rPr>
          <w:u w:val="single"/>
          <w:lang w:val="en-CA"/>
        </w:rPr>
        <w:t>} = {0.5,0.5}</w:t>
      </w:r>
    </w:p>
    <w:p w:rsidR="00E03266" w:rsidRPr="007D4ACC" w:rsidRDefault="00E03266" w:rsidP="00E03266">
      <w:pPr>
        <w:spacing w:before="0"/>
        <w:jc w:val="both"/>
        <w:rPr>
          <w:sz w:val="20"/>
        </w:rPr>
      </w:pPr>
      <w:r w:rsidRPr="007D4ACC">
        <w:rPr>
          <w:sz w:val="20"/>
        </w:rPr>
        <w:tab/>
      </w:r>
      <w:proofErr w:type="spellStart"/>
      <w:r w:rsidRPr="007D4ACC">
        <w:rPr>
          <w:sz w:val="20"/>
        </w:rPr>
        <w:t>EL_pred</w:t>
      </w:r>
      <w:proofErr w:type="spellEnd"/>
      <w:r w:rsidRPr="007D4ACC">
        <w:rPr>
          <w:sz w:val="20"/>
        </w:rPr>
        <w:t xml:space="preserve"> = </w:t>
      </w:r>
      <w:r w:rsidRPr="007D4ACC">
        <w:rPr>
          <w:iCs/>
          <w:sz w:val="20"/>
        </w:rPr>
        <w:t>0.5</w:t>
      </w:r>
      <w:r w:rsidRPr="007D4ACC">
        <w:rPr>
          <w:sz w:val="20"/>
        </w:rPr>
        <w:t xml:space="preserve"> </w:t>
      </w:r>
      <w:proofErr w:type="spellStart"/>
      <w:r w:rsidRPr="007D4ACC">
        <w:rPr>
          <w:sz w:val="20"/>
          <w:lang w:val="en-CA"/>
        </w:rPr>
        <w:t>EL_ref</w:t>
      </w:r>
      <w:proofErr w:type="spellEnd"/>
      <w:r w:rsidRPr="007D4ACC">
        <w:rPr>
          <w:sz w:val="20"/>
        </w:rPr>
        <w:t xml:space="preserve"> + </w:t>
      </w:r>
      <w:proofErr w:type="gramStart"/>
      <w:r w:rsidRPr="007D4ACC">
        <w:rPr>
          <w:iCs/>
          <w:sz w:val="20"/>
        </w:rPr>
        <w:t>0.5</w:t>
      </w:r>
      <w:r w:rsidRPr="007D4ACC">
        <w:rPr>
          <w:sz w:val="20"/>
        </w:rPr>
        <w:t xml:space="preserve"> </w:t>
      </w:r>
      <w:r w:rsidRPr="007D4ACC">
        <w:rPr>
          <w:sz w:val="20"/>
          <w:lang w:val="en-CA"/>
        </w:rPr>
        <w:t xml:space="preserve"> </w:t>
      </w:r>
      <w:proofErr w:type="spellStart"/>
      <w:r w:rsidRPr="007D4ACC">
        <w:rPr>
          <w:sz w:val="20"/>
          <w:lang w:val="en-CA"/>
        </w:rPr>
        <w:t>BL</w:t>
      </w:r>
      <w:proofErr w:type="gramEnd"/>
      <w:r w:rsidRPr="007D4ACC">
        <w:rPr>
          <w:sz w:val="20"/>
          <w:lang w:val="en-CA"/>
        </w:rPr>
        <w:t>_col</w:t>
      </w:r>
      <w:proofErr w:type="spellEnd"/>
      <w:r w:rsidRPr="007D4ACC">
        <w:rPr>
          <w:sz w:val="20"/>
        </w:rPr>
        <w:t xml:space="preserve"> + </w:t>
      </w:r>
      <w:r w:rsidRPr="007D4ACC">
        <w:rPr>
          <w:iCs/>
          <w:sz w:val="20"/>
        </w:rPr>
        <w:t>0.5</w:t>
      </w:r>
      <w:r w:rsidRPr="007D4ACC">
        <w:rPr>
          <w:sz w:val="20"/>
        </w:rPr>
        <w:t xml:space="preserve">  (</w:t>
      </w:r>
      <w:proofErr w:type="spellStart"/>
      <w:r w:rsidRPr="007D4ACC">
        <w:rPr>
          <w:sz w:val="20"/>
          <w:lang w:val="en-CA"/>
        </w:rPr>
        <w:t>BL_col</w:t>
      </w:r>
      <w:proofErr w:type="spellEnd"/>
      <w:r w:rsidRPr="007D4ACC">
        <w:rPr>
          <w:sz w:val="20"/>
        </w:rPr>
        <w:t xml:space="preserve"> – </w:t>
      </w:r>
      <w:proofErr w:type="spellStart"/>
      <w:r w:rsidRPr="007D4ACC">
        <w:rPr>
          <w:sz w:val="20"/>
          <w:lang w:val="en-CA"/>
        </w:rPr>
        <w:t>BL_ref</w:t>
      </w:r>
      <w:proofErr w:type="spellEnd"/>
      <w:r w:rsidRPr="007D4ACC">
        <w:rPr>
          <w:sz w:val="20"/>
        </w:rPr>
        <w:t>)</w:t>
      </w:r>
    </w:p>
    <w:p w:rsidR="00E03266" w:rsidRPr="007D4ACC" w:rsidRDefault="00E03266" w:rsidP="00E03266">
      <w:pPr>
        <w:spacing w:before="0"/>
        <w:jc w:val="both"/>
        <w:rPr>
          <w:sz w:val="20"/>
        </w:rPr>
      </w:pPr>
      <w:r w:rsidRPr="007D4ACC">
        <w:rPr>
          <w:sz w:val="20"/>
        </w:rPr>
        <w:tab/>
      </w:r>
      <w:r w:rsidRPr="007D4ACC">
        <w:rPr>
          <w:sz w:val="20"/>
        </w:rPr>
        <w:tab/>
      </w:r>
      <w:r w:rsidRPr="007D4ACC">
        <w:rPr>
          <w:sz w:val="20"/>
        </w:rPr>
        <w:tab/>
        <w:t xml:space="preserve"> = </w:t>
      </w:r>
      <w:proofErr w:type="spellStart"/>
      <w:r w:rsidRPr="007D4ACC">
        <w:rPr>
          <w:sz w:val="20"/>
          <w:lang w:val="en-CA"/>
        </w:rPr>
        <w:t>BL_</w:t>
      </w:r>
      <w:proofErr w:type="gramStart"/>
      <w:r w:rsidRPr="007D4ACC">
        <w:rPr>
          <w:sz w:val="20"/>
          <w:lang w:val="en-CA"/>
        </w:rPr>
        <w:t>col</w:t>
      </w:r>
      <w:proofErr w:type="spellEnd"/>
      <w:r w:rsidRPr="007D4ACC">
        <w:rPr>
          <w:sz w:val="20"/>
        </w:rPr>
        <w:t xml:space="preserve">  +</w:t>
      </w:r>
      <w:proofErr w:type="gramEnd"/>
      <w:r w:rsidRPr="007D4ACC">
        <w:rPr>
          <w:sz w:val="20"/>
        </w:rPr>
        <w:t xml:space="preserve"> 0.5 (</w:t>
      </w:r>
      <w:proofErr w:type="spellStart"/>
      <w:r w:rsidRPr="007D4ACC">
        <w:rPr>
          <w:sz w:val="20"/>
          <w:lang w:val="en-CA"/>
        </w:rPr>
        <w:t>EL_ref</w:t>
      </w:r>
      <w:proofErr w:type="spellEnd"/>
      <w:r w:rsidRPr="007D4ACC">
        <w:rPr>
          <w:sz w:val="20"/>
          <w:lang w:val="en-CA"/>
        </w:rPr>
        <w:t xml:space="preserve"> - </w:t>
      </w:r>
      <w:proofErr w:type="spellStart"/>
      <w:r w:rsidRPr="007D4ACC">
        <w:rPr>
          <w:sz w:val="20"/>
          <w:lang w:val="en-CA"/>
        </w:rPr>
        <w:t>BL_ref</w:t>
      </w:r>
      <w:proofErr w:type="spellEnd"/>
      <w:r w:rsidRPr="007D4ACC">
        <w:rPr>
          <w:sz w:val="20"/>
          <w:lang w:val="en-CA"/>
        </w:rPr>
        <w:t xml:space="preserve">) </w:t>
      </w:r>
    </w:p>
    <w:p w:rsidR="00E03266" w:rsidRPr="007D4ACC" w:rsidRDefault="00E03266" w:rsidP="00E03266">
      <w:pPr>
        <w:spacing w:before="0"/>
        <w:jc w:val="both"/>
        <w:rPr>
          <w:sz w:val="20"/>
          <w:lang w:val="en-CA"/>
        </w:rPr>
      </w:pPr>
      <w:r w:rsidRPr="007D4ACC">
        <w:rPr>
          <w:sz w:val="20"/>
          <w:lang w:val="en-CA"/>
        </w:rPr>
        <w:tab/>
        <w:t>Complexity operations:</w:t>
      </w:r>
      <w:r w:rsidRPr="007D4ACC">
        <w:rPr>
          <w:sz w:val="20"/>
          <w:lang w:val="en-CA"/>
        </w:rPr>
        <w:tab/>
      </w:r>
      <w:r w:rsidRPr="007D4ACC">
        <w:rPr>
          <w:sz w:val="20"/>
          <w:lang w:val="en-CA"/>
        </w:rPr>
        <w:tab/>
      </w:r>
    </w:p>
    <w:p w:rsidR="00E03266" w:rsidRPr="007D4ACC" w:rsidRDefault="00E03266" w:rsidP="00E03266">
      <w:pPr>
        <w:spacing w:before="0"/>
        <w:jc w:val="both"/>
        <w:rPr>
          <w:lang w:val="en-CA"/>
        </w:rPr>
      </w:pPr>
      <w:r w:rsidRPr="007D4ACC">
        <w:rPr>
          <w:sz w:val="20"/>
          <w:lang w:val="en-CA"/>
        </w:rPr>
        <w:tab/>
      </w:r>
      <w:proofErr w:type="spellStart"/>
      <w:r w:rsidRPr="007D4ACC">
        <w:rPr>
          <w:sz w:val="20"/>
        </w:rPr>
        <w:t>EL_pred</w:t>
      </w:r>
      <w:proofErr w:type="spellEnd"/>
      <w:r w:rsidRPr="007D4ACC">
        <w:rPr>
          <w:sz w:val="20"/>
        </w:rPr>
        <w:t xml:space="preserve"> = UP1 {</w:t>
      </w:r>
      <w:proofErr w:type="spellStart"/>
      <w:r w:rsidRPr="007D4ACC">
        <w:rPr>
          <w:sz w:val="20"/>
          <w:lang w:val="en-CA"/>
        </w:rPr>
        <w:t>BL_col</w:t>
      </w:r>
      <w:proofErr w:type="spellEnd"/>
      <w:r w:rsidRPr="007D4ACC">
        <w:rPr>
          <w:sz w:val="20"/>
          <w:lang w:val="en-CA"/>
        </w:rPr>
        <w:t xml:space="preserve">} </w:t>
      </w:r>
      <w:r w:rsidRPr="007D4ACC">
        <w:rPr>
          <w:sz w:val="20"/>
        </w:rPr>
        <w:t>+0.5 MC1 [(</w:t>
      </w:r>
      <w:proofErr w:type="spellStart"/>
      <w:r w:rsidRPr="007D4ACC">
        <w:rPr>
          <w:sz w:val="20"/>
          <w:lang w:val="en-CA"/>
        </w:rPr>
        <w:t>EL_ref</w:t>
      </w:r>
      <w:proofErr w:type="spellEnd"/>
      <w:r w:rsidRPr="007D4ACC">
        <w:rPr>
          <w:sz w:val="20"/>
          <w:lang w:val="en-CA"/>
        </w:rPr>
        <w:t xml:space="preserve"> - UP2 {</w:t>
      </w:r>
      <w:proofErr w:type="spellStart"/>
      <w:r w:rsidRPr="007D4ACC">
        <w:rPr>
          <w:sz w:val="20"/>
          <w:lang w:val="en-CA"/>
        </w:rPr>
        <w:t>BL_ref</w:t>
      </w:r>
      <w:proofErr w:type="spellEnd"/>
      <w:r w:rsidRPr="007D4ACC">
        <w:rPr>
          <w:sz w:val="20"/>
          <w:lang w:val="en-CA"/>
        </w:rPr>
        <w:t xml:space="preserve">}), </w:t>
      </w:r>
      <w:proofErr w:type="spellStart"/>
      <w:r w:rsidRPr="007D4ACC">
        <w:rPr>
          <w:sz w:val="20"/>
          <w:lang w:val="en-CA"/>
        </w:rPr>
        <w:t>EL_motion</w:t>
      </w:r>
      <w:proofErr w:type="spellEnd"/>
      <w:r w:rsidRPr="007D4ACC">
        <w:rPr>
          <w:sz w:val="20"/>
          <w:lang w:val="en-CA"/>
        </w:rPr>
        <w:t>]</w:t>
      </w:r>
    </w:p>
    <w:p w:rsidR="00E03266" w:rsidRPr="007D4ACC" w:rsidRDefault="00E03266" w:rsidP="00E03266">
      <w:pPr>
        <w:numPr>
          <w:ilvl w:val="0"/>
          <w:numId w:val="17"/>
        </w:numPr>
        <w:jc w:val="both"/>
        <w:textAlignment w:val="auto"/>
        <w:rPr>
          <w:u w:val="single"/>
          <w:lang w:val="en-CA"/>
        </w:rPr>
      </w:pPr>
      <w:r w:rsidRPr="007D4ACC">
        <w:rPr>
          <w:u w:val="single"/>
          <w:lang w:val="en-CA"/>
        </w:rPr>
        <w:t>GCP mode 3: {</w:t>
      </w:r>
      <w:proofErr w:type="spellStart"/>
      <w:r w:rsidRPr="007D4ACC">
        <w:rPr>
          <w:u w:val="single"/>
          <w:lang w:val="en-CA"/>
        </w:rPr>
        <w:t>a,b</w:t>
      </w:r>
      <w:proofErr w:type="spellEnd"/>
      <w:r w:rsidRPr="007D4ACC">
        <w:rPr>
          <w:u w:val="single"/>
          <w:lang w:val="en-CA"/>
        </w:rPr>
        <w:t>} = {0,1}</w:t>
      </w:r>
    </w:p>
    <w:p w:rsidR="00E03266" w:rsidRPr="007D4ACC" w:rsidRDefault="00E03266" w:rsidP="00E03266">
      <w:pPr>
        <w:spacing w:before="0"/>
        <w:jc w:val="both"/>
        <w:rPr>
          <w:sz w:val="20"/>
        </w:rPr>
      </w:pPr>
      <w:r w:rsidRPr="007D4ACC">
        <w:rPr>
          <w:sz w:val="20"/>
        </w:rPr>
        <w:tab/>
      </w:r>
      <w:proofErr w:type="spellStart"/>
      <w:r w:rsidRPr="007D4ACC">
        <w:rPr>
          <w:sz w:val="20"/>
        </w:rPr>
        <w:t>EL_pred</w:t>
      </w:r>
      <w:proofErr w:type="spellEnd"/>
      <w:r w:rsidRPr="007D4ACC">
        <w:rPr>
          <w:sz w:val="20"/>
        </w:rPr>
        <w:t xml:space="preserve"> = </w:t>
      </w:r>
      <w:proofErr w:type="spellStart"/>
      <w:r w:rsidRPr="007D4ACC">
        <w:rPr>
          <w:sz w:val="20"/>
          <w:lang w:val="en-CA"/>
        </w:rPr>
        <w:t>EL_ref</w:t>
      </w:r>
      <w:proofErr w:type="spellEnd"/>
      <w:r w:rsidRPr="007D4ACC">
        <w:rPr>
          <w:sz w:val="20"/>
        </w:rPr>
        <w:t xml:space="preserve"> + (</w:t>
      </w:r>
      <w:proofErr w:type="spellStart"/>
      <w:r w:rsidRPr="007D4ACC">
        <w:rPr>
          <w:sz w:val="20"/>
          <w:lang w:val="en-CA"/>
        </w:rPr>
        <w:t>BL_col</w:t>
      </w:r>
      <w:proofErr w:type="spellEnd"/>
      <w:r w:rsidRPr="007D4ACC">
        <w:rPr>
          <w:sz w:val="20"/>
        </w:rPr>
        <w:t xml:space="preserve"> – </w:t>
      </w:r>
      <w:proofErr w:type="spellStart"/>
      <w:r w:rsidRPr="007D4ACC">
        <w:rPr>
          <w:sz w:val="20"/>
          <w:lang w:val="en-CA"/>
        </w:rPr>
        <w:t>BL_ref</w:t>
      </w:r>
      <w:proofErr w:type="spellEnd"/>
      <w:r w:rsidRPr="007D4ACC">
        <w:rPr>
          <w:sz w:val="20"/>
        </w:rPr>
        <w:t>)</w:t>
      </w:r>
    </w:p>
    <w:p w:rsidR="00E03266" w:rsidRPr="007D4ACC" w:rsidRDefault="00E03266" w:rsidP="00E03266">
      <w:pPr>
        <w:spacing w:before="0"/>
        <w:jc w:val="both"/>
        <w:rPr>
          <w:sz w:val="20"/>
        </w:rPr>
      </w:pPr>
      <w:r w:rsidRPr="007D4ACC">
        <w:rPr>
          <w:sz w:val="20"/>
        </w:rPr>
        <w:tab/>
      </w:r>
      <w:r w:rsidRPr="007D4ACC">
        <w:rPr>
          <w:sz w:val="20"/>
        </w:rPr>
        <w:tab/>
      </w:r>
      <w:r w:rsidRPr="007D4ACC">
        <w:rPr>
          <w:sz w:val="20"/>
        </w:rPr>
        <w:tab/>
        <w:t xml:space="preserve"> = </w:t>
      </w:r>
      <w:proofErr w:type="spellStart"/>
      <w:r w:rsidRPr="007D4ACC">
        <w:rPr>
          <w:sz w:val="20"/>
          <w:lang w:val="en-CA"/>
        </w:rPr>
        <w:t>BL_</w:t>
      </w:r>
      <w:proofErr w:type="gramStart"/>
      <w:r w:rsidRPr="007D4ACC">
        <w:rPr>
          <w:sz w:val="20"/>
          <w:lang w:val="en-CA"/>
        </w:rPr>
        <w:t>col</w:t>
      </w:r>
      <w:proofErr w:type="spellEnd"/>
      <w:r w:rsidRPr="007D4ACC">
        <w:rPr>
          <w:sz w:val="20"/>
        </w:rPr>
        <w:t xml:space="preserve">  +</w:t>
      </w:r>
      <w:proofErr w:type="gramEnd"/>
      <w:r w:rsidRPr="007D4ACC">
        <w:rPr>
          <w:sz w:val="20"/>
        </w:rPr>
        <w:t xml:space="preserve"> (</w:t>
      </w:r>
      <w:proofErr w:type="spellStart"/>
      <w:r w:rsidRPr="007D4ACC">
        <w:rPr>
          <w:sz w:val="20"/>
          <w:lang w:val="en-CA"/>
        </w:rPr>
        <w:t>EL_ref</w:t>
      </w:r>
      <w:proofErr w:type="spellEnd"/>
      <w:r w:rsidRPr="007D4ACC">
        <w:rPr>
          <w:sz w:val="20"/>
          <w:lang w:val="en-CA"/>
        </w:rPr>
        <w:t xml:space="preserve"> - </w:t>
      </w:r>
      <w:proofErr w:type="spellStart"/>
      <w:r w:rsidRPr="007D4ACC">
        <w:rPr>
          <w:sz w:val="20"/>
          <w:lang w:val="en-CA"/>
        </w:rPr>
        <w:t>BL_ref</w:t>
      </w:r>
      <w:proofErr w:type="spellEnd"/>
      <w:r w:rsidRPr="007D4ACC">
        <w:rPr>
          <w:sz w:val="20"/>
          <w:lang w:val="en-CA"/>
        </w:rPr>
        <w:t xml:space="preserve">) </w:t>
      </w:r>
    </w:p>
    <w:p w:rsidR="00E03266" w:rsidRPr="007D4ACC" w:rsidRDefault="00E03266" w:rsidP="00E03266">
      <w:pPr>
        <w:spacing w:before="0"/>
        <w:jc w:val="both"/>
        <w:rPr>
          <w:sz w:val="20"/>
          <w:lang w:val="en-CA"/>
        </w:rPr>
      </w:pPr>
      <w:r w:rsidRPr="007D4ACC">
        <w:rPr>
          <w:sz w:val="20"/>
          <w:lang w:val="en-CA"/>
        </w:rPr>
        <w:tab/>
        <w:t>Complexity operations:</w:t>
      </w:r>
      <w:r w:rsidRPr="007D4ACC">
        <w:rPr>
          <w:sz w:val="20"/>
          <w:lang w:val="en-CA"/>
        </w:rPr>
        <w:tab/>
      </w:r>
      <w:r w:rsidRPr="007D4ACC">
        <w:rPr>
          <w:sz w:val="20"/>
          <w:lang w:val="en-CA"/>
        </w:rPr>
        <w:tab/>
      </w:r>
    </w:p>
    <w:p w:rsidR="00E03266" w:rsidRPr="007D4ACC" w:rsidRDefault="00E03266" w:rsidP="00E03266">
      <w:pPr>
        <w:spacing w:before="0"/>
        <w:jc w:val="both"/>
        <w:rPr>
          <w:lang w:val="en-CA"/>
        </w:rPr>
      </w:pPr>
      <w:r w:rsidRPr="007D4ACC">
        <w:rPr>
          <w:sz w:val="20"/>
          <w:lang w:val="en-CA"/>
        </w:rPr>
        <w:tab/>
      </w:r>
      <w:proofErr w:type="spellStart"/>
      <w:r w:rsidRPr="007D4ACC">
        <w:rPr>
          <w:sz w:val="20"/>
        </w:rPr>
        <w:t>EL_pred</w:t>
      </w:r>
      <w:proofErr w:type="spellEnd"/>
      <w:r w:rsidRPr="007D4ACC">
        <w:rPr>
          <w:sz w:val="20"/>
        </w:rPr>
        <w:t xml:space="preserve"> = UP1 {</w:t>
      </w:r>
      <w:proofErr w:type="spellStart"/>
      <w:r w:rsidRPr="007D4ACC">
        <w:rPr>
          <w:sz w:val="20"/>
          <w:lang w:val="en-CA"/>
        </w:rPr>
        <w:t>BL_col</w:t>
      </w:r>
      <w:proofErr w:type="spellEnd"/>
      <w:r w:rsidRPr="007D4ACC">
        <w:rPr>
          <w:sz w:val="20"/>
          <w:lang w:val="en-CA"/>
        </w:rPr>
        <w:t xml:space="preserve">} </w:t>
      </w:r>
      <w:r w:rsidRPr="007D4ACC">
        <w:rPr>
          <w:sz w:val="20"/>
        </w:rPr>
        <w:t>+ MC1 [(</w:t>
      </w:r>
      <w:proofErr w:type="spellStart"/>
      <w:r w:rsidRPr="007D4ACC">
        <w:rPr>
          <w:sz w:val="20"/>
          <w:lang w:val="en-CA"/>
        </w:rPr>
        <w:t>EL_ref</w:t>
      </w:r>
      <w:proofErr w:type="spellEnd"/>
      <w:r w:rsidRPr="007D4ACC">
        <w:rPr>
          <w:sz w:val="20"/>
          <w:lang w:val="en-CA"/>
        </w:rPr>
        <w:t xml:space="preserve"> - UP2 {</w:t>
      </w:r>
      <w:proofErr w:type="spellStart"/>
      <w:r w:rsidRPr="007D4ACC">
        <w:rPr>
          <w:sz w:val="20"/>
          <w:lang w:val="en-CA"/>
        </w:rPr>
        <w:t>BL_ref</w:t>
      </w:r>
      <w:proofErr w:type="spellEnd"/>
      <w:r w:rsidRPr="007D4ACC">
        <w:rPr>
          <w:sz w:val="20"/>
          <w:lang w:val="en-CA"/>
        </w:rPr>
        <w:t xml:space="preserve">}), </w:t>
      </w:r>
      <w:proofErr w:type="spellStart"/>
      <w:r w:rsidRPr="007D4ACC">
        <w:rPr>
          <w:sz w:val="20"/>
          <w:lang w:val="en-CA"/>
        </w:rPr>
        <w:t>EL_motion</w:t>
      </w:r>
      <w:proofErr w:type="spellEnd"/>
      <w:r w:rsidRPr="007D4ACC">
        <w:rPr>
          <w:sz w:val="20"/>
          <w:lang w:val="en-CA"/>
        </w:rPr>
        <w:t>]</w:t>
      </w:r>
    </w:p>
    <w:p w:rsidR="007D4ACC" w:rsidRDefault="007D4ACC" w:rsidP="007D4ACC">
      <w:r>
        <w:lastRenderedPageBreak/>
        <w:t xml:space="preserve">In this test, only 2 GCP modes are tested, </w:t>
      </w:r>
      <w:r w:rsidRPr="007D4ACC">
        <w:t xml:space="preserve">GCP mode 3 </w:t>
      </w:r>
      <w:r>
        <w:t xml:space="preserve">is </w:t>
      </w:r>
      <w:r w:rsidRPr="007D4ACC">
        <w:t>not used</w:t>
      </w:r>
      <w:r>
        <w:t>.</w:t>
      </w:r>
    </w:p>
    <w:p w:rsidR="00002A47" w:rsidRPr="00DA7406" w:rsidRDefault="00002A47" w:rsidP="00E03266">
      <w:pPr>
        <w:jc w:val="both"/>
        <w:rPr>
          <w:szCs w:val="22"/>
        </w:rPr>
      </w:pPr>
    </w:p>
    <w:p w:rsidR="004F7485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E03266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 w:rsidR="00AB07EB">
        <w:t>SHM-</w:t>
      </w:r>
      <w:r>
        <w:t>1</w:t>
      </w:r>
      <w:r w:rsidR="00AB07EB">
        <w:t>.0</w:t>
      </w:r>
      <w:r w:rsidR="00F3209B">
        <w:t xml:space="preserve">, and did a </w:t>
      </w:r>
      <w:r w:rsidR="00AB07EB">
        <w:t xml:space="preserve">quick </w:t>
      </w:r>
      <w:r w:rsidR="00F3209B">
        <w:t xml:space="preserve">code study to verify that the proposed method </w:t>
      </w:r>
      <w:r w:rsidR="00506600">
        <w:t>was</w:t>
      </w:r>
      <w:r w:rsidR="00F3209B">
        <w:t xml:space="preserve"> implemented as described. We </w:t>
      </w:r>
      <w:r>
        <w:t xml:space="preserve">used the common conditions </w:t>
      </w:r>
      <w:r w:rsidR="00AB07EB">
        <w:fldChar w:fldCharType="begin"/>
      </w:r>
      <w:r w:rsidR="00AB07EB">
        <w:instrText xml:space="preserve"> REF _Ref353612270 \r \h </w:instrText>
      </w:r>
      <w:r w:rsidR="00AB07EB">
        <w:fldChar w:fldCharType="separate"/>
      </w:r>
      <w:r w:rsidR="00AB07EB">
        <w:t>[2]</w:t>
      </w:r>
      <w:r w:rsidR="00AB07EB">
        <w:fldChar w:fldCharType="end"/>
      </w:r>
      <w:r w:rsidR="00AB07EB">
        <w:t xml:space="preserve"> </w:t>
      </w:r>
      <w:r w:rsidR="00F3209B">
        <w:t xml:space="preserve">in our experiments and ran </w:t>
      </w:r>
      <w:r w:rsidR="00AB07EB">
        <w:t xml:space="preserve">simulations for the cases of RA, </w:t>
      </w:r>
      <w:r w:rsidR="00F3209B">
        <w:t>LDP</w:t>
      </w:r>
      <w:r w:rsidR="00AB07EB">
        <w:t xml:space="preserve"> and LDB</w:t>
      </w:r>
      <w:r w:rsidR="00F3209B">
        <w:t>.</w:t>
      </w:r>
    </w:p>
    <w:p w:rsidR="00E310F3" w:rsidRDefault="00F3209B" w:rsidP="00E03266">
      <w:pPr>
        <w:jc w:val="both"/>
      </w:pPr>
      <w:r>
        <w:t xml:space="preserve">The results match what was provided by the proponents and </w:t>
      </w:r>
      <w:r w:rsidR="00A34582">
        <w:t>are summarized</w:t>
      </w:r>
      <w:r>
        <w:t xml:space="preserve"> as follows:</w:t>
      </w:r>
    </w:p>
    <w:p w:rsidR="00F3209B" w:rsidRDefault="00AB07EB" w:rsidP="00E03266">
      <w:pPr>
        <w:jc w:val="both"/>
      </w:pPr>
      <w:r>
        <w:rPr>
          <w:noProof/>
          <w:lang w:eastAsia="zh-CN"/>
        </w:rPr>
        <w:drawing>
          <wp:inline distT="0" distB="0" distL="0" distR="0">
            <wp:extent cx="5943600" cy="37192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E03266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</w:t>
      </w:r>
      <w:r w:rsidR="00AB07EB">
        <w:rPr>
          <w:bCs/>
        </w:rPr>
        <w:t>M0221</w:t>
      </w:r>
      <w:r w:rsidR="00F3209B">
        <w:rPr>
          <w:bCs/>
        </w:rPr>
        <w:t xml:space="preserve">. The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also match that provided by the proponents.</w:t>
      </w:r>
    </w:p>
    <w:p w:rsidR="007D4ACC" w:rsidRDefault="007D4ACC" w:rsidP="00E03266">
      <w:pPr>
        <w:jc w:val="both"/>
        <w:rPr>
          <w:bCs/>
        </w:rPr>
      </w:pPr>
    </w:p>
    <w:p w:rsidR="007D4ACC" w:rsidRPr="00DA7406" w:rsidRDefault="007D4ACC" w:rsidP="007D4ACC">
      <w:pPr>
        <w:pStyle w:val="Heading1"/>
        <w:jc w:val="both"/>
        <w:rPr>
          <w:szCs w:val="22"/>
        </w:rPr>
      </w:pPr>
      <w:r>
        <w:rPr>
          <w:szCs w:val="22"/>
        </w:rPr>
        <w:t>References</w:t>
      </w:r>
    </w:p>
    <w:bookmarkStart w:id="1" w:name="_Ref347833434"/>
    <w:bookmarkStart w:id="2" w:name="_Ref350366153"/>
    <w:bookmarkStart w:id="3" w:name="_Ref350368379"/>
    <w:p w:rsidR="00AB07EB" w:rsidRPr="009E6EFE" w:rsidRDefault="00AB07EB" w:rsidP="00AB07EB">
      <w:pPr>
        <w:numPr>
          <w:ilvl w:val="0"/>
          <w:numId w:val="19"/>
        </w:numPr>
        <w:tabs>
          <w:tab w:val="left" w:pos="360"/>
        </w:tabs>
        <w:jc w:val="both"/>
        <w:textAlignment w:val="auto"/>
        <w:rPr>
          <w:szCs w:val="22"/>
        </w:rPr>
      </w:pPr>
      <w:r w:rsidRPr="00B7779B">
        <w:rPr>
          <w:szCs w:val="22"/>
        </w:rPr>
        <w:fldChar w:fldCharType="begin"/>
      </w:r>
      <w:r w:rsidRPr="00B7779B">
        <w:rPr>
          <w:szCs w:val="22"/>
        </w:rPr>
        <w:instrText xml:space="preserve"> HYPERLINK "mailto:edouard.francois@crf.canon.fr" </w:instrText>
      </w:r>
      <w:r w:rsidRPr="00B7779B">
        <w:rPr>
          <w:szCs w:val="22"/>
        </w:rPr>
      </w:r>
      <w:r w:rsidRPr="00B7779B">
        <w:rPr>
          <w:szCs w:val="22"/>
        </w:rPr>
        <w:fldChar w:fldCharType="separate"/>
      </w:r>
      <w:r w:rsidRPr="00B7779B">
        <w:rPr>
          <w:szCs w:val="22"/>
        </w:rPr>
        <w:t>E. François</w:t>
      </w:r>
      <w:r w:rsidRPr="00B7779B">
        <w:rPr>
          <w:szCs w:val="22"/>
        </w:rPr>
        <w:fldChar w:fldCharType="end"/>
      </w:r>
      <w:r w:rsidRPr="00B7779B">
        <w:rPr>
          <w:szCs w:val="22"/>
        </w:rPr>
        <w:t xml:space="preserve">, </w:t>
      </w:r>
      <w:hyperlink r:id="rId11" w:history="1">
        <w:r w:rsidRPr="00B7779B">
          <w:rPr>
            <w:szCs w:val="22"/>
          </w:rPr>
          <w:t xml:space="preserve">A. </w:t>
        </w:r>
        <w:proofErr w:type="spellStart"/>
        <w:r w:rsidRPr="00B7779B">
          <w:rPr>
            <w:szCs w:val="22"/>
          </w:rPr>
          <w:t>Tabatabai</w:t>
        </w:r>
        <w:proofErr w:type="spellEnd"/>
      </w:hyperlink>
      <w:r w:rsidRPr="00B7779B">
        <w:rPr>
          <w:szCs w:val="22"/>
        </w:rPr>
        <w:t xml:space="preserve">, </w:t>
      </w:r>
      <w:hyperlink r:id="rId12" w:history="1">
        <w:r w:rsidRPr="00B7779B">
          <w:rPr>
            <w:szCs w:val="22"/>
          </w:rPr>
          <w:t xml:space="preserve">E. </w:t>
        </w:r>
        <w:proofErr w:type="spellStart"/>
        <w:r w:rsidRPr="00B7779B">
          <w:rPr>
            <w:szCs w:val="22"/>
          </w:rPr>
          <w:t>Alshina</w:t>
        </w:r>
        <w:proofErr w:type="spellEnd"/>
      </w:hyperlink>
      <w:r w:rsidRPr="00B7779B">
        <w:rPr>
          <w:szCs w:val="22"/>
        </w:rPr>
        <w:t xml:space="preserve">, </w:t>
      </w:r>
      <w:proofErr w:type="spellStart"/>
      <w:r w:rsidRPr="00B7779B">
        <w:rPr>
          <w:szCs w:val="22"/>
        </w:rPr>
        <w:t>BoG</w:t>
      </w:r>
      <w:proofErr w:type="spellEnd"/>
      <w:r w:rsidRPr="00B7779B">
        <w:rPr>
          <w:szCs w:val="22"/>
        </w:rPr>
        <w:t xml:space="preserve"> report: Methodology for evaluating complexity of combined and residual prediction methods in SHVC, JCTVC-L0440,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>
        <w:rPr>
          <w:szCs w:val="22"/>
        </w:rPr>
        <w:t>.</w:t>
      </w:r>
      <w:bookmarkEnd w:id="3"/>
    </w:p>
    <w:bookmarkStart w:id="4" w:name="_Ref353612270"/>
    <w:p w:rsidR="00AB07EB" w:rsidRPr="00C75200" w:rsidRDefault="00AB07EB" w:rsidP="00AB07EB">
      <w:pPr>
        <w:numPr>
          <w:ilvl w:val="0"/>
          <w:numId w:val="19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3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14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15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JCTVC-L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F56AE0">
        <w:rPr>
          <w:szCs w:val="22"/>
        </w:rPr>
        <w:t>14–23 Jan. 2013</w:t>
      </w:r>
      <w:bookmarkEnd w:id="1"/>
      <w:r>
        <w:rPr>
          <w:szCs w:val="22"/>
        </w:rPr>
        <w:t>.</w:t>
      </w:r>
      <w:bookmarkEnd w:id="2"/>
      <w:bookmarkEnd w:id="4"/>
    </w:p>
    <w:p w:rsidR="007D4ACC" w:rsidRPr="00AB07EB" w:rsidRDefault="007D4ACC" w:rsidP="00E03266">
      <w:pPr>
        <w:jc w:val="both"/>
        <w:rPr>
          <w:bCs/>
        </w:rPr>
      </w:pPr>
    </w:p>
    <w:sectPr w:rsidR="007D4ACC" w:rsidRPr="00AB07EB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034" w:rsidRDefault="00AD3034">
      <w:r>
        <w:separator/>
      </w:r>
    </w:p>
  </w:endnote>
  <w:endnote w:type="continuationSeparator" w:id="0">
    <w:p w:rsidR="00AD3034" w:rsidRDefault="00AD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A80F1E">
      <w:rPr>
        <w:rStyle w:val="PageNumber"/>
        <w:noProof/>
      </w:rPr>
      <w:t>2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A80F1E">
      <w:rPr>
        <w:rStyle w:val="PageNumber"/>
        <w:noProof/>
      </w:rPr>
      <w:t>2013-04-13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034" w:rsidRDefault="00AD3034">
      <w:r>
        <w:separator/>
      </w:r>
    </w:p>
  </w:footnote>
  <w:footnote w:type="continuationSeparator" w:id="0">
    <w:p w:rsidR="00AD3034" w:rsidRDefault="00AD3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C0DAD"/>
    <w:multiLevelType w:val="hybridMultilevel"/>
    <w:tmpl w:val="795C3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E5CCF"/>
    <w:multiLevelType w:val="hybridMultilevel"/>
    <w:tmpl w:val="7DA230F6"/>
    <w:lvl w:ilvl="0" w:tplc="44A4B1E4">
      <w:start w:val="1"/>
      <w:numFmt w:val="decimal"/>
      <w:lvlText w:val="[%1]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1"/>
  </w:num>
  <w:num w:numId="13">
    <w:abstractNumId w:val="5"/>
  </w:num>
  <w:num w:numId="14">
    <w:abstractNumId w:val="9"/>
  </w:num>
  <w:num w:numId="15">
    <w:abstractNumId w:val="6"/>
  </w:num>
  <w:num w:numId="16">
    <w:abstractNumId w:val="16"/>
  </w:num>
  <w:num w:numId="1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A166A"/>
    <w:rsid w:val="000B1C6B"/>
    <w:rsid w:val="000B4FF9"/>
    <w:rsid w:val="000C09AC"/>
    <w:rsid w:val="000C133C"/>
    <w:rsid w:val="000E00F3"/>
    <w:rsid w:val="000F158C"/>
    <w:rsid w:val="00102F3D"/>
    <w:rsid w:val="0012141F"/>
    <w:rsid w:val="00124E38"/>
    <w:rsid w:val="0012580B"/>
    <w:rsid w:val="00125B1E"/>
    <w:rsid w:val="00131F90"/>
    <w:rsid w:val="0013526E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6CF1"/>
    <w:rsid w:val="00531AE9"/>
    <w:rsid w:val="00550A66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F5100"/>
    <w:rsid w:val="005F6F1B"/>
    <w:rsid w:val="00624B33"/>
    <w:rsid w:val="00630AA2"/>
    <w:rsid w:val="00641FAA"/>
    <w:rsid w:val="00646707"/>
    <w:rsid w:val="00662E58"/>
    <w:rsid w:val="00664DCF"/>
    <w:rsid w:val="006932CC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D22AB"/>
    <w:rsid w:val="007D4ACC"/>
    <w:rsid w:val="007D6656"/>
    <w:rsid w:val="007F1F8B"/>
    <w:rsid w:val="007F67A1"/>
    <w:rsid w:val="00807BA7"/>
    <w:rsid w:val="00811C05"/>
    <w:rsid w:val="008206C8"/>
    <w:rsid w:val="00874A6C"/>
    <w:rsid w:val="00876C65"/>
    <w:rsid w:val="00883C51"/>
    <w:rsid w:val="008A4B4C"/>
    <w:rsid w:val="008C239F"/>
    <w:rsid w:val="008C64EA"/>
    <w:rsid w:val="008E480C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0F1E"/>
    <w:rsid w:val="00A83253"/>
    <w:rsid w:val="00A95D5D"/>
    <w:rsid w:val="00AA0F51"/>
    <w:rsid w:val="00AA6E84"/>
    <w:rsid w:val="00AB07EB"/>
    <w:rsid w:val="00AD3034"/>
    <w:rsid w:val="00AE341B"/>
    <w:rsid w:val="00AE4B90"/>
    <w:rsid w:val="00B06333"/>
    <w:rsid w:val="00B07CA7"/>
    <w:rsid w:val="00B11F0D"/>
    <w:rsid w:val="00B1279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C04F43"/>
    <w:rsid w:val="00C0609D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03266"/>
    <w:rsid w:val="00E11923"/>
    <w:rsid w:val="00E26176"/>
    <w:rsid w:val="00E262D4"/>
    <w:rsid w:val="00E310F3"/>
    <w:rsid w:val="00E36250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ill@vidyo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elena_a.alshina@samsung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li.tabatabai@am.sony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yan.ye@interdigital.com" TargetMode="Externa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patrice.onno@crf.canon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11</cp:revision>
  <cp:lastPrinted>2013-01-09T00:54:00Z</cp:lastPrinted>
  <dcterms:created xsi:type="dcterms:W3CDTF">2013-01-08T06:48:00Z</dcterms:created>
  <dcterms:modified xsi:type="dcterms:W3CDTF">2013-04-13T17:31:00Z</dcterms:modified>
</cp:coreProperties>
</file>