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41EF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41EF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741EFF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 w:rsidRPr="00741EFF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proofErr w:type="spellStart"/>
            <w:r w:rsidR="00B4194A" w:rsidRPr="00B4194A">
              <w:rPr>
                <w:szCs w:val="22"/>
                <w:lang w:val="en-CA"/>
              </w:rPr>
              <w:t>Incheon</w:t>
            </w:r>
            <w:proofErr w:type="spellEnd"/>
            <w:r w:rsidR="00B4194A"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5B217D" w:rsidRDefault="00E61DAC" w:rsidP="00E036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E03621">
              <w:rPr>
                <w:lang w:val="en-CA"/>
              </w:rPr>
              <w:t>0182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13A42" w:rsidP="00EA0C82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AHG17: </w:t>
            </w:r>
            <w:r w:rsidR="00EA0C82">
              <w:rPr>
                <w:b/>
                <w:szCs w:val="22"/>
                <w:lang w:val="en-CA"/>
              </w:rPr>
              <w:t>complexity analysis</w:t>
            </w:r>
            <w:r>
              <w:rPr>
                <w:b/>
                <w:szCs w:val="22"/>
                <w:lang w:val="en-CA"/>
              </w:rPr>
              <w:t xml:space="preserve"> of SHM1.0</w:t>
            </w:r>
            <w:r w:rsidR="00EA0C82">
              <w:rPr>
                <w:b/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13A4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F6D36" w:rsidRDefault="00264897" w:rsidP="009847B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Jie Dong, </w:t>
            </w:r>
            <w:r w:rsidR="00217021">
              <w:rPr>
                <w:szCs w:val="22"/>
                <w:lang w:val="en-CA"/>
              </w:rPr>
              <w:t>Yan Ye</w:t>
            </w:r>
            <w:r>
              <w:rPr>
                <w:szCs w:val="22"/>
                <w:lang w:val="en-CA"/>
              </w:rPr>
              <w:t>, Yong He</w:t>
            </w:r>
          </w:p>
          <w:p w:rsidR="009847B9" w:rsidRDefault="009847B9" w:rsidP="009847B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9710 Scranton Rd, #250</w:t>
            </w:r>
          </w:p>
          <w:p w:rsidR="009847B9" w:rsidRDefault="009847B9" w:rsidP="009847B9">
            <w:pPr>
              <w:spacing w:before="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 Diego, CA 92121</w:t>
            </w:r>
          </w:p>
          <w:p w:rsidR="00E61DAC" w:rsidRPr="005B217D" w:rsidRDefault="00E61DAC" w:rsidP="00264897">
            <w:pPr>
              <w:spacing w:before="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827F7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217021">
              <w:rPr>
                <w:szCs w:val="22"/>
                <w:lang w:val="en-CA"/>
              </w:rPr>
              <w:t>+1-858-210-480</w:t>
            </w:r>
            <w:r w:rsidR="00827F78">
              <w:rPr>
                <w:szCs w:val="22"/>
                <w:lang w:val="en-CA"/>
              </w:rPr>
              <w:t>9</w:t>
            </w:r>
            <w:r w:rsidRPr="005B217D">
              <w:rPr>
                <w:szCs w:val="22"/>
                <w:lang w:val="en-CA"/>
              </w:rPr>
              <w:br/>
            </w:r>
            <w:r w:rsidR="00264897">
              <w:rPr>
                <w:szCs w:val="22"/>
                <w:lang w:val="en-CA"/>
              </w:rPr>
              <w:t>{jie.dong,</w:t>
            </w:r>
            <w:r w:rsidR="00217021">
              <w:rPr>
                <w:szCs w:val="22"/>
                <w:lang w:val="en-CA"/>
              </w:rPr>
              <w:t>yan.ye</w:t>
            </w:r>
            <w:r w:rsidR="00264897">
              <w:rPr>
                <w:szCs w:val="22"/>
                <w:lang w:val="en-CA"/>
              </w:rPr>
              <w:t>,yong.he</w:t>
            </w:r>
            <w:r w:rsidR="00217021">
              <w:rPr>
                <w:szCs w:val="22"/>
                <w:lang w:val="en-CA"/>
              </w:rPr>
              <w:t>@interdigital.com</w:t>
            </w:r>
            <w:r w:rsidR="00264897">
              <w:rPr>
                <w:szCs w:val="22"/>
                <w:lang w:val="en-CA"/>
              </w:rPr>
              <w:t>}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217021" w:rsidP="0026489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 Communications Inc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75BCF" w:rsidRPr="005B217D" w:rsidRDefault="00E0088C" w:rsidP="007D483D">
      <w:pPr>
        <w:jc w:val="both"/>
        <w:rPr>
          <w:lang w:val="en-CA"/>
        </w:rPr>
      </w:pPr>
      <w:r>
        <w:rPr>
          <w:lang w:val="en-CA"/>
        </w:rPr>
        <w:t xml:space="preserve">SHM1.0 complexity assessment </w:t>
      </w:r>
      <w:r w:rsidR="00C76595">
        <w:rPr>
          <w:lang w:val="en-CA"/>
        </w:rPr>
        <w:t xml:space="preserve">was done as part of the AHG17 </w:t>
      </w:r>
      <w:r>
        <w:rPr>
          <w:lang w:val="en-CA"/>
        </w:rPr>
        <w:t>activit</w:t>
      </w:r>
      <w:r w:rsidR="00C76595">
        <w:rPr>
          <w:lang w:val="en-CA"/>
        </w:rPr>
        <w:t>ies</w:t>
      </w:r>
      <w:r w:rsidR="000170D3">
        <w:rPr>
          <w:lang w:val="en-CA"/>
        </w:rPr>
        <w:t xml:space="preserve">, and the anchor results were released in </w:t>
      </w:r>
      <w:r w:rsidR="00B33DB1">
        <w:rPr>
          <w:lang w:val="en-CA"/>
        </w:rPr>
        <w:t xml:space="preserve">the </w:t>
      </w:r>
      <w:r w:rsidR="000170D3">
        <w:rPr>
          <w:lang w:val="en-CA"/>
        </w:rPr>
        <w:t>JCTVC-L0440 package</w:t>
      </w:r>
      <w:r w:rsidR="00B462FD">
        <w:rPr>
          <w:lang w:val="en-CA"/>
        </w:rPr>
        <w:t xml:space="preserve">. </w:t>
      </w:r>
      <w:r>
        <w:rPr>
          <w:lang w:val="en-CA"/>
        </w:rPr>
        <w:t>Using</w:t>
      </w:r>
      <w:r w:rsidR="00900546">
        <w:rPr>
          <w:lang w:val="en-CA"/>
        </w:rPr>
        <w:t xml:space="preserve"> the </w:t>
      </w:r>
      <w:r w:rsidR="00C76595">
        <w:rPr>
          <w:lang w:val="en-CA"/>
        </w:rPr>
        <w:t xml:space="preserve">SHM1.0 </w:t>
      </w:r>
      <w:r>
        <w:rPr>
          <w:lang w:val="en-CA"/>
        </w:rPr>
        <w:t>anchor</w:t>
      </w:r>
      <w:r w:rsidR="00B462FD">
        <w:rPr>
          <w:lang w:val="en-CA"/>
        </w:rPr>
        <w:t xml:space="preserve"> results </w:t>
      </w:r>
      <w:r w:rsidR="002A2BD4">
        <w:rPr>
          <w:lang w:val="en-CA"/>
        </w:rPr>
        <w:t>in the</w:t>
      </w:r>
      <w:r w:rsidR="009847B9">
        <w:rPr>
          <w:lang w:val="en-CA"/>
        </w:rPr>
        <w:t xml:space="preserve"> JCTVC-L0440</w:t>
      </w:r>
      <w:r w:rsidR="002A2BD4">
        <w:rPr>
          <w:lang w:val="en-CA"/>
        </w:rPr>
        <w:t xml:space="preserve"> package</w:t>
      </w:r>
      <w:r w:rsidR="000170D3">
        <w:rPr>
          <w:lang w:val="en-CA"/>
        </w:rPr>
        <w:t xml:space="preserve"> (labeled “r2”)</w:t>
      </w:r>
      <w:proofErr w:type="gramStart"/>
      <w:r w:rsidR="00B32929">
        <w:rPr>
          <w:lang w:val="en-CA"/>
        </w:rPr>
        <w:t>,</w:t>
      </w:r>
      <w:proofErr w:type="gramEnd"/>
      <w:r w:rsidR="00B32929">
        <w:rPr>
          <w:lang w:val="en-CA"/>
        </w:rPr>
        <w:t xml:space="preserve"> </w:t>
      </w:r>
      <w:r>
        <w:rPr>
          <w:lang w:val="en-CA"/>
        </w:rPr>
        <w:t xml:space="preserve">this </w:t>
      </w:r>
      <w:r w:rsidR="00C76595">
        <w:rPr>
          <w:lang w:val="en-CA"/>
        </w:rPr>
        <w:t xml:space="preserve">contribution </w:t>
      </w:r>
      <w:r w:rsidR="000170D3">
        <w:rPr>
          <w:lang w:val="en-CA"/>
        </w:rPr>
        <w:t>summarizes</w:t>
      </w:r>
      <w:r>
        <w:rPr>
          <w:lang w:val="en-CA"/>
        </w:rPr>
        <w:t xml:space="preserve"> </w:t>
      </w:r>
      <w:r w:rsidR="000170D3">
        <w:rPr>
          <w:lang w:val="en-CA"/>
        </w:rPr>
        <w:t xml:space="preserve">the </w:t>
      </w:r>
      <w:r w:rsidR="00B32929">
        <w:rPr>
          <w:lang w:val="en-CA"/>
        </w:rPr>
        <w:t>complexity</w:t>
      </w:r>
      <w:r>
        <w:rPr>
          <w:lang w:val="en-CA"/>
        </w:rPr>
        <w:t xml:space="preserve"> </w:t>
      </w:r>
      <w:r w:rsidR="00B32929">
        <w:rPr>
          <w:lang w:val="en-CA"/>
        </w:rPr>
        <w:t xml:space="preserve">of </w:t>
      </w:r>
      <w:r>
        <w:rPr>
          <w:lang w:val="en-CA"/>
        </w:rPr>
        <w:t xml:space="preserve">the </w:t>
      </w:r>
      <w:r w:rsidR="00B32929">
        <w:rPr>
          <w:lang w:val="en-CA"/>
        </w:rPr>
        <w:t xml:space="preserve">PU-based </w:t>
      </w:r>
      <w:proofErr w:type="spellStart"/>
      <w:r w:rsidR="00B32929">
        <w:rPr>
          <w:lang w:val="en-CA"/>
        </w:rPr>
        <w:t>RefIdx</w:t>
      </w:r>
      <w:proofErr w:type="spellEnd"/>
      <w:r w:rsidR="00B32929">
        <w:rPr>
          <w:lang w:val="en-CA"/>
        </w:rPr>
        <w:t xml:space="preserve">, </w:t>
      </w:r>
      <w:r>
        <w:rPr>
          <w:lang w:val="en-CA"/>
        </w:rPr>
        <w:t xml:space="preserve">the </w:t>
      </w:r>
      <w:r w:rsidR="00B32929">
        <w:rPr>
          <w:lang w:val="en-CA"/>
        </w:rPr>
        <w:t xml:space="preserve">Picture-based </w:t>
      </w:r>
      <w:proofErr w:type="spellStart"/>
      <w:r w:rsidR="00B32929">
        <w:rPr>
          <w:lang w:val="en-CA"/>
        </w:rPr>
        <w:t>Ref</w:t>
      </w:r>
      <w:r>
        <w:rPr>
          <w:lang w:val="en-CA"/>
        </w:rPr>
        <w:t>Idx</w:t>
      </w:r>
      <w:proofErr w:type="spellEnd"/>
      <w:r>
        <w:rPr>
          <w:lang w:val="en-CA"/>
        </w:rPr>
        <w:t xml:space="preserve">, and the </w:t>
      </w:r>
      <w:proofErr w:type="spellStart"/>
      <w:r>
        <w:rPr>
          <w:lang w:val="en-CA"/>
        </w:rPr>
        <w:t>IntraBL</w:t>
      </w:r>
      <w:proofErr w:type="spellEnd"/>
      <w:r w:rsidR="00C76595">
        <w:rPr>
          <w:lang w:val="en-CA"/>
        </w:rPr>
        <w:t xml:space="preserve"> implementations</w:t>
      </w:r>
      <w:r>
        <w:rPr>
          <w:lang w:val="en-CA"/>
        </w:rPr>
        <w:t xml:space="preserve">. </w:t>
      </w:r>
      <w:r w:rsidR="00C76595">
        <w:rPr>
          <w:lang w:val="en-CA"/>
        </w:rPr>
        <w:t xml:space="preserve">It is reported that the PU-based </w:t>
      </w:r>
      <w:proofErr w:type="spellStart"/>
      <w:r w:rsidR="00C76595">
        <w:rPr>
          <w:lang w:val="en-CA"/>
        </w:rPr>
        <w:t>RefIdx</w:t>
      </w:r>
      <w:proofErr w:type="spellEnd"/>
      <w:r w:rsidR="00C76595">
        <w:rPr>
          <w:lang w:val="en-CA"/>
        </w:rPr>
        <w:t xml:space="preserve"> and </w:t>
      </w:r>
      <w:proofErr w:type="spellStart"/>
      <w:r w:rsidR="00C76595">
        <w:rPr>
          <w:lang w:val="en-CA"/>
        </w:rPr>
        <w:t>IntraBL</w:t>
      </w:r>
      <w:proofErr w:type="spellEnd"/>
      <w:r w:rsidR="00C76595">
        <w:rPr>
          <w:lang w:val="en-CA"/>
        </w:rPr>
        <w:t xml:space="preserve"> solutions have similar complexity characteristics, whereas the complexity characteristics of the Picture-based </w:t>
      </w:r>
      <w:proofErr w:type="spellStart"/>
      <w:r w:rsidR="00C76595">
        <w:rPr>
          <w:lang w:val="en-CA"/>
        </w:rPr>
        <w:t>RefIdx</w:t>
      </w:r>
      <w:proofErr w:type="spellEnd"/>
      <w:r w:rsidR="00C76595">
        <w:rPr>
          <w:lang w:val="en-CA"/>
        </w:rPr>
        <w:t xml:space="preserve"> solution are very different. </w:t>
      </w:r>
      <w:r w:rsidR="000170D3">
        <w:rPr>
          <w:lang w:val="en-CA"/>
        </w:rPr>
        <w:t xml:space="preserve">It is </w:t>
      </w:r>
      <w:r w:rsidR="00B33DB1">
        <w:rPr>
          <w:lang w:val="en-CA"/>
        </w:rPr>
        <w:t xml:space="preserve">also </w:t>
      </w:r>
      <w:r w:rsidR="000170D3">
        <w:rPr>
          <w:lang w:val="en-CA"/>
        </w:rPr>
        <w:t xml:space="preserve">reported that </w:t>
      </w:r>
      <w:r w:rsidR="00B33DB1">
        <w:rPr>
          <w:lang w:val="en-CA"/>
        </w:rPr>
        <w:t xml:space="preserve">the </w:t>
      </w:r>
      <w:proofErr w:type="spellStart"/>
      <w:r w:rsidR="00B33DB1">
        <w:rPr>
          <w:lang w:val="en-CA"/>
        </w:rPr>
        <w:t>RefIdx</w:t>
      </w:r>
      <w:proofErr w:type="spellEnd"/>
      <w:r w:rsidR="00B33DB1">
        <w:rPr>
          <w:lang w:val="en-CA"/>
        </w:rPr>
        <w:t xml:space="preserve"> solution offers the design flexibility and allows different applications to choose from block-based or picture based implementation based on its </w:t>
      </w:r>
      <w:r w:rsidR="00F62DD8">
        <w:rPr>
          <w:lang w:val="en-CA"/>
        </w:rPr>
        <w:t xml:space="preserve">specific </w:t>
      </w:r>
      <w:r w:rsidR="00B33DB1">
        <w:rPr>
          <w:lang w:val="en-CA"/>
        </w:rPr>
        <w:t>complexity</w:t>
      </w:r>
      <w:r w:rsidR="00F62DD8">
        <w:rPr>
          <w:lang w:val="en-CA"/>
        </w:rPr>
        <w:t xml:space="preserve"> </w:t>
      </w:r>
      <w:r w:rsidR="00D1280E">
        <w:rPr>
          <w:lang w:val="en-CA"/>
        </w:rPr>
        <w:t>considerations</w:t>
      </w:r>
      <w:r w:rsidR="00B33DB1">
        <w:rPr>
          <w:lang w:val="en-CA"/>
        </w:rPr>
        <w:t xml:space="preserve">.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F6D36" w:rsidRDefault="009847B9" w:rsidP="009234A5">
      <w:pPr>
        <w:jc w:val="both"/>
        <w:rPr>
          <w:lang w:val="en-CA"/>
        </w:rPr>
      </w:pPr>
      <w:r>
        <w:rPr>
          <w:lang w:val="en-CA"/>
        </w:rPr>
        <w:t>At the 12</w:t>
      </w:r>
      <w:r w:rsidRPr="00313A42">
        <w:rPr>
          <w:vertAlign w:val="superscript"/>
          <w:lang w:val="en-CA"/>
        </w:rPr>
        <w:t>th</w:t>
      </w:r>
      <w:r>
        <w:rPr>
          <w:lang w:val="en-CA"/>
        </w:rPr>
        <w:t xml:space="preserve"> JCT-VC meeting, AHG17 was established to </w:t>
      </w:r>
      <w:r w:rsidR="00EA6A5B">
        <w:rPr>
          <w:lang w:val="en-CA"/>
        </w:rPr>
        <w:t>provide</w:t>
      </w:r>
      <w:r w:rsidR="00E0088C">
        <w:rPr>
          <w:lang w:val="en-CA"/>
        </w:rPr>
        <w:t xml:space="preserve"> </w:t>
      </w:r>
      <w:r>
        <w:rPr>
          <w:lang w:val="en-CA"/>
        </w:rPr>
        <w:t xml:space="preserve">complexity </w:t>
      </w:r>
      <w:r w:rsidR="00E0088C">
        <w:rPr>
          <w:lang w:val="en-CA"/>
        </w:rPr>
        <w:t xml:space="preserve">assessment methodology to </w:t>
      </w:r>
      <w:r w:rsidR="00AD10F6">
        <w:rPr>
          <w:lang w:val="en-CA"/>
        </w:rPr>
        <w:t>evaluate</w:t>
      </w:r>
      <w:r w:rsidR="00E0088C">
        <w:rPr>
          <w:lang w:val="en-CA"/>
        </w:rPr>
        <w:t xml:space="preserve"> the complexity (memory bandwidth and computational complexity) of scalable coding tools. </w:t>
      </w:r>
      <w:r w:rsidR="00F13E0D">
        <w:rPr>
          <w:lang w:val="en-CA"/>
        </w:rPr>
        <w:t>Since then</w:t>
      </w:r>
      <w:r>
        <w:rPr>
          <w:lang w:val="en-CA"/>
        </w:rPr>
        <w:t xml:space="preserve">, </w:t>
      </w:r>
      <w:r w:rsidR="00F13E0D">
        <w:rPr>
          <w:lang w:val="en-CA"/>
        </w:rPr>
        <w:t xml:space="preserve">a group of companies and individuals worked together to provide the </w:t>
      </w:r>
      <w:r>
        <w:rPr>
          <w:lang w:val="en-CA"/>
        </w:rPr>
        <w:t>complexity assessment modules</w:t>
      </w:r>
      <w:r w:rsidR="00EF6D36">
        <w:rPr>
          <w:lang w:val="en-CA"/>
        </w:rPr>
        <w:t xml:space="preserve"> and </w:t>
      </w:r>
      <w:r w:rsidR="00EA6A5B">
        <w:rPr>
          <w:lang w:val="en-CA"/>
        </w:rPr>
        <w:t xml:space="preserve">SHM1.0 </w:t>
      </w:r>
      <w:r w:rsidR="00EF6D36">
        <w:rPr>
          <w:lang w:val="en-CA"/>
        </w:rPr>
        <w:t>anchor results. These were released on Feb 23</w:t>
      </w:r>
      <w:r w:rsidR="00900546">
        <w:rPr>
          <w:lang w:val="en-CA"/>
        </w:rPr>
        <w:t>, and were used as anchor</w:t>
      </w:r>
      <w:r w:rsidR="00EA6A5B">
        <w:rPr>
          <w:lang w:val="en-CA"/>
        </w:rPr>
        <w:t>s</w:t>
      </w:r>
      <w:r w:rsidR="00900546">
        <w:rPr>
          <w:lang w:val="en-CA"/>
        </w:rPr>
        <w:t xml:space="preserve"> </w:t>
      </w:r>
      <w:r w:rsidR="00AD10F6">
        <w:rPr>
          <w:lang w:val="en-CA"/>
        </w:rPr>
        <w:t>and reference modules</w:t>
      </w:r>
      <w:r w:rsidR="00900546">
        <w:rPr>
          <w:lang w:val="en-CA"/>
        </w:rPr>
        <w:t xml:space="preserve"> </w:t>
      </w:r>
      <w:r w:rsidR="00AD10F6">
        <w:rPr>
          <w:lang w:val="en-CA"/>
        </w:rPr>
        <w:t>to study the co</w:t>
      </w:r>
      <w:r w:rsidR="00900546">
        <w:rPr>
          <w:lang w:val="en-CA"/>
        </w:rPr>
        <w:t xml:space="preserve">mplexity </w:t>
      </w:r>
      <w:r w:rsidR="00AD10F6">
        <w:rPr>
          <w:lang w:val="en-CA"/>
        </w:rPr>
        <w:t xml:space="preserve">of coding tools </w:t>
      </w:r>
      <w:r w:rsidR="00EF6D36">
        <w:rPr>
          <w:lang w:val="en-CA"/>
        </w:rPr>
        <w:t xml:space="preserve">in SCE3 </w:t>
      </w:r>
      <w:r w:rsidR="00AD10F6">
        <w:rPr>
          <w:lang w:val="en-CA"/>
        </w:rPr>
        <w:t xml:space="preserve">(combined prediction) </w:t>
      </w:r>
      <w:r w:rsidR="00EF6D36">
        <w:rPr>
          <w:lang w:val="en-CA"/>
        </w:rPr>
        <w:t>and SCE4</w:t>
      </w:r>
      <w:r w:rsidR="00AD10F6">
        <w:rPr>
          <w:lang w:val="en-CA"/>
        </w:rPr>
        <w:t xml:space="preserve"> (inter layer filtering). In this contribution, we analyze the anchor results provided by AHG17 to get a better understanding of the complexity of the two scalable solutions in SHM1.0. </w:t>
      </w:r>
      <w:r w:rsidR="00EA6A5B">
        <w:rPr>
          <w:lang w:val="en-CA"/>
        </w:rPr>
        <w:t>The results referred to in this contribution can be fo</w:t>
      </w:r>
      <w:r w:rsidR="00B33DB1">
        <w:rPr>
          <w:lang w:val="en-CA"/>
        </w:rPr>
        <w:t>und in the latest JCTVC-L0440-v</w:t>
      </w:r>
      <w:r w:rsidR="00812FDD">
        <w:rPr>
          <w:lang w:val="en-CA"/>
        </w:rPr>
        <w:t>4</w:t>
      </w:r>
      <w:r w:rsidR="00EA6A5B">
        <w:rPr>
          <w:lang w:val="en-CA"/>
        </w:rPr>
        <w:t xml:space="preserve"> package </w:t>
      </w:r>
      <w:r w:rsidR="00741EFF">
        <w:rPr>
          <w:highlight w:val="yellow"/>
          <w:lang w:val="en-CA"/>
        </w:rPr>
        <w:fldChar w:fldCharType="begin"/>
      </w:r>
      <w:r w:rsidR="00C76595">
        <w:rPr>
          <w:lang w:val="en-CA"/>
        </w:rPr>
        <w:instrText xml:space="preserve"> REF _Ref352096718 \r \h </w:instrText>
      </w:r>
      <w:r w:rsidR="00741EFF">
        <w:rPr>
          <w:highlight w:val="yellow"/>
          <w:lang w:val="en-CA"/>
        </w:rPr>
      </w:r>
      <w:r w:rsidR="00741EFF">
        <w:rPr>
          <w:highlight w:val="yellow"/>
          <w:lang w:val="en-CA"/>
        </w:rPr>
        <w:fldChar w:fldCharType="separate"/>
      </w:r>
      <w:r w:rsidR="000B7878">
        <w:rPr>
          <w:lang w:val="en-CA"/>
        </w:rPr>
        <w:t>[1]</w:t>
      </w:r>
      <w:r w:rsidR="00741EFF">
        <w:rPr>
          <w:highlight w:val="yellow"/>
          <w:lang w:val="en-CA"/>
        </w:rPr>
        <w:fldChar w:fldCharType="end"/>
      </w:r>
      <w:r w:rsidR="00C76595">
        <w:rPr>
          <w:lang w:val="en-CA"/>
        </w:rPr>
        <w:t>.</w:t>
      </w:r>
    </w:p>
    <w:p w:rsidR="00900546" w:rsidRDefault="00900546" w:rsidP="009234A5">
      <w:pPr>
        <w:jc w:val="both"/>
        <w:rPr>
          <w:lang w:val="en-CA"/>
        </w:rPr>
      </w:pPr>
      <w:r>
        <w:rPr>
          <w:lang w:val="en-CA"/>
        </w:rPr>
        <w:t xml:space="preserve">SHM1.0 supports two scalable solutions, the 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 solution and the </w:t>
      </w:r>
      <w:proofErr w:type="spellStart"/>
      <w:r>
        <w:rPr>
          <w:lang w:val="en-CA"/>
        </w:rPr>
        <w:t>IntraBL</w:t>
      </w:r>
      <w:proofErr w:type="spellEnd"/>
      <w:r>
        <w:rPr>
          <w:lang w:val="en-CA"/>
        </w:rPr>
        <w:t xml:space="preserve"> solution. </w:t>
      </w:r>
      <w:r w:rsidR="00EA6A5B">
        <w:rPr>
          <w:lang w:val="en-CA"/>
        </w:rPr>
        <w:t>At the 12</w:t>
      </w:r>
      <w:r w:rsidR="00EA6A5B" w:rsidRPr="00EA6A5B">
        <w:rPr>
          <w:vertAlign w:val="superscript"/>
          <w:lang w:val="en-CA"/>
        </w:rPr>
        <w:t>th</w:t>
      </w:r>
      <w:r w:rsidR="00EA6A5B">
        <w:rPr>
          <w:lang w:val="en-CA"/>
        </w:rPr>
        <w:t xml:space="preserve"> JCT-VC meeting, th</w:t>
      </w:r>
      <w:r w:rsidR="00AD10F6">
        <w:rPr>
          <w:lang w:val="en-CA"/>
        </w:rPr>
        <w:t xml:space="preserve">e zero-motion restriction </w:t>
      </w:r>
      <w:r w:rsidR="00EA6A5B">
        <w:rPr>
          <w:lang w:val="en-CA"/>
        </w:rPr>
        <w:t xml:space="preserve">on the inter layer predicted PUs was adopted </w:t>
      </w:r>
      <w:r>
        <w:rPr>
          <w:lang w:val="en-CA"/>
        </w:rPr>
        <w:t>in</w:t>
      </w:r>
      <w:r w:rsidR="00EA6A5B">
        <w:rPr>
          <w:lang w:val="en-CA"/>
        </w:rPr>
        <w:t>to</w:t>
      </w:r>
      <w:r>
        <w:rPr>
          <w:lang w:val="en-CA"/>
        </w:rPr>
        <w:t xml:space="preserve"> the 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 </w:t>
      </w:r>
      <w:r w:rsidR="00EA6A5B">
        <w:rPr>
          <w:lang w:val="en-CA"/>
        </w:rPr>
        <w:t>framework</w:t>
      </w:r>
      <w:r w:rsidR="00AD10F6">
        <w:rPr>
          <w:lang w:val="en-CA"/>
        </w:rPr>
        <w:t xml:space="preserve"> </w:t>
      </w:r>
      <w:r w:rsidR="00741EFF">
        <w:rPr>
          <w:highlight w:val="yellow"/>
          <w:lang w:val="en-CA"/>
        </w:rPr>
        <w:fldChar w:fldCharType="begin"/>
      </w:r>
      <w:r w:rsidR="00C76595">
        <w:rPr>
          <w:lang w:val="en-CA"/>
        </w:rPr>
        <w:instrText xml:space="preserve"> REF _Ref352096730 \r \h </w:instrText>
      </w:r>
      <w:r w:rsidR="00741EFF">
        <w:rPr>
          <w:highlight w:val="yellow"/>
          <w:lang w:val="en-CA"/>
        </w:rPr>
      </w:r>
      <w:r w:rsidR="00741EFF">
        <w:rPr>
          <w:highlight w:val="yellow"/>
          <w:lang w:val="en-CA"/>
        </w:rPr>
        <w:fldChar w:fldCharType="separate"/>
      </w:r>
      <w:r w:rsidR="000B7878">
        <w:rPr>
          <w:lang w:val="en-CA"/>
        </w:rPr>
        <w:t>[2]</w:t>
      </w:r>
      <w:r w:rsidR="00741EFF">
        <w:rPr>
          <w:highlight w:val="yellow"/>
          <w:lang w:val="en-CA"/>
        </w:rPr>
        <w:fldChar w:fldCharType="end"/>
      </w:r>
      <w:r w:rsidR="00C76595">
        <w:rPr>
          <w:lang w:val="en-CA"/>
        </w:rPr>
        <w:t xml:space="preserve"> </w:t>
      </w:r>
      <w:r w:rsidR="00AD10F6">
        <w:rPr>
          <w:lang w:val="en-CA"/>
        </w:rPr>
        <w:t>as a normative bi</w:t>
      </w:r>
      <w:r w:rsidR="00EA6A5B">
        <w:rPr>
          <w:lang w:val="en-CA"/>
        </w:rPr>
        <w:t xml:space="preserve">tstream conformance requirement, because it was found that the zero-motion restriction provided </w:t>
      </w:r>
      <w:r w:rsidR="005906A9">
        <w:rPr>
          <w:lang w:val="en-CA"/>
        </w:rPr>
        <w:t xml:space="preserve">not only </w:t>
      </w:r>
      <w:r w:rsidR="00EA6A5B">
        <w:rPr>
          <w:lang w:val="en-CA"/>
        </w:rPr>
        <w:t>complexity reduction, but also performance gain</w:t>
      </w:r>
      <w:r w:rsidR="005906A9">
        <w:rPr>
          <w:lang w:val="en-CA"/>
        </w:rPr>
        <w:t xml:space="preserve"> for the </w:t>
      </w:r>
      <w:proofErr w:type="spellStart"/>
      <w:r w:rsidR="005906A9">
        <w:rPr>
          <w:lang w:val="en-CA"/>
        </w:rPr>
        <w:t>RefIdx</w:t>
      </w:r>
      <w:proofErr w:type="spellEnd"/>
      <w:r w:rsidR="005906A9">
        <w:rPr>
          <w:lang w:val="en-CA"/>
        </w:rPr>
        <w:t xml:space="preserve"> solution</w:t>
      </w:r>
      <w:r w:rsidR="00EA6A5B">
        <w:rPr>
          <w:lang w:val="en-CA"/>
        </w:rPr>
        <w:t xml:space="preserve">. </w:t>
      </w:r>
      <w:r w:rsidR="005906A9">
        <w:rPr>
          <w:lang w:val="en-CA"/>
        </w:rPr>
        <w:t xml:space="preserve">Because of this </w:t>
      </w:r>
      <w:proofErr w:type="spellStart"/>
      <w:r w:rsidR="005906A9">
        <w:rPr>
          <w:lang w:val="en-CA"/>
        </w:rPr>
        <w:t>bitstream</w:t>
      </w:r>
      <w:proofErr w:type="spellEnd"/>
      <w:r w:rsidR="005906A9">
        <w:rPr>
          <w:lang w:val="en-CA"/>
        </w:rPr>
        <w:t xml:space="preserve"> restriction, </w:t>
      </w:r>
      <w:r>
        <w:rPr>
          <w:lang w:val="en-CA"/>
        </w:rPr>
        <w:t xml:space="preserve">the 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 solution </w:t>
      </w:r>
      <w:r w:rsidR="005906A9">
        <w:rPr>
          <w:lang w:val="en-CA"/>
        </w:rPr>
        <w:t xml:space="preserve">can be implemented </w:t>
      </w:r>
      <w:r>
        <w:rPr>
          <w:lang w:val="en-CA"/>
        </w:rPr>
        <w:t>in either PU-based approach</w:t>
      </w:r>
      <w:r w:rsidR="005906A9">
        <w:rPr>
          <w:lang w:val="en-CA"/>
        </w:rPr>
        <w:t xml:space="preserve"> </w:t>
      </w:r>
      <w:r>
        <w:rPr>
          <w:lang w:val="en-CA"/>
        </w:rPr>
        <w:t>or picture-based approach</w:t>
      </w:r>
      <w:r w:rsidR="000C28F9">
        <w:rPr>
          <w:lang w:val="en-CA"/>
        </w:rPr>
        <w:t xml:space="preserve"> without </w:t>
      </w:r>
      <w:r w:rsidR="0090206E">
        <w:rPr>
          <w:lang w:val="en-CA"/>
        </w:rPr>
        <w:t>the need to consider</w:t>
      </w:r>
      <w:r w:rsidR="000C28F9">
        <w:rPr>
          <w:lang w:val="en-CA"/>
        </w:rPr>
        <w:t xml:space="preserve"> fractional-pixel interpolation </w:t>
      </w:r>
      <w:r w:rsidR="0090206E">
        <w:rPr>
          <w:lang w:val="en-CA"/>
        </w:rPr>
        <w:t>due to non-zero inter-layer motion</w:t>
      </w:r>
      <w:r>
        <w:rPr>
          <w:lang w:val="en-CA"/>
        </w:rPr>
        <w:t xml:space="preserve">. </w:t>
      </w:r>
      <w:r w:rsidR="005906A9">
        <w:rPr>
          <w:lang w:val="en-CA"/>
        </w:rPr>
        <w:t>For</w:t>
      </w:r>
      <w:r>
        <w:rPr>
          <w:lang w:val="en-CA"/>
        </w:rPr>
        <w:t xml:space="preserve"> PU-based </w:t>
      </w:r>
      <w:proofErr w:type="spellStart"/>
      <w:r w:rsidR="005906A9">
        <w:rPr>
          <w:lang w:val="en-CA"/>
        </w:rPr>
        <w:t>RefIdx</w:t>
      </w:r>
      <w:proofErr w:type="spellEnd"/>
      <w:r w:rsidR="005906A9">
        <w:rPr>
          <w:lang w:val="en-CA"/>
        </w:rPr>
        <w:t xml:space="preserve"> implementation</w:t>
      </w:r>
      <w:r>
        <w:rPr>
          <w:lang w:val="en-CA"/>
        </w:rPr>
        <w:t xml:space="preserve">, </w:t>
      </w:r>
      <w:r w:rsidR="00B32929">
        <w:rPr>
          <w:lang w:val="en-CA"/>
        </w:rPr>
        <w:t xml:space="preserve">the </w:t>
      </w:r>
      <w:r w:rsidR="005906A9">
        <w:rPr>
          <w:lang w:val="en-CA"/>
        </w:rPr>
        <w:t xml:space="preserve">reconstructed </w:t>
      </w:r>
      <w:r w:rsidR="00B32929">
        <w:rPr>
          <w:lang w:val="en-CA"/>
        </w:rPr>
        <w:t xml:space="preserve">BL blocks </w:t>
      </w:r>
      <w:r w:rsidR="005906A9">
        <w:rPr>
          <w:lang w:val="en-CA"/>
        </w:rPr>
        <w:t xml:space="preserve">are upsampled </w:t>
      </w:r>
      <w:r w:rsidR="00B32929">
        <w:rPr>
          <w:lang w:val="en-CA"/>
        </w:rPr>
        <w:t>on the fly and use</w:t>
      </w:r>
      <w:r w:rsidR="005906A9">
        <w:rPr>
          <w:lang w:val="en-CA"/>
        </w:rPr>
        <w:t xml:space="preserve">d </w:t>
      </w:r>
      <w:r w:rsidR="00B32929">
        <w:rPr>
          <w:lang w:val="en-CA"/>
        </w:rPr>
        <w:t>in inter layer prediction</w:t>
      </w:r>
      <w:r>
        <w:rPr>
          <w:lang w:val="en-CA"/>
        </w:rPr>
        <w:t xml:space="preserve">; </w:t>
      </w:r>
      <w:r w:rsidR="005906A9">
        <w:rPr>
          <w:lang w:val="en-CA"/>
        </w:rPr>
        <w:t>and</w:t>
      </w:r>
      <w:r>
        <w:rPr>
          <w:lang w:val="en-CA"/>
        </w:rPr>
        <w:t xml:space="preserve"> the EL </w:t>
      </w:r>
      <w:r w:rsidR="00B32929">
        <w:rPr>
          <w:lang w:val="en-CA"/>
        </w:rPr>
        <w:t>decoder</w:t>
      </w:r>
      <w:r w:rsidR="005906A9">
        <w:rPr>
          <w:lang w:val="en-CA"/>
        </w:rPr>
        <w:t xml:space="preserve"> is re-designed to support the on-the-fly upsampling</w:t>
      </w:r>
      <w:r>
        <w:rPr>
          <w:lang w:val="en-CA"/>
        </w:rPr>
        <w:t xml:space="preserve">. </w:t>
      </w:r>
      <w:r w:rsidR="005906A9">
        <w:rPr>
          <w:lang w:val="en-CA"/>
        </w:rPr>
        <w:t xml:space="preserve">On the other hand, for picture-based </w:t>
      </w:r>
      <w:proofErr w:type="spellStart"/>
      <w:r w:rsidR="005906A9">
        <w:rPr>
          <w:lang w:val="en-CA"/>
        </w:rPr>
        <w:t>RefIdx</w:t>
      </w:r>
      <w:proofErr w:type="spellEnd"/>
      <w:r w:rsidR="005906A9">
        <w:rPr>
          <w:lang w:val="en-CA"/>
        </w:rPr>
        <w:t xml:space="preserve"> implementation,</w:t>
      </w:r>
      <w:r>
        <w:rPr>
          <w:lang w:val="en-CA"/>
        </w:rPr>
        <w:t xml:space="preserve"> </w:t>
      </w:r>
      <w:r w:rsidR="00B32929">
        <w:rPr>
          <w:lang w:val="en-CA"/>
        </w:rPr>
        <w:t xml:space="preserve">the entire BL reconstructed picture </w:t>
      </w:r>
      <w:r w:rsidR="005906A9">
        <w:rPr>
          <w:lang w:val="en-CA"/>
        </w:rPr>
        <w:t xml:space="preserve">is upsampled </w:t>
      </w:r>
      <w:r w:rsidR="00B32929">
        <w:rPr>
          <w:lang w:val="en-CA"/>
        </w:rPr>
        <w:t xml:space="preserve">and </w:t>
      </w:r>
      <w:r w:rsidR="005906A9">
        <w:rPr>
          <w:lang w:val="en-CA"/>
        </w:rPr>
        <w:t xml:space="preserve">stored </w:t>
      </w:r>
      <w:r w:rsidR="00B32929">
        <w:rPr>
          <w:lang w:val="en-CA"/>
        </w:rPr>
        <w:t xml:space="preserve">in the EL DPB, </w:t>
      </w:r>
      <w:r w:rsidR="005906A9">
        <w:rPr>
          <w:lang w:val="en-CA"/>
        </w:rPr>
        <w:t xml:space="preserve">in a way that is transparent to the </w:t>
      </w:r>
      <w:r w:rsidR="00513BAD">
        <w:rPr>
          <w:lang w:val="en-CA"/>
        </w:rPr>
        <w:t>EL decoder</w:t>
      </w:r>
      <w:r w:rsidR="007E7ACB">
        <w:rPr>
          <w:lang w:val="en-CA"/>
        </w:rPr>
        <w:t xml:space="preserve"> and its block level operations</w:t>
      </w:r>
      <w:r w:rsidR="00B32929">
        <w:rPr>
          <w:lang w:val="en-CA"/>
        </w:rPr>
        <w:t xml:space="preserve">. </w:t>
      </w:r>
      <w:r w:rsidR="00EE633A">
        <w:rPr>
          <w:lang w:val="en-CA"/>
        </w:rPr>
        <w:t>Because</w:t>
      </w:r>
      <w:r w:rsidR="005906A9">
        <w:rPr>
          <w:lang w:val="en-CA"/>
        </w:rPr>
        <w:t xml:space="preserve"> t</w:t>
      </w:r>
      <w:r>
        <w:rPr>
          <w:lang w:val="en-CA"/>
        </w:rPr>
        <w:t xml:space="preserve">he </w:t>
      </w:r>
      <w:proofErr w:type="spellStart"/>
      <w:r>
        <w:rPr>
          <w:lang w:val="en-CA"/>
        </w:rPr>
        <w:t>IntraBL</w:t>
      </w:r>
      <w:proofErr w:type="spellEnd"/>
      <w:r>
        <w:rPr>
          <w:lang w:val="en-CA"/>
        </w:rPr>
        <w:t xml:space="preserve"> solution</w:t>
      </w:r>
      <w:r w:rsidR="00EE633A">
        <w:rPr>
          <w:lang w:val="en-CA"/>
        </w:rPr>
        <w:t xml:space="preserve"> requires block level changes</w:t>
      </w:r>
      <w:r w:rsidR="005906A9">
        <w:rPr>
          <w:lang w:val="en-CA"/>
        </w:rPr>
        <w:t xml:space="preserve">, </w:t>
      </w:r>
      <w:r w:rsidR="00EE633A">
        <w:rPr>
          <w:lang w:val="en-CA"/>
        </w:rPr>
        <w:t>only</w:t>
      </w:r>
      <w:r w:rsidR="00B32929">
        <w:rPr>
          <w:lang w:val="en-CA"/>
        </w:rPr>
        <w:t xml:space="preserve"> block-based </w:t>
      </w:r>
      <w:r w:rsidR="005906A9">
        <w:rPr>
          <w:lang w:val="en-CA"/>
        </w:rPr>
        <w:t>implementation</w:t>
      </w:r>
      <w:r w:rsidR="00EE633A">
        <w:rPr>
          <w:lang w:val="en-CA"/>
        </w:rPr>
        <w:t xml:space="preserve"> of </w:t>
      </w:r>
      <w:proofErr w:type="spellStart"/>
      <w:r w:rsidR="00EE633A">
        <w:rPr>
          <w:lang w:val="en-CA"/>
        </w:rPr>
        <w:t>IntraBL</w:t>
      </w:r>
      <w:proofErr w:type="spellEnd"/>
      <w:r w:rsidR="005906A9">
        <w:rPr>
          <w:lang w:val="en-CA"/>
        </w:rPr>
        <w:t xml:space="preserve"> is considered. </w:t>
      </w:r>
    </w:p>
    <w:p w:rsidR="00EA6A5B" w:rsidRDefault="00EE633A" w:rsidP="009234A5">
      <w:pPr>
        <w:jc w:val="both"/>
        <w:rPr>
          <w:lang w:val="en-CA"/>
        </w:rPr>
      </w:pPr>
      <w:r>
        <w:rPr>
          <w:lang w:val="en-CA"/>
        </w:rPr>
        <w:t>The complexity results of SHM1.0 anchors released i</w:t>
      </w:r>
      <w:r w:rsidR="00B32929">
        <w:rPr>
          <w:lang w:val="en-CA"/>
        </w:rPr>
        <w:t xml:space="preserve">n </w:t>
      </w:r>
      <w:r w:rsidR="00EA6A5B">
        <w:rPr>
          <w:lang w:val="en-CA"/>
        </w:rPr>
        <w:t xml:space="preserve">the </w:t>
      </w:r>
      <w:r w:rsidR="009847B9">
        <w:rPr>
          <w:lang w:val="en-CA"/>
        </w:rPr>
        <w:t>JCTVC-L0440</w:t>
      </w:r>
      <w:r w:rsidR="00EA6A5B">
        <w:rPr>
          <w:lang w:val="en-CA"/>
        </w:rPr>
        <w:t>-v4 package</w:t>
      </w:r>
      <w:r>
        <w:rPr>
          <w:lang w:val="en-CA"/>
        </w:rPr>
        <w:t xml:space="preserve"> consist of the</w:t>
      </w:r>
      <w:r w:rsidR="00EA6A5B">
        <w:rPr>
          <w:lang w:val="en-CA"/>
        </w:rPr>
        <w:t xml:space="preserve"> following </w:t>
      </w:r>
      <w:r w:rsidR="009847B9">
        <w:rPr>
          <w:lang w:val="en-CA"/>
        </w:rPr>
        <w:t xml:space="preserve">three categories: </w:t>
      </w:r>
    </w:p>
    <w:p w:rsidR="00EA6A5B" w:rsidRPr="00EA6A5B" w:rsidRDefault="00EE633A" w:rsidP="00EA6A5B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lastRenderedPageBreak/>
        <w:t>T</w:t>
      </w:r>
      <w:r w:rsidR="009847B9">
        <w:rPr>
          <w:lang w:val="en-CA"/>
        </w:rPr>
        <w:t>he</w:t>
      </w:r>
      <w:r w:rsidR="00B32929">
        <w:rPr>
          <w:lang w:val="en-CA"/>
        </w:rPr>
        <w:t xml:space="preserve"> </w:t>
      </w:r>
      <w:r>
        <w:rPr>
          <w:lang w:val="en-CA"/>
        </w:rPr>
        <w:t xml:space="preserve">block-based </w:t>
      </w:r>
      <w:proofErr w:type="spellStart"/>
      <w:r w:rsidR="009847B9">
        <w:rPr>
          <w:lang w:val="en-CA"/>
        </w:rPr>
        <w:t>IntraBL</w:t>
      </w:r>
      <w:proofErr w:type="spellEnd"/>
      <w:r w:rsidR="009847B9">
        <w:rPr>
          <w:lang w:val="en-CA"/>
        </w:rPr>
        <w:t xml:space="preserve"> </w:t>
      </w:r>
      <w:r>
        <w:rPr>
          <w:lang w:val="en-CA"/>
        </w:rPr>
        <w:t xml:space="preserve">implementation in </w:t>
      </w:r>
      <w:r w:rsidRPr="00B32929">
        <w:rPr>
          <w:szCs w:val="22"/>
          <w:lang w:val="en-CA"/>
        </w:rPr>
        <w:t>JCTVC-L0440_ComplexityAnalysis_r2_Anchor_IntraBL</w:t>
      </w:r>
      <w:r>
        <w:rPr>
          <w:szCs w:val="22"/>
          <w:lang w:val="en-CA"/>
        </w:rPr>
        <w:t>.xls,</w:t>
      </w:r>
    </w:p>
    <w:p w:rsidR="00EA6A5B" w:rsidRPr="00EA6A5B" w:rsidRDefault="00EE633A" w:rsidP="00EA6A5B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T</w:t>
      </w:r>
      <w:r w:rsidR="00EA6A5B">
        <w:rPr>
          <w:lang w:val="en-CA"/>
        </w:rPr>
        <w:t xml:space="preserve">he PU-based </w:t>
      </w:r>
      <w:proofErr w:type="spellStart"/>
      <w:r w:rsidR="00EA6A5B">
        <w:rPr>
          <w:lang w:val="en-CA"/>
        </w:rPr>
        <w:t>RefIdx</w:t>
      </w:r>
      <w:proofErr w:type="spellEnd"/>
      <w:r w:rsidR="00EA6A5B">
        <w:rPr>
          <w:lang w:val="en-CA"/>
        </w:rPr>
        <w:t xml:space="preserve"> implementation in</w:t>
      </w:r>
      <w:r w:rsidR="00B3292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JCTVC</w:t>
      </w:r>
      <w:r w:rsidRPr="00B32929">
        <w:rPr>
          <w:szCs w:val="22"/>
          <w:lang w:val="en-CA"/>
        </w:rPr>
        <w:t>-L0440_Complex</w:t>
      </w:r>
      <w:r>
        <w:rPr>
          <w:szCs w:val="22"/>
          <w:lang w:val="en-CA"/>
        </w:rPr>
        <w:t>ityAnalysis_r2_Anchor_RefIdx_PU</w:t>
      </w:r>
      <w:r w:rsidRPr="00B32929">
        <w:rPr>
          <w:szCs w:val="22"/>
          <w:lang w:val="en-CA"/>
        </w:rPr>
        <w:t>_based_upsampling</w:t>
      </w:r>
      <w:r>
        <w:rPr>
          <w:szCs w:val="22"/>
          <w:lang w:val="en-CA"/>
        </w:rPr>
        <w:t xml:space="preserve">.xls, </w:t>
      </w:r>
      <w:r w:rsidR="00B32929">
        <w:rPr>
          <w:szCs w:val="22"/>
          <w:lang w:val="en-CA"/>
        </w:rPr>
        <w:t xml:space="preserve">and </w:t>
      </w:r>
    </w:p>
    <w:p w:rsidR="001F2594" w:rsidRPr="007E7ACB" w:rsidRDefault="00EA6A5B" w:rsidP="00EA6A5B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 xml:space="preserve">The picture-based 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 implementation in </w:t>
      </w:r>
      <w:r w:rsidR="00EE633A">
        <w:rPr>
          <w:szCs w:val="22"/>
          <w:lang w:val="en-CA"/>
        </w:rPr>
        <w:t>J</w:t>
      </w:r>
      <w:r w:rsidR="00EE633A" w:rsidRPr="00B32929">
        <w:rPr>
          <w:szCs w:val="22"/>
          <w:lang w:val="en-CA"/>
        </w:rPr>
        <w:t>CTVC-L0440_ComplexityAnalysis_r2_Anchor_RefIdx_Pic_based_upsampling</w:t>
      </w:r>
      <w:r w:rsidR="00EE633A">
        <w:rPr>
          <w:szCs w:val="22"/>
          <w:lang w:val="en-CA"/>
        </w:rPr>
        <w:t>.xls.</w:t>
      </w:r>
    </w:p>
    <w:p w:rsidR="007E7ACB" w:rsidRPr="00B32929" w:rsidRDefault="007E7ACB" w:rsidP="007E7ACB">
      <w:pPr>
        <w:jc w:val="both"/>
        <w:rPr>
          <w:lang w:val="en-CA"/>
        </w:rPr>
      </w:pPr>
      <w:r>
        <w:rPr>
          <w:szCs w:val="22"/>
          <w:lang w:val="en-CA"/>
        </w:rPr>
        <w:t>Later in April, an updated JCTVC-L0440-v5 package was released, which additionally includes the complexity data for HM8.1 simulcast. The HM8.1 simulcast complexity data was used as the reference for complexity analysis below.</w:t>
      </w:r>
    </w:p>
    <w:p w:rsidR="00F13E0D" w:rsidRDefault="00F13E0D" w:rsidP="00F13E0D">
      <w:pPr>
        <w:pStyle w:val="Heading1"/>
        <w:rPr>
          <w:lang w:val="en-CA"/>
        </w:rPr>
      </w:pPr>
      <w:bookmarkStart w:id="0" w:name="OLE_LINK1"/>
      <w:bookmarkStart w:id="1" w:name="OLE_LINK2"/>
      <w:r>
        <w:rPr>
          <w:lang w:val="en-CA"/>
        </w:rPr>
        <w:t>Summary of complexity assessment results</w:t>
      </w:r>
    </w:p>
    <w:p w:rsidR="003132AE" w:rsidRDefault="00EE633A" w:rsidP="003132AE">
      <w:pPr>
        <w:rPr>
          <w:lang w:val="en-CA"/>
        </w:rPr>
      </w:pPr>
      <w:r>
        <w:rPr>
          <w:lang w:val="en-CA"/>
        </w:rPr>
        <w:t>Both average case c</w:t>
      </w:r>
      <w:r w:rsidR="003132AE">
        <w:rPr>
          <w:lang w:val="en-CA"/>
        </w:rPr>
        <w:t>omplexity</w:t>
      </w:r>
      <w:r>
        <w:rPr>
          <w:lang w:val="en-CA"/>
        </w:rPr>
        <w:t xml:space="preserve"> and worst case complexity are analyzed, as follows</w:t>
      </w:r>
      <w:r w:rsidR="003132AE">
        <w:rPr>
          <w:lang w:val="en-CA"/>
        </w:rPr>
        <w:t xml:space="preserve">: </w:t>
      </w:r>
    </w:p>
    <w:p w:rsidR="003132AE" w:rsidRDefault="003132AE" w:rsidP="007D483D">
      <w:pPr>
        <w:numPr>
          <w:ilvl w:val="0"/>
          <w:numId w:val="12"/>
        </w:numPr>
        <w:jc w:val="both"/>
        <w:rPr>
          <w:lang w:val="en-CA"/>
        </w:rPr>
      </w:pPr>
      <w:r>
        <w:rPr>
          <w:lang w:val="en-CA"/>
        </w:rPr>
        <w:t xml:space="preserve">Average complexity: memory </w:t>
      </w:r>
      <w:r w:rsidR="00EE633A">
        <w:rPr>
          <w:lang w:val="en-CA"/>
        </w:rPr>
        <w:t>access</w:t>
      </w:r>
      <w:r>
        <w:rPr>
          <w:lang w:val="en-CA"/>
        </w:rPr>
        <w:t xml:space="preserve"> and number of calculations</w:t>
      </w:r>
      <w:r w:rsidR="009F2034">
        <w:rPr>
          <w:lang w:val="en-CA"/>
        </w:rPr>
        <w:t xml:space="preserve"> due to upsampling</w:t>
      </w:r>
      <w:r w:rsidR="00EE633A">
        <w:rPr>
          <w:lang w:val="en-CA"/>
        </w:rPr>
        <w:t xml:space="preserve"> (block based or picture based)</w:t>
      </w:r>
      <w:r w:rsidR="009F2034">
        <w:rPr>
          <w:lang w:val="en-CA"/>
        </w:rPr>
        <w:t xml:space="preserve"> and</w:t>
      </w:r>
      <w:r w:rsidR="00EE633A">
        <w:rPr>
          <w:lang w:val="en-CA"/>
        </w:rPr>
        <w:t xml:space="preserve"> temporal</w:t>
      </w:r>
      <w:r w:rsidR="009F2034">
        <w:rPr>
          <w:lang w:val="en-CA"/>
        </w:rPr>
        <w:t xml:space="preserve"> motion compensation </w:t>
      </w:r>
      <w:r w:rsidR="00EE633A">
        <w:rPr>
          <w:lang w:val="en-CA"/>
        </w:rPr>
        <w:t>in the BL and</w:t>
      </w:r>
      <w:r w:rsidR="009F2034">
        <w:rPr>
          <w:lang w:val="en-CA"/>
        </w:rPr>
        <w:t xml:space="preserve"> EL are </w:t>
      </w:r>
      <w:r w:rsidR="00EE633A">
        <w:rPr>
          <w:lang w:val="en-CA"/>
        </w:rPr>
        <w:t>collec</w:t>
      </w:r>
      <w:r w:rsidR="009F2034">
        <w:rPr>
          <w:lang w:val="en-CA"/>
        </w:rPr>
        <w:t xml:space="preserve">ted </w:t>
      </w:r>
      <w:r>
        <w:rPr>
          <w:lang w:val="en-CA"/>
        </w:rPr>
        <w:t xml:space="preserve">using the </w:t>
      </w:r>
      <w:r w:rsidR="00600776">
        <w:rPr>
          <w:lang w:val="en-CA"/>
        </w:rPr>
        <w:t xml:space="preserve">SHM1.0 anchor </w:t>
      </w:r>
      <w:r>
        <w:rPr>
          <w:lang w:val="en-CA"/>
        </w:rPr>
        <w:t xml:space="preserve">bitstreams </w:t>
      </w:r>
      <w:r w:rsidR="00EE633A">
        <w:rPr>
          <w:lang w:val="en-CA"/>
        </w:rPr>
        <w:t xml:space="preserve">coded </w:t>
      </w:r>
      <w:r>
        <w:rPr>
          <w:lang w:val="en-CA"/>
        </w:rPr>
        <w:t>under</w:t>
      </w:r>
      <w:r w:rsidR="007D483D">
        <w:rPr>
          <w:lang w:val="en-CA"/>
        </w:rPr>
        <w:t xml:space="preserve"> SHVC common test conditions </w:t>
      </w:r>
      <w:r w:rsidR="00741EFF">
        <w:rPr>
          <w:lang w:val="en-CA"/>
        </w:rPr>
        <w:fldChar w:fldCharType="begin"/>
      </w:r>
      <w:r w:rsidR="007D483D">
        <w:rPr>
          <w:lang w:val="en-CA"/>
        </w:rPr>
        <w:instrText xml:space="preserve"> REF _Ref352096875 \r \h </w:instrText>
      </w:r>
      <w:r w:rsidR="00741EFF">
        <w:rPr>
          <w:lang w:val="en-CA"/>
        </w:rPr>
      </w:r>
      <w:r w:rsidR="00741EFF">
        <w:rPr>
          <w:lang w:val="en-CA"/>
        </w:rPr>
        <w:fldChar w:fldCharType="separate"/>
      </w:r>
      <w:r w:rsidR="000B7878">
        <w:rPr>
          <w:lang w:val="en-CA"/>
        </w:rPr>
        <w:t>[3]</w:t>
      </w:r>
      <w:r w:rsidR="00741EFF">
        <w:rPr>
          <w:lang w:val="en-CA"/>
        </w:rPr>
        <w:fldChar w:fldCharType="end"/>
      </w:r>
      <w:r>
        <w:rPr>
          <w:lang w:val="en-CA"/>
        </w:rPr>
        <w:t xml:space="preserve">. </w:t>
      </w:r>
    </w:p>
    <w:p w:rsidR="003132AE" w:rsidRDefault="003132AE" w:rsidP="007D483D">
      <w:pPr>
        <w:numPr>
          <w:ilvl w:val="0"/>
          <w:numId w:val="12"/>
        </w:numPr>
        <w:jc w:val="both"/>
        <w:rPr>
          <w:lang w:val="en-CA"/>
        </w:rPr>
      </w:pPr>
      <w:r>
        <w:rPr>
          <w:lang w:val="en-CA"/>
        </w:rPr>
        <w:t xml:space="preserve">Worst case complexity: </w:t>
      </w:r>
      <w:r w:rsidR="00600776">
        <w:rPr>
          <w:lang w:val="en-CA"/>
        </w:rPr>
        <w:t xml:space="preserve">for block-based implementation (PU-based </w:t>
      </w:r>
      <w:proofErr w:type="spellStart"/>
      <w:r w:rsidR="00600776">
        <w:rPr>
          <w:lang w:val="en-CA"/>
        </w:rPr>
        <w:t>RefIdx</w:t>
      </w:r>
      <w:proofErr w:type="spellEnd"/>
      <w:r w:rsidR="00600776">
        <w:rPr>
          <w:lang w:val="en-CA"/>
        </w:rPr>
        <w:t xml:space="preserve"> and </w:t>
      </w:r>
      <w:proofErr w:type="spellStart"/>
      <w:r w:rsidR="00600776">
        <w:rPr>
          <w:lang w:val="en-CA"/>
        </w:rPr>
        <w:t>IntraBL</w:t>
      </w:r>
      <w:proofErr w:type="spellEnd"/>
      <w:r w:rsidR="00600776">
        <w:rPr>
          <w:lang w:val="en-CA"/>
        </w:rPr>
        <w:t xml:space="preserve">), </w:t>
      </w:r>
      <w:r>
        <w:rPr>
          <w:lang w:val="en-CA"/>
        </w:rPr>
        <w:t xml:space="preserve">memory access and number of calculations </w:t>
      </w:r>
      <w:r w:rsidR="009F2034">
        <w:rPr>
          <w:lang w:val="en-CA"/>
        </w:rPr>
        <w:t xml:space="preserve">due to upsampling are computed </w:t>
      </w:r>
      <w:r w:rsidR="00EE633A">
        <w:rPr>
          <w:lang w:val="en-CA"/>
        </w:rPr>
        <w:t>assuming</w:t>
      </w:r>
      <w:r w:rsidR="009F2034">
        <w:rPr>
          <w:lang w:val="en-CA"/>
        </w:rPr>
        <w:t xml:space="preserve"> the smallest block size used in inter layer prediction</w:t>
      </w:r>
      <w:r w:rsidR="00600776">
        <w:rPr>
          <w:lang w:val="en-CA"/>
        </w:rPr>
        <w:t xml:space="preserve">; for picture-based implementation (Picture-based </w:t>
      </w:r>
      <w:proofErr w:type="spellStart"/>
      <w:r w:rsidR="00600776">
        <w:rPr>
          <w:lang w:val="en-CA"/>
        </w:rPr>
        <w:t>RefIdx</w:t>
      </w:r>
      <w:proofErr w:type="spellEnd"/>
      <w:r w:rsidR="00600776">
        <w:rPr>
          <w:lang w:val="en-CA"/>
        </w:rPr>
        <w:t xml:space="preserve">), </w:t>
      </w:r>
      <w:r w:rsidR="00EE633A">
        <w:rPr>
          <w:lang w:val="en-CA"/>
        </w:rPr>
        <w:t xml:space="preserve">it is assumed that </w:t>
      </w:r>
      <w:r w:rsidR="00600776">
        <w:rPr>
          <w:lang w:val="en-CA"/>
        </w:rPr>
        <w:t xml:space="preserve">the entire BL picture is </w:t>
      </w:r>
      <w:r w:rsidR="00EE633A">
        <w:rPr>
          <w:lang w:val="en-CA"/>
        </w:rPr>
        <w:t xml:space="preserve">always </w:t>
      </w:r>
      <w:proofErr w:type="spellStart"/>
      <w:r w:rsidR="00EE633A">
        <w:rPr>
          <w:lang w:val="en-CA"/>
        </w:rPr>
        <w:t>upsampled</w:t>
      </w:r>
      <w:proofErr w:type="spellEnd"/>
      <w:r w:rsidR="00C42142">
        <w:rPr>
          <w:lang w:val="en-CA"/>
        </w:rPr>
        <w:t xml:space="preserve"> </w:t>
      </w:r>
      <w:r w:rsidR="0090206E">
        <w:rPr>
          <w:lang w:val="en-CA"/>
        </w:rPr>
        <w:t xml:space="preserve">using fixed </w:t>
      </w:r>
      <w:r w:rsidR="00C42142">
        <w:rPr>
          <w:lang w:val="en-CA"/>
        </w:rPr>
        <w:t>block size, such as 16×16</w:t>
      </w:r>
      <w:r w:rsidR="0090206E">
        <w:rPr>
          <w:lang w:val="en-CA"/>
        </w:rPr>
        <w:t xml:space="preserve"> blocks</w:t>
      </w:r>
      <w:r w:rsidR="009F2034">
        <w:rPr>
          <w:lang w:val="en-CA"/>
        </w:rPr>
        <w:t>.</w:t>
      </w:r>
    </w:p>
    <w:p w:rsidR="007D483D" w:rsidRPr="003132AE" w:rsidRDefault="007D483D" w:rsidP="007D483D">
      <w:pPr>
        <w:rPr>
          <w:lang w:val="en-CA"/>
        </w:rPr>
      </w:pPr>
      <w:r>
        <w:rPr>
          <w:lang w:val="en-CA"/>
        </w:rPr>
        <w:t>In SNR scalability, when upsampling is not performed, it is assumed that the BL reconstructed blocks (for block based implementations) or picture (for picture based implementation) are used directly.</w:t>
      </w:r>
    </w:p>
    <w:bookmarkEnd w:id="0"/>
    <w:bookmarkEnd w:id="1"/>
    <w:p w:rsidR="003132AE" w:rsidRDefault="003132AE" w:rsidP="003132AE">
      <w:pPr>
        <w:pStyle w:val="Heading2"/>
      </w:pPr>
      <w:r>
        <w:t>Average complexity</w:t>
      </w:r>
    </w:p>
    <w:p w:rsidR="00895D42" w:rsidRPr="00600776" w:rsidRDefault="00741EFF" w:rsidP="007D483D">
      <w:pPr>
        <w:pStyle w:val="Caption"/>
        <w:jc w:val="both"/>
        <w:rPr>
          <w:b w:val="0"/>
          <w:sz w:val="22"/>
        </w:rPr>
      </w:pPr>
      <w:fldSimple w:instr=" REF _Ref351929118 \h  \* MERGEFORMAT ">
        <w:r w:rsidR="000B7878" w:rsidRPr="000B7878">
          <w:rPr>
            <w:b w:val="0"/>
            <w:sz w:val="22"/>
          </w:rPr>
          <w:t xml:space="preserve">Table </w:t>
        </w:r>
        <w:r w:rsidR="000B7878" w:rsidRPr="000B7878">
          <w:rPr>
            <w:b w:val="0"/>
            <w:noProof/>
            <w:sz w:val="22"/>
          </w:rPr>
          <w:t>2</w:t>
        </w:r>
        <w:r w:rsidR="000B7878" w:rsidRPr="000B7878">
          <w:rPr>
            <w:b w:val="0"/>
            <w:noProof/>
            <w:sz w:val="22"/>
          </w:rPr>
          <w:noBreakHyphen/>
          <w:t>1</w:t>
        </w:r>
      </w:fldSimple>
      <w:r w:rsidR="00A25C2D" w:rsidRPr="00600776">
        <w:rPr>
          <w:b w:val="0"/>
          <w:sz w:val="22"/>
        </w:rPr>
        <w:t xml:space="preserve"> </w:t>
      </w:r>
      <w:r w:rsidR="00DD3715" w:rsidRPr="00600776">
        <w:rPr>
          <w:b w:val="0"/>
          <w:sz w:val="22"/>
        </w:rPr>
        <w:t>summarizes the average</w:t>
      </w:r>
      <w:r w:rsidR="00600776">
        <w:rPr>
          <w:b w:val="0"/>
          <w:sz w:val="22"/>
        </w:rPr>
        <w:t xml:space="preserve"> %</w:t>
      </w:r>
      <w:r w:rsidR="00DD3715" w:rsidRPr="00600776">
        <w:rPr>
          <w:b w:val="0"/>
          <w:sz w:val="22"/>
        </w:rPr>
        <w:t xml:space="preserve"> complexity</w:t>
      </w:r>
      <w:r w:rsidR="00EE633A">
        <w:rPr>
          <w:b w:val="0"/>
          <w:sz w:val="22"/>
        </w:rPr>
        <w:t xml:space="preserve"> of </w:t>
      </w:r>
      <w:proofErr w:type="spellStart"/>
      <w:r w:rsidR="00EE633A">
        <w:rPr>
          <w:b w:val="0"/>
          <w:sz w:val="22"/>
        </w:rPr>
        <w:t>IntraBL</w:t>
      </w:r>
      <w:proofErr w:type="spellEnd"/>
      <w:r w:rsidR="00EE633A">
        <w:rPr>
          <w:b w:val="0"/>
          <w:sz w:val="22"/>
        </w:rPr>
        <w:t>,</w:t>
      </w:r>
      <w:r w:rsidR="00600776">
        <w:rPr>
          <w:b w:val="0"/>
          <w:sz w:val="22"/>
        </w:rPr>
        <w:t xml:space="preserve"> </w:t>
      </w:r>
      <w:r w:rsidR="00EE633A">
        <w:rPr>
          <w:b w:val="0"/>
          <w:sz w:val="22"/>
        </w:rPr>
        <w:t xml:space="preserve">PU-based </w:t>
      </w:r>
      <w:proofErr w:type="spellStart"/>
      <w:r w:rsidR="00EE633A">
        <w:rPr>
          <w:b w:val="0"/>
          <w:sz w:val="22"/>
        </w:rPr>
        <w:t>RefIdx</w:t>
      </w:r>
      <w:proofErr w:type="spellEnd"/>
      <w:r w:rsidR="00EE633A">
        <w:rPr>
          <w:b w:val="0"/>
          <w:sz w:val="22"/>
        </w:rPr>
        <w:t xml:space="preserve">, and Picture-based </w:t>
      </w:r>
      <w:proofErr w:type="spellStart"/>
      <w:r w:rsidR="00EE633A">
        <w:rPr>
          <w:b w:val="0"/>
          <w:sz w:val="22"/>
        </w:rPr>
        <w:t>RefIdx</w:t>
      </w:r>
      <w:proofErr w:type="spellEnd"/>
      <w:r w:rsidR="00A40621">
        <w:rPr>
          <w:b w:val="0"/>
          <w:sz w:val="22"/>
        </w:rPr>
        <w:t xml:space="preserve"> for RA, LDP and LDB. </w:t>
      </w:r>
      <w:r w:rsidR="00DD3715" w:rsidRPr="00600776">
        <w:rPr>
          <w:b w:val="0"/>
          <w:sz w:val="22"/>
        </w:rPr>
        <w:t>The anchor</w:t>
      </w:r>
      <w:r w:rsidR="00EE633A">
        <w:rPr>
          <w:b w:val="0"/>
          <w:sz w:val="22"/>
        </w:rPr>
        <w:t xml:space="preserve"> </w:t>
      </w:r>
      <w:r w:rsidR="00DD3715" w:rsidRPr="00600776">
        <w:rPr>
          <w:b w:val="0"/>
          <w:sz w:val="22"/>
        </w:rPr>
        <w:t xml:space="preserve">used to calculate the percentages in </w:t>
      </w:r>
      <w:fldSimple w:instr=" REF _Ref351929118 \h  \* MERGEFORMAT ">
        <w:r w:rsidR="000B7878" w:rsidRPr="000B7878">
          <w:rPr>
            <w:b w:val="0"/>
            <w:sz w:val="22"/>
          </w:rPr>
          <w:t xml:space="preserve">Table </w:t>
        </w:r>
        <w:r w:rsidR="000B7878" w:rsidRPr="000B7878">
          <w:rPr>
            <w:b w:val="0"/>
            <w:noProof/>
            <w:sz w:val="22"/>
          </w:rPr>
          <w:t>2</w:t>
        </w:r>
        <w:r w:rsidR="000B7878" w:rsidRPr="000B7878">
          <w:rPr>
            <w:b w:val="0"/>
            <w:noProof/>
            <w:sz w:val="22"/>
          </w:rPr>
          <w:noBreakHyphen/>
          <w:t>1</w:t>
        </w:r>
      </w:fldSimple>
      <w:r w:rsidR="00EE633A">
        <w:rPr>
          <w:b w:val="0"/>
          <w:sz w:val="22"/>
        </w:rPr>
        <w:t xml:space="preserve"> was HM8.1 simulcast</w:t>
      </w:r>
      <w:r w:rsidR="0066095D">
        <w:rPr>
          <w:b w:val="0"/>
          <w:sz w:val="22"/>
        </w:rPr>
        <w:t>, in which</w:t>
      </w:r>
      <w:r w:rsidR="00EE633A">
        <w:rPr>
          <w:b w:val="0"/>
          <w:sz w:val="22"/>
        </w:rPr>
        <w:t xml:space="preserve"> memory bandwidth and </w:t>
      </w:r>
      <w:r w:rsidR="00A40621">
        <w:rPr>
          <w:b w:val="0"/>
          <w:sz w:val="22"/>
        </w:rPr>
        <w:t xml:space="preserve">number of </w:t>
      </w:r>
      <w:r w:rsidR="00EE633A">
        <w:rPr>
          <w:b w:val="0"/>
          <w:sz w:val="22"/>
        </w:rPr>
        <w:t xml:space="preserve">calculations consider temporal </w:t>
      </w:r>
      <w:r w:rsidR="00DD3715" w:rsidRPr="00600776">
        <w:rPr>
          <w:b w:val="0"/>
          <w:sz w:val="22"/>
        </w:rPr>
        <w:t xml:space="preserve">motion compensation </w:t>
      </w:r>
      <w:r w:rsidR="00EE633A">
        <w:rPr>
          <w:b w:val="0"/>
          <w:sz w:val="22"/>
        </w:rPr>
        <w:t xml:space="preserve">in </w:t>
      </w:r>
      <w:r w:rsidR="00A40621">
        <w:rPr>
          <w:b w:val="0"/>
          <w:sz w:val="22"/>
        </w:rPr>
        <w:t xml:space="preserve">both </w:t>
      </w:r>
      <w:r w:rsidR="00EE633A">
        <w:rPr>
          <w:b w:val="0"/>
          <w:sz w:val="22"/>
        </w:rPr>
        <w:t>BL and EL</w:t>
      </w:r>
      <w:r w:rsidR="00A40621">
        <w:rPr>
          <w:b w:val="0"/>
          <w:sz w:val="22"/>
        </w:rPr>
        <w:t xml:space="preserve"> decoders</w:t>
      </w:r>
      <w:r w:rsidR="00DD3715" w:rsidRPr="00600776">
        <w:rPr>
          <w:b w:val="0"/>
          <w:sz w:val="22"/>
        </w:rPr>
        <w:t xml:space="preserve">. </w:t>
      </w:r>
      <w:r w:rsidR="00A40621">
        <w:rPr>
          <w:b w:val="0"/>
          <w:sz w:val="22"/>
        </w:rPr>
        <w:t>Note that o</w:t>
      </w:r>
      <w:r w:rsidR="000D670B">
        <w:rPr>
          <w:b w:val="0"/>
          <w:sz w:val="22"/>
        </w:rPr>
        <w:t xml:space="preserve">nly average numbers of the RA, LDP and LDB cases are included in </w:t>
      </w:r>
      <w:fldSimple w:instr=" REF _Ref351929118 \h  \* MERGEFORMAT ">
        <w:r w:rsidR="000B7878" w:rsidRPr="000B7878">
          <w:rPr>
            <w:b w:val="0"/>
            <w:sz w:val="22"/>
          </w:rPr>
          <w:t xml:space="preserve">Table </w:t>
        </w:r>
        <w:r w:rsidR="000B7878" w:rsidRPr="000B7878">
          <w:rPr>
            <w:b w:val="0"/>
            <w:noProof/>
            <w:sz w:val="22"/>
          </w:rPr>
          <w:t>2</w:t>
        </w:r>
        <w:r w:rsidR="000B7878" w:rsidRPr="000B7878">
          <w:rPr>
            <w:b w:val="0"/>
            <w:noProof/>
            <w:sz w:val="22"/>
          </w:rPr>
          <w:noBreakHyphen/>
          <w:t>1</w:t>
        </w:r>
      </w:fldSimple>
      <w:r w:rsidR="000D670B">
        <w:rPr>
          <w:b w:val="0"/>
          <w:sz w:val="22"/>
        </w:rPr>
        <w:t>, as the AI case</w:t>
      </w:r>
      <w:r w:rsidR="008B6A33">
        <w:rPr>
          <w:b w:val="0"/>
          <w:sz w:val="22"/>
        </w:rPr>
        <w:t>s</w:t>
      </w:r>
      <w:r w:rsidR="000D670B">
        <w:rPr>
          <w:b w:val="0"/>
          <w:sz w:val="22"/>
        </w:rPr>
        <w:t xml:space="preserve"> need to be treated differently for the reason explained below. </w:t>
      </w:r>
      <w:r w:rsidR="00DD3715" w:rsidRPr="00600776">
        <w:rPr>
          <w:b w:val="0"/>
          <w:sz w:val="22"/>
        </w:rPr>
        <w:t>Because</w:t>
      </w:r>
      <w:r w:rsidR="00F31A42" w:rsidRPr="00600776">
        <w:rPr>
          <w:b w:val="0"/>
          <w:sz w:val="22"/>
        </w:rPr>
        <w:t xml:space="preserve"> blocks predicted using </w:t>
      </w:r>
      <w:r w:rsidR="00600776">
        <w:rPr>
          <w:b w:val="0"/>
          <w:sz w:val="22"/>
        </w:rPr>
        <w:t xml:space="preserve">inter layer prediction (that is, upsampled </w:t>
      </w:r>
      <w:r w:rsidR="00F31A42" w:rsidRPr="00600776">
        <w:rPr>
          <w:b w:val="0"/>
          <w:sz w:val="22"/>
        </w:rPr>
        <w:t>base layer re</w:t>
      </w:r>
      <w:r w:rsidR="00CD0106" w:rsidRPr="00600776">
        <w:rPr>
          <w:b w:val="0"/>
          <w:sz w:val="22"/>
        </w:rPr>
        <w:t>construction</w:t>
      </w:r>
      <w:r w:rsidR="00600776">
        <w:rPr>
          <w:b w:val="0"/>
          <w:sz w:val="22"/>
        </w:rPr>
        <w:t>)</w:t>
      </w:r>
      <w:r w:rsidR="00CD0106" w:rsidRPr="00600776">
        <w:rPr>
          <w:b w:val="0"/>
          <w:sz w:val="22"/>
        </w:rPr>
        <w:t xml:space="preserve"> </w:t>
      </w:r>
      <w:r w:rsidR="008B6A33">
        <w:rPr>
          <w:b w:val="0"/>
          <w:sz w:val="22"/>
        </w:rPr>
        <w:t>have no</w:t>
      </w:r>
      <w:r w:rsidR="00795CC5">
        <w:rPr>
          <w:b w:val="0"/>
          <w:sz w:val="22"/>
        </w:rPr>
        <w:t xml:space="preserve"> </w:t>
      </w:r>
      <w:r w:rsidR="009D0EAA" w:rsidRPr="00600776">
        <w:rPr>
          <w:b w:val="0"/>
          <w:sz w:val="22"/>
        </w:rPr>
        <w:t>motion</w:t>
      </w:r>
      <w:r w:rsidR="00FF1EAB">
        <w:rPr>
          <w:b w:val="0"/>
          <w:sz w:val="22"/>
        </w:rPr>
        <w:t xml:space="preserve"> </w:t>
      </w:r>
      <w:r w:rsidR="007D483D">
        <w:rPr>
          <w:b w:val="0"/>
          <w:sz w:val="22"/>
        </w:rPr>
        <w:t>and therefore no need for fractional sample interpolation</w:t>
      </w:r>
      <w:r w:rsidR="00F31A42" w:rsidRPr="00600776">
        <w:rPr>
          <w:b w:val="0"/>
          <w:sz w:val="22"/>
        </w:rPr>
        <w:t xml:space="preserve">, </w:t>
      </w:r>
      <w:r w:rsidR="00795CC5">
        <w:rPr>
          <w:b w:val="0"/>
          <w:sz w:val="22"/>
        </w:rPr>
        <w:t>there is</w:t>
      </w:r>
      <w:r w:rsidR="00600776">
        <w:rPr>
          <w:b w:val="0"/>
          <w:sz w:val="22"/>
        </w:rPr>
        <w:t xml:space="preserve"> net</w:t>
      </w:r>
      <w:r w:rsidR="00795CC5">
        <w:rPr>
          <w:b w:val="0"/>
          <w:sz w:val="22"/>
        </w:rPr>
        <w:t xml:space="preserve"> complexity</w:t>
      </w:r>
      <w:r w:rsidR="00600776">
        <w:rPr>
          <w:b w:val="0"/>
          <w:sz w:val="22"/>
        </w:rPr>
        <w:t xml:space="preserve"> reduction </w:t>
      </w:r>
      <w:r w:rsidR="00795CC5">
        <w:rPr>
          <w:b w:val="0"/>
          <w:sz w:val="22"/>
        </w:rPr>
        <w:t xml:space="preserve">for </w:t>
      </w:r>
      <w:proofErr w:type="spellStart"/>
      <w:r w:rsidR="00795CC5">
        <w:rPr>
          <w:b w:val="0"/>
          <w:sz w:val="22"/>
        </w:rPr>
        <w:t>IntraBL</w:t>
      </w:r>
      <w:proofErr w:type="spellEnd"/>
      <w:r w:rsidR="00795CC5">
        <w:rPr>
          <w:b w:val="0"/>
          <w:sz w:val="22"/>
        </w:rPr>
        <w:t xml:space="preserve"> and PU-based </w:t>
      </w:r>
      <w:proofErr w:type="spellStart"/>
      <w:r w:rsidR="00795CC5">
        <w:rPr>
          <w:b w:val="0"/>
          <w:sz w:val="22"/>
        </w:rPr>
        <w:t>RefIdx</w:t>
      </w:r>
      <w:proofErr w:type="spellEnd"/>
      <w:r w:rsidR="00795CC5">
        <w:rPr>
          <w:b w:val="0"/>
          <w:sz w:val="22"/>
        </w:rPr>
        <w:t xml:space="preserve"> </w:t>
      </w:r>
      <w:r w:rsidR="00600776">
        <w:rPr>
          <w:b w:val="0"/>
          <w:sz w:val="22"/>
        </w:rPr>
        <w:t>compared to the simulcast anchor</w:t>
      </w:r>
      <w:r w:rsidR="00795CC5">
        <w:rPr>
          <w:b w:val="0"/>
          <w:sz w:val="22"/>
        </w:rPr>
        <w:t xml:space="preserve">s. Additionally, </w:t>
      </w:r>
      <w:r w:rsidR="007D483D">
        <w:rPr>
          <w:b w:val="0"/>
          <w:sz w:val="22"/>
        </w:rPr>
        <w:t xml:space="preserve">it can be observed that </w:t>
      </w:r>
      <w:proofErr w:type="spellStart"/>
      <w:r w:rsidR="00600776">
        <w:rPr>
          <w:b w:val="0"/>
          <w:sz w:val="22"/>
        </w:rPr>
        <w:t>IntraBL</w:t>
      </w:r>
      <w:proofErr w:type="spellEnd"/>
      <w:r w:rsidR="00600776">
        <w:rPr>
          <w:b w:val="0"/>
          <w:sz w:val="22"/>
        </w:rPr>
        <w:t xml:space="preserve"> and </w:t>
      </w:r>
      <w:r w:rsidR="00795CC5">
        <w:rPr>
          <w:b w:val="0"/>
          <w:sz w:val="22"/>
        </w:rPr>
        <w:t xml:space="preserve">PU-based </w:t>
      </w:r>
      <w:proofErr w:type="spellStart"/>
      <w:r w:rsidR="00600776">
        <w:rPr>
          <w:b w:val="0"/>
          <w:sz w:val="22"/>
        </w:rPr>
        <w:t>RefIdx</w:t>
      </w:r>
      <w:proofErr w:type="spellEnd"/>
      <w:r w:rsidR="00600776">
        <w:rPr>
          <w:b w:val="0"/>
          <w:sz w:val="22"/>
        </w:rPr>
        <w:t xml:space="preserve"> </w:t>
      </w:r>
      <w:r w:rsidR="00FF1EAB">
        <w:rPr>
          <w:b w:val="0"/>
          <w:sz w:val="22"/>
        </w:rPr>
        <w:t>have very</w:t>
      </w:r>
      <w:r w:rsidR="00795CC5">
        <w:rPr>
          <w:b w:val="0"/>
          <w:sz w:val="22"/>
        </w:rPr>
        <w:t xml:space="preserve"> </w:t>
      </w:r>
      <w:r w:rsidR="00600776">
        <w:rPr>
          <w:b w:val="0"/>
          <w:sz w:val="22"/>
        </w:rPr>
        <w:t>similar complexity</w:t>
      </w:r>
      <w:r w:rsidR="007D483D">
        <w:rPr>
          <w:b w:val="0"/>
          <w:sz w:val="22"/>
        </w:rPr>
        <w:t xml:space="preserve"> (±1% difference)</w:t>
      </w:r>
      <w:r w:rsidR="00600776">
        <w:rPr>
          <w:b w:val="0"/>
          <w:sz w:val="22"/>
        </w:rPr>
        <w:t xml:space="preserve">. For picture-based </w:t>
      </w:r>
      <w:proofErr w:type="spellStart"/>
      <w:r w:rsidR="00600776">
        <w:rPr>
          <w:b w:val="0"/>
          <w:sz w:val="22"/>
        </w:rPr>
        <w:t>RefIdx</w:t>
      </w:r>
      <w:proofErr w:type="spellEnd"/>
      <w:r w:rsidR="00795CC5">
        <w:rPr>
          <w:b w:val="0"/>
          <w:sz w:val="22"/>
        </w:rPr>
        <w:t xml:space="preserve"> implementation</w:t>
      </w:r>
      <w:r w:rsidR="00600776">
        <w:rPr>
          <w:b w:val="0"/>
          <w:sz w:val="22"/>
        </w:rPr>
        <w:t xml:space="preserve">, </w:t>
      </w:r>
      <w:r w:rsidR="007D483D">
        <w:rPr>
          <w:b w:val="0"/>
          <w:sz w:val="22"/>
        </w:rPr>
        <w:t xml:space="preserve">however, </w:t>
      </w:r>
      <w:r w:rsidR="00795CC5">
        <w:rPr>
          <w:b w:val="0"/>
          <w:sz w:val="22"/>
        </w:rPr>
        <w:t xml:space="preserve">there is some complexity increase when </w:t>
      </w:r>
      <w:r w:rsidR="00F31A42" w:rsidRPr="00600776">
        <w:rPr>
          <w:b w:val="0"/>
          <w:sz w:val="22"/>
        </w:rPr>
        <w:t xml:space="preserve">compared to the </w:t>
      </w:r>
      <w:r w:rsidR="00795CC5">
        <w:rPr>
          <w:b w:val="0"/>
          <w:sz w:val="22"/>
        </w:rPr>
        <w:t>simulcast anchors, especially in terms of # of calculations</w:t>
      </w:r>
      <w:r w:rsidR="007D483D">
        <w:rPr>
          <w:b w:val="0"/>
          <w:sz w:val="22"/>
        </w:rPr>
        <w:t xml:space="preserve">. A closer look at the accompanying </w:t>
      </w:r>
      <w:proofErr w:type="spellStart"/>
      <w:r w:rsidR="007D483D">
        <w:rPr>
          <w:b w:val="0"/>
          <w:sz w:val="22"/>
        </w:rPr>
        <w:t>xls</w:t>
      </w:r>
      <w:proofErr w:type="spellEnd"/>
      <w:r w:rsidR="007D483D">
        <w:rPr>
          <w:b w:val="0"/>
          <w:sz w:val="22"/>
        </w:rPr>
        <w:t xml:space="preserve"> files shows that the increase in complexity is higher when scaling ratio is higher (e.g., 2x compared to 1.5x has higher % increase)</w:t>
      </w:r>
      <w:r w:rsidR="009C40C8">
        <w:rPr>
          <w:b w:val="0"/>
          <w:sz w:val="22"/>
        </w:rPr>
        <w:t>; for SNR scalability, the P</w:t>
      </w:r>
      <w:r w:rsidR="007D483D">
        <w:rPr>
          <w:b w:val="0"/>
          <w:sz w:val="22"/>
        </w:rPr>
        <w:t>icture</w:t>
      </w:r>
      <w:r w:rsidR="009C40C8">
        <w:rPr>
          <w:b w:val="0"/>
          <w:sz w:val="22"/>
        </w:rPr>
        <w:t>-</w:t>
      </w:r>
      <w:r w:rsidR="007D483D">
        <w:rPr>
          <w:b w:val="0"/>
          <w:sz w:val="22"/>
        </w:rPr>
        <w:t xml:space="preserve">based </w:t>
      </w:r>
      <w:proofErr w:type="spellStart"/>
      <w:r w:rsidR="007D483D">
        <w:rPr>
          <w:b w:val="0"/>
          <w:sz w:val="22"/>
        </w:rPr>
        <w:t>RefIdx</w:t>
      </w:r>
      <w:proofErr w:type="spellEnd"/>
      <w:r w:rsidR="007D483D">
        <w:rPr>
          <w:b w:val="0"/>
          <w:sz w:val="22"/>
        </w:rPr>
        <w:t xml:space="preserve"> also has a net complexity reduction</w:t>
      </w:r>
      <w:r w:rsidR="009C40C8">
        <w:rPr>
          <w:b w:val="0"/>
          <w:sz w:val="22"/>
        </w:rPr>
        <w:t xml:space="preserve"> (not reflected in </w:t>
      </w:r>
      <w:fldSimple w:instr=" REF _Ref351929118 \h  \* MERGEFORMAT ">
        <w:r w:rsidR="000B7878" w:rsidRPr="000B7878">
          <w:rPr>
            <w:b w:val="0"/>
            <w:sz w:val="22"/>
          </w:rPr>
          <w:t xml:space="preserve">Table </w:t>
        </w:r>
        <w:r w:rsidR="000B7878" w:rsidRPr="000B7878">
          <w:rPr>
            <w:b w:val="0"/>
            <w:noProof/>
            <w:sz w:val="22"/>
          </w:rPr>
          <w:t>2</w:t>
        </w:r>
        <w:r w:rsidR="000B7878" w:rsidRPr="000B7878">
          <w:rPr>
            <w:b w:val="0"/>
            <w:noProof/>
            <w:sz w:val="22"/>
          </w:rPr>
          <w:noBreakHyphen/>
          <w:t>1</w:t>
        </w:r>
      </w:fldSimple>
      <w:r w:rsidR="009C40C8">
        <w:rPr>
          <w:b w:val="0"/>
          <w:sz w:val="22"/>
        </w:rPr>
        <w:t>)</w:t>
      </w:r>
      <w:r w:rsidR="007D483D">
        <w:rPr>
          <w:b w:val="0"/>
          <w:sz w:val="22"/>
        </w:rPr>
        <w:t xml:space="preserve">. </w:t>
      </w:r>
      <w:r w:rsidR="009C40C8">
        <w:rPr>
          <w:b w:val="0"/>
          <w:sz w:val="22"/>
        </w:rPr>
        <w:t>T</w:t>
      </w:r>
      <w:r w:rsidR="00795CC5">
        <w:rPr>
          <w:b w:val="0"/>
          <w:sz w:val="22"/>
        </w:rPr>
        <w:t xml:space="preserve">his is because the picture-based </w:t>
      </w:r>
      <w:proofErr w:type="spellStart"/>
      <w:r w:rsidR="00795CC5">
        <w:rPr>
          <w:b w:val="0"/>
          <w:sz w:val="22"/>
        </w:rPr>
        <w:t>RefIdx</w:t>
      </w:r>
      <w:proofErr w:type="spellEnd"/>
      <w:r w:rsidR="00795CC5">
        <w:rPr>
          <w:b w:val="0"/>
          <w:sz w:val="22"/>
        </w:rPr>
        <w:t xml:space="preserve"> implementation </w:t>
      </w:r>
      <w:proofErr w:type="spellStart"/>
      <w:r w:rsidR="00795CC5">
        <w:rPr>
          <w:b w:val="0"/>
          <w:sz w:val="22"/>
        </w:rPr>
        <w:t>upsamples</w:t>
      </w:r>
      <w:proofErr w:type="spellEnd"/>
      <w:r w:rsidR="00795CC5">
        <w:rPr>
          <w:b w:val="0"/>
          <w:sz w:val="22"/>
        </w:rPr>
        <w:t xml:space="preserve"> the entire base layer reconstructed picture, regardless of whether certain blocks in the BL reconstruction are used in inter layer prediction or not. </w:t>
      </w:r>
    </w:p>
    <w:p w:rsidR="00F32F42" w:rsidRPr="00F32F42" w:rsidRDefault="00F32F42" w:rsidP="00F32F42">
      <w:pPr>
        <w:pStyle w:val="Caption"/>
        <w:jc w:val="center"/>
      </w:pPr>
      <w:bookmarkStart w:id="2" w:name="_Ref351929118"/>
      <w:proofErr w:type="gramStart"/>
      <w:r>
        <w:t xml:space="preserve">Table </w:t>
      </w:r>
      <w:r w:rsidR="00741EFF">
        <w:fldChar w:fldCharType="begin"/>
      </w:r>
      <w:r w:rsidR="00741EFF">
        <w:instrText xml:space="preserve"> STYLEREF 1 \s </w:instrText>
      </w:r>
      <w:r w:rsidR="00741EFF">
        <w:fldChar w:fldCharType="separate"/>
      </w:r>
      <w:r w:rsidR="000B7878">
        <w:rPr>
          <w:noProof/>
        </w:rPr>
        <w:t>2</w:t>
      </w:r>
      <w:r w:rsidR="00741EFF">
        <w:fldChar w:fldCharType="end"/>
      </w:r>
      <w:r>
        <w:noBreakHyphen/>
      </w:r>
      <w:r w:rsidR="00741EFF">
        <w:fldChar w:fldCharType="begin"/>
      </w:r>
      <w:r w:rsidR="00741EFF">
        <w:instrText xml:space="preserve"> SEQ Table \* ARABIC \s 1 </w:instrText>
      </w:r>
      <w:r w:rsidR="00741EFF">
        <w:fldChar w:fldCharType="separate"/>
      </w:r>
      <w:r w:rsidR="000B7878">
        <w:rPr>
          <w:noProof/>
        </w:rPr>
        <w:t>1</w:t>
      </w:r>
      <w:r w:rsidR="00741EFF">
        <w:fldChar w:fldCharType="end"/>
      </w:r>
      <w:bookmarkEnd w:id="2"/>
      <w:r>
        <w:t>.</w:t>
      </w:r>
      <w:proofErr w:type="gramEnd"/>
      <w:r>
        <w:t xml:space="preserve"> Average </w:t>
      </w:r>
      <w:r w:rsidR="00B16D73">
        <w:t xml:space="preserve">% </w:t>
      </w:r>
      <w:r>
        <w:t xml:space="preserve">complexity compared to HM8.1 simulcast for test cases with motion compensated prediction </w:t>
      </w:r>
      <w:r w:rsidR="00B16D73">
        <w:t xml:space="preserve">in </w:t>
      </w:r>
      <w:r w:rsidR="00A25C2D">
        <w:t>simulcast</w:t>
      </w:r>
      <w:r w:rsidR="00B16D73">
        <w:t xml:space="preserve"> </w:t>
      </w:r>
      <w:r>
        <w:t>(</w:t>
      </w:r>
      <w:r w:rsidR="00A25C2D">
        <w:t xml:space="preserve">including </w:t>
      </w:r>
      <w:r>
        <w:t>RA, LDP and LDB)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1103"/>
        <w:gridCol w:w="742"/>
        <w:gridCol w:w="1072"/>
        <w:gridCol w:w="1072"/>
        <w:gridCol w:w="766"/>
        <w:gridCol w:w="730"/>
      </w:tblGrid>
      <w:tr w:rsidR="009F2034" w:rsidRPr="00DF2261" w:rsidTr="00DF2261">
        <w:trPr>
          <w:jc w:val="center"/>
        </w:trPr>
        <w:tc>
          <w:tcPr>
            <w:tcW w:w="0" w:type="auto"/>
            <w:gridSpan w:val="2"/>
            <w:vAlign w:val="center"/>
          </w:tcPr>
          <w:p w:rsidR="009F2034" w:rsidRPr="00DF2261" w:rsidRDefault="009F2034" w:rsidP="00F32F42">
            <w:pPr>
              <w:rPr>
                <w:b/>
                <w:szCs w:val="22"/>
                <w:lang w:val="en-CA"/>
              </w:rPr>
            </w:pPr>
          </w:p>
        </w:tc>
        <w:tc>
          <w:tcPr>
            <w:tcW w:w="0" w:type="auto"/>
            <w:gridSpan w:val="3"/>
            <w:vAlign w:val="bottom"/>
          </w:tcPr>
          <w:p w:rsidR="009F2034" w:rsidRPr="00DF2261" w:rsidRDefault="009F2034" w:rsidP="00DF2261">
            <w:pPr>
              <w:jc w:val="center"/>
              <w:rPr>
                <w:b/>
                <w:color w:val="000000"/>
                <w:szCs w:val="22"/>
              </w:rPr>
            </w:pPr>
            <w:r w:rsidRPr="00DF2261">
              <w:rPr>
                <w:b/>
                <w:color w:val="000000"/>
                <w:szCs w:val="22"/>
              </w:rPr>
              <w:t>Memory bandwidth</w:t>
            </w:r>
          </w:p>
        </w:tc>
        <w:tc>
          <w:tcPr>
            <w:tcW w:w="0" w:type="auto"/>
            <w:gridSpan w:val="2"/>
            <w:vAlign w:val="bottom"/>
          </w:tcPr>
          <w:p w:rsidR="009F2034" w:rsidRPr="00DF2261" w:rsidRDefault="009F2034" w:rsidP="00DF2261">
            <w:pPr>
              <w:jc w:val="center"/>
              <w:rPr>
                <w:b/>
                <w:color w:val="000000"/>
                <w:szCs w:val="22"/>
              </w:rPr>
            </w:pPr>
            <w:r w:rsidRPr="00DF2261">
              <w:rPr>
                <w:b/>
                <w:color w:val="000000"/>
                <w:szCs w:val="22"/>
              </w:rPr>
              <w:t># calculations</w:t>
            </w:r>
          </w:p>
        </w:tc>
      </w:tr>
      <w:tr w:rsidR="00A25C2D" w:rsidRPr="00DF2261" w:rsidTr="00DF2261">
        <w:trPr>
          <w:jc w:val="center"/>
        </w:trPr>
        <w:tc>
          <w:tcPr>
            <w:tcW w:w="0" w:type="auto"/>
            <w:gridSpan w:val="2"/>
            <w:vAlign w:val="center"/>
          </w:tcPr>
          <w:p w:rsidR="00A25C2D" w:rsidRPr="00DF2261" w:rsidRDefault="00A25C2D" w:rsidP="00F32F42">
            <w:pPr>
              <w:rPr>
                <w:b/>
                <w:szCs w:val="22"/>
                <w:lang w:val="en-CA"/>
              </w:rPr>
            </w:pPr>
          </w:p>
        </w:tc>
        <w:tc>
          <w:tcPr>
            <w:tcW w:w="0" w:type="auto"/>
            <w:vAlign w:val="bottom"/>
          </w:tcPr>
          <w:p w:rsidR="00A25C2D" w:rsidRPr="00DF2261" w:rsidRDefault="00A25C2D" w:rsidP="00DF2261">
            <w:pPr>
              <w:jc w:val="center"/>
              <w:rPr>
                <w:b/>
                <w:color w:val="000000"/>
                <w:szCs w:val="22"/>
              </w:rPr>
            </w:pPr>
            <w:r w:rsidRPr="00DF2261">
              <w:rPr>
                <w:b/>
                <w:color w:val="000000"/>
                <w:szCs w:val="22"/>
              </w:rPr>
              <w:t>8b/8b</w:t>
            </w:r>
          </w:p>
        </w:tc>
        <w:tc>
          <w:tcPr>
            <w:tcW w:w="0" w:type="auto"/>
            <w:vAlign w:val="bottom"/>
          </w:tcPr>
          <w:p w:rsidR="00A25C2D" w:rsidRPr="00DF2261" w:rsidRDefault="00A25C2D" w:rsidP="00DF2261">
            <w:pPr>
              <w:jc w:val="center"/>
              <w:rPr>
                <w:b/>
                <w:color w:val="000000"/>
                <w:szCs w:val="22"/>
              </w:rPr>
            </w:pPr>
            <w:r w:rsidRPr="00DF2261">
              <w:rPr>
                <w:b/>
                <w:color w:val="000000"/>
                <w:szCs w:val="22"/>
              </w:rPr>
              <w:t>64b/256b</w:t>
            </w:r>
          </w:p>
        </w:tc>
        <w:tc>
          <w:tcPr>
            <w:tcW w:w="0" w:type="auto"/>
            <w:vAlign w:val="bottom"/>
          </w:tcPr>
          <w:p w:rsidR="00A25C2D" w:rsidRPr="00DF2261" w:rsidRDefault="00A25C2D" w:rsidP="00DF2261">
            <w:pPr>
              <w:jc w:val="center"/>
              <w:rPr>
                <w:b/>
                <w:color w:val="000000"/>
                <w:szCs w:val="22"/>
              </w:rPr>
            </w:pPr>
            <w:r w:rsidRPr="00DF2261">
              <w:rPr>
                <w:b/>
                <w:color w:val="000000"/>
                <w:szCs w:val="22"/>
              </w:rPr>
              <w:t>64b/512b</w:t>
            </w:r>
          </w:p>
        </w:tc>
        <w:tc>
          <w:tcPr>
            <w:tcW w:w="0" w:type="auto"/>
            <w:vAlign w:val="bottom"/>
          </w:tcPr>
          <w:p w:rsidR="00A25C2D" w:rsidRPr="00DF2261" w:rsidRDefault="00A25C2D" w:rsidP="00DF2261">
            <w:pPr>
              <w:jc w:val="center"/>
              <w:rPr>
                <w:b/>
                <w:color w:val="000000"/>
                <w:szCs w:val="22"/>
              </w:rPr>
            </w:pPr>
            <w:proofErr w:type="spellStart"/>
            <w:r w:rsidRPr="00DF2261">
              <w:rPr>
                <w:b/>
                <w:color w:val="000000"/>
                <w:szCs w:val="22"/>
              </w:rPr>
              <w:t>Mults</w:t>
            </w:r>
            <w:proofErr w:type="spellEnd"/>
          </w:p>
        </w:tc>
        <w:tc>
          <w:tcPr>
            <w:tcW w:w="0" w:type="auto"/>
            <w:vAlign w:val="bottom"/>
          </w:tcPr>
          <w:p w:rsidR="00A25C2D" w:rsidRPr="00DF2261" w:rsidRDefault="00A25C2D" w:rsidP="00DF2261">
            <w:pPr>
              <w:jc w:val="center"/>
              <w:rPr>
                <w:b/>
                <w:color w:val="000000"/>
                <w:szCs w:val="22"/>
              </w:rPr>
            </w:pPr>
            <w:r w:rsidRPr="00DF2261">
              <w:rPr>
                <w:b/>
                <w:color w:val="000000"/>
                <w:szCs w:val="22"/>
              </w:rPr>
              <w:t>Adds</w:t>
            </w:r>
          </w:p>
        </w:tc>
      </w:tr>
      <w:tr w:rsidR="00F32F42" w:rsidRPr="00DF2261" w:rsidTr="00DF2261">
        <w:trPr>
          <w:jc w:val="center"/>
        </w:trPr>
        <w:tc>
          <w:tcPr>
            <w:tcW w:w="0" w:type="auto"/>
            <w:gridSpan w:val="2"/>
            <w:vAlign w:val="center"/>
          </w:tcPr>
          <w:p w:rsidR="00F32F42" w:rsidRPr="00DF2261" w:rsidRDefault="00F32F42" w:rsidP="00F32F42">
            <w:pPr>
              <w:rPr>
                <w:b/>
                <w:szCs w:val="22"/>
                <w:lang w:val="en-CA"/>
              </w:rPr>
            </w:pPr>
            <w:proofErr w:type="spellStart"/>
            <w:r w:rsidRPr="00DF2261">
              <w:rPr>
                <w:b/>
                <w:szCs w:val="22"/>
                <w:lang w:val="en-CA"/>
              </w:rPr>
              <w:t>IntraBL</w:t>
            </w:r>
            <w:proofErr w:type="spellEnd"/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92%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94%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93%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94%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94%</w:t>
            </w:r>
          </w:p>
        </w:tc>
      </w:tr>
      <w:tr w:rsidR="00F32F42" w:rsidRPr="00DF2261" w:rsidTr="00DF2261">
        <w:trPr>
          <w:jc w:val="center"/>
        </w:trPr>
        <w:tc>
          <w:tcPr>
            <w:tcW w:w="0" w:type="auto"/>
            <w:vMerge w:val="restart"/>
            <w:vAlign w:val="center"/>
          </w:tcPr>
          <w:p w:rsidR="00F32F42" w:rsidRPr="00DF2261" w:rsidRDefault="00F32F42" w:rsidP="00F32F42">
            <w:pPr>
              <w:rPr>
                <w:b/>
                <w:szCs w:val="22"/>
                <w:lang w:val="en-CA"/>
              </w:rPr>
            </w:pPr>
            <w:proofErr w:type="spellStart"/>
            <w:r w:rsidRPr="00DF2261">
              <w:rPr>
                <w:b/>
                <w:szCs w:val="22"/>
                <w:lang w:val="en-CA"/>
              </w:rPr>
              <w:t>RefIdx</w:t>
            </w:r>
            <w:proofErr w:type="spellEnd"/>
          </w:p>
        </w:tc>
        <w:tc>
          <w:tcPr>
            <w:tcW w:w="0" w:type="auto"/>
            <w:vAlign w:val="center"/>
          </w:tcPr>
          <w:p w:rsidR="00F32F42" w:rsidRPr="00DF2261" w:rsidRDefault="00F32F42" w:rsidP="00F32F42">
            <w:pPr>
              <w:rPr>
                <w:b/>
                <w:szCs w:val="22"/>
                <w:lang w:val="en-CA"/>
              </w:rPr>
            </w:pPr>
            <w:r w:rsidRPr="00DF2261">
              <w:rPr>
                <w:b/>
                <w:szCs w:val="22"/>
                <w:lang w:val="en-CA"/>
              </w:rPr>
              <w:t>PU based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92%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93%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92%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95%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95%</w:t>
            </w:r>
          </w:p>
        </w:tc>
      </w:tr>
      <w:tr w:rsidR="00F32F42" w:rsidRPr="00DF2261" w:rsidTr="00DF2261">
        <w:trPr>
          <w:jc w:val="center"/>
        </w:trPr>
        <w:tc>
          <w:tcPr>
            <w:tcW w:w="0" w:type="auto"/>
            <w:vMerge/>
            <w:vAlign w:val="center"/>
          </w:tcPr>
          <w:p w:rsidR="00F32F42" w:rsidRPr="00DF2261" w:rsidRDefault="00F32F42" w:rsidP="00F32F42">
            <w:pPr>
              <w:rPr>
                <w:b/>
                <w:szCs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32F42" w:rsidRPr="00DF2261" w:rsidRDefault="00F32F42" w:rsidP="00F32F42">
            <w:pPr>
              <w:rPr>
                <w:b/>
                <w:szCs w:val="22"/>
                <w:lang w:val="en-CA"/>
              </w:rPr>
            </w:pPr>
            <w:proofErr w:type="spellStart"/>
            <w:r w:rsidRPr="00DF2261">
              <w:rPr>
                <w:b/>
                <w:szCs w:val="22"/>
                <w:lang w:val="en-CA"/>
              </w:rPr>
              <w:t>Pic</w:t>
            </w:r>
            <w:proofErr w:type="spellEnd"/>
            <w:r w:rsidRPr="00DF2261">
              <w:rPr>
                <w:b/>
                <w:szCs w:val="22"/>
                <w:lang w:val="en-CA"/>
              </w:rPr>
              <w:t xml:space="preserve"> based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103%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101%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101%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144%</w:t>
            </w:r>
          </w:p>
        </w:tc>
        <w:tc>
          <w:tcPr>
            <w:tcW w:w="0" w:type="auto"/>
            <w:vAlign w:val="bottom"/>
          </w:tcPr>
          <w:p w:rsidR="00F32F42" w:rsidRPr="00DF2261" w:rsidRDefault="00F32F42" w:rsidP="00DF2261">
            <w:pPr>
              <w:jc w:val="center"/>
              <w:rPr>
                <w:bCs/>
                <w:color w:val="000000"/>
                <w:szCs w:val="22"/>
              </w:rPr>
            </w:pPr>
            <w:r w:rsidRPr="00DF2261">
              <w:rPr>
                <w:bCs/>
                <w:color w:val="000000"/>
                <w:szCs w:val="22"/>
              </w:rPr>
              <w:t>144%</w:t>
            </w:r>
          </w:p>
        </w:tc>
      </w:tr>
    </w:tbl>
    <w:p w:rsidR="00F13E0D" w:rsidRPr="00795CC5" w:rsidRDefault="00795CC5" w:rsidP="007D483D">
      <w:pPr>
        <w:jc w:val="both"/>
        <w:rPr>
          <w:lang w:val="en-CA"/>
        </w:rPr>
      </w:pPr>
      <w:r>
        <w:rPr>
          <w:lang w:val="en-CA"/>
        </w:rPr>
        <w:lastRenderedPageBreak/>
        <w:t xml:space="preserve">For the AI test cases, </w:t>
      </w:r>
      <w:r w:rsidR="00FF1EAB">
        <w:rPr>
          <w:lang w:val="en-CA"/>
        </w:rPr>
        <w:t xml:space="preserve">the complexity data for </w:t>
      </w:r>
      <w:r w:rsidR="00E37F13">
        <w:rPr>
          <w:lang w:val="en-CA"/>
        </w:rPr>
        <w:t xml:space="preserve">HM8.1 </w:t>
      </w:r>
      <w:r w:rsidR="00FF1EAB">
        <w:rPr>
          <w:lang w:val="en-CA"/>
        </w:rPr>
        <w:t>simulcast are all zero, because there is no temporal motion compensation in BL and EL.</w:t>
      </w:r>
      <w:r>
        <w:rPr>
          <w:lang w:val="en-CA"/>
        </w:rPr>
        <w:t xml:space="preserve"> </w:t>
      </w:r>
      <w:r w:rsidR="00FF1EAB">
        <w:rPr>
          <w:lang w:val="en-CA"/>
        </w:rPr>
        <w:t>T</w:t>
      </w:r>
      <w:r>
        <w:rPr>
          <w:lang w:val="en-CA"/>
        </w:rPr>
        <w:t xml:space="preserve">herefore, the simulcast </w:t>
      </w:r>
      <w:r w:rsidR="00A40621">
        <w:rPr>
          <w:lang w:val="en-CA"/>
        </w:rPr>
        <w:t>d</w:t>
      </w:r>
      <w:r w:rsidR="009C40C8">
        <w:rPr>
          <w:lang w:val="en-CA"/>
        </w:rPr>
        <w:t xml:space="preserve">ata cannot be used as </w:t>
      </w:r>
      <w:r w:rsidR="00FF1EAB">
        <w:rPr>
          <w:lang w:val="en-CA"/>
        </w:rPr>
        <w:t xml:space="preserve">meaningful anchor, as it </w:t>
      </w:r>
      <w:r>
        <w:rPr>
          <w:lang w:val="en-CA"/>
        </w:rPr>
        <w:t xml:space="preserve">will </w:t>
      </w:r>
      <w:r w:rsidR="00FF1EAB">
        <w:rPr>
          <w:lang w:val="en-CA"/>
        </w:rPr>
        <w:t xml:space="preserve">only </w:t>
      </w:r>
      <w:r>
        <w:rPr>
          <w:lang w:val="en-CA"/>
        </w:rPr>
        <w:t xml:space="preserve">result in INF </w:t>
      </w:r>
      <w:r w:rsidR="00525B7A">
        <w:rPr>
          <w:lang w:val="en-CA"/>
        </w:rPr>
        <w:t>in all the cells</w:t>
      </w:r>
      <w:r w:rsidR="00133746">
        <w:rPr>
          <w:lang w:val="en-CA"/>
        </w:rPr>
        <w:t xml:space="preserve"> in the table</w:t>
      </w:r>
      <w:r>
        <w:rPr>
          <w:lang w:val="en-CA"/>
        </w:rPr>
        <w:t xml:space="preserve">. </w:t>
      </w:r>
      <w:r w:rsidR="00E37F13">
        <w:rPr>
          <w:lang w:val="en-CA"/>
        </w:rPr>
        <w:t>For this reason</w:t>
      </w:r>
      <w:r>
        <w:rPr>
          <w:lang w:val="en-CA"/>
        </w:rPr>
        <w:t xml:space="preserve">, </w:t>
      </w:r>
      <w:r w:rsidR="00133746">
        <w:rPr>
          <w:lang w:val="en-CA"/>
        </w:rPr>
        <w:t xml:space="preserve">for </w:t>
      </w:r>
      <w:r>
        <w:rPr>
          <w:lang w:val="en-CA"/>
        </w:rPr>
        <w:t>the AI test cases</w:t>
      </w:r>
      <w:r w:rsidR="00133746">
        <w:rPr>
          <w:lang w:val="en-CA"/>
        </w:rPr>
        <w:t xml:space="preserve">, </w:t>
      </w:r>
      <w:r>
        <w:rPr>
          <w:lang w:val="en-CA"/>
        </w:rPr>
        <w:t xml:space="preserve">the PU-based and picture-based 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 are </w:t>
      </w:r>
      <w:r w:rsidR="00FF1EAB">
        <w:rPr>
          <w:lang w:val="en-CA"/>
        </w:rPr>
        <w:t xml:space="preserve">directly </w:t>
      </w:r>
      <w:r>
        <w:rPr>
          <w:lang w:val="en-CA"/>
        </w:rPr>
        <w:t xml:space="preserve">compared to </w:t>
      </w:r>
      <w:proofErr w:type="spellStart"/>
      <w:r w:rsidR="00133746">
        <w:rPr>
          <w:lang w:val="en-CA"/>
        </w:rPr>
        <w:t>IntraBL</w:t>
      </w:r>
      <w:proofErr w:type="spellEnd"/>
      <w:r w:rsidR="00E37F13">
        <w:rPr>
          <w:lang w:val="en-CA"/>
        </w:rPr>
        <w:t xml:space="preserve"> to get an understanding of relative complexity</w:t>
      </w:r>
      <w:r>
        <w:rPr>
          <w:lang w:val="en-CA"/>
        </w:rPr>
        <w:t>.</w:t>
      </w:r>
      <w:r w:rsidR="00133746" w:rsidRPr="00133746">
        <w:t xml:space="preserve"> </w:t>
      </w:r>
      <w:r w:rsidR="00741EFF">
        <w:fldChar w:fldCharType="begin"/>
      </w:r>
      <w:r w:rsidR="00133746">
        <w:instrText xml:space="preserve"> REF _Ref352015486 \h </w:instrText>
      </w:r>
      <w:r w:rsidR="00741EFF">
        <w:fldChar w:fldCharType="separate"/>
      </w:r>
      <w:r w:rsidR="000B7878">
        <w:t xml:space="preserve">Table </w:t>
      </w:r>
      <w:r w:rsidR="000B7878">
        <w:rPr>
          <w:noProof/>
        </w:rPr>
        <w:t>2</w:t>
      </w:r>
      <w:r w:rsidR="000B7878">
        <w:noBreakHyphen/>
      </w:r>
      <w:r w:rsidR="000B7878">
        <w:rPr>
          <w:noProof/>
        </w:rPr>
        <w:t>2</w:t>
      </w:r>
      <w:r w:rsidR="00741EFF">
        <w:fldChar w:fldCharType="end"/>
      </w:r>
      <w:r w:rsidR="00133746">
        <w:t xml:space="preserve"> </w:t>
      </w:r>
      <w:r w:rsidR="00133746" w:rsidRPr="00795CC5">
        <w:t xml:space="preserve">summarizes the average % complexity of the </w:t>
      </w:r>
      <w:proofErr w:type="spellStart"/>
      <w:r w:rsidR="00133746">
        <w:t>RefIdx</w:t>
      </w:r>
      <w:proofErr w:type="spellEnd"/>
      <w:r w:rsidR="00133746" w:rsidRPr="00795CC5">
        <w:t xml:space="preserve"> implementations </w:t>
      </w:r>
      <w:r w:rsidR="00133746">
        <w:t xml:space="preserve">using </w:t>
      </w:r>
      <w:proofErr w:type="spellStart"/>
      <w:r w:rsidR="00133746">
        <w:t>IntraBL</w:t>
      </w:r>
      <w:proofErr w:type="spellEnd"/>
      <w:r w:rsidR="00133746">
        <w:t xml:space="preserve"> as the reference</w:t>
      </w:r>
      <w:r w:rsidR="00133746" w:rsidRPr="00795CC5">
        <w:t xml:space="preserve">. </w:t>
      </w:r>
      <w:r w:rsidR="00133746">
        <w:t>As can be seen, both</w:t>
      </w:r>
      <w:r w:rsidR="009C40C8">
        <w:t xml:space="preserve"> PU-based</w:t>
      </w:r>
      <w:r w:rsidR="00133746">
        <w:t xml:space="preserve"> </w:t>
      </w:r>
      <w:proofErr w:type="spellStart"/>
      <w:r w:rsidR="00133746">
        <w:t>RefIdx</w:t>
      </w:r>
      <w:proofErr w:type="spellEnd"/>
      <w:r w:rsidR="00133746">
        <w:t xml:space="preserve"> </w:t>
      </w:r>
      <w:r w:rsidR="009C40C8">
        <w:t xml:space="preserve">and Picture-based </w:t>
      </w:r>
      <w:proofErr w:type="spellStart"/>
      <w:r w:rsidR="009C40C8">
        <w:t>Refidx</w:t>
      </w:r>
      <w:proofErr w:type="spellEnd"/>
      <w:r w:rsidR="009C40C8">
        <w:t xml:space="preserve"> </w:t>
      </w:r>
      <w:r w:rsidR="00133746">
        <w:t xml:space="preserve">have lower complexity compared to </w:t>
      </w:r>
      <w:proofErr w:type="spellStart"/>
      <w:r w:rsidR="00133746">
        <w:t>IntraBL</w:t>
      </w:r>
      <w:proofErr w:type="spellEnd"/>
      <w:r w:rsidR="00133746">
        <w:t xml:space="preserve">; in particular, the memory bandwidth for Picture-based </w:t>
      </w:r>
      <w:proofErr w:type="spellStart"/>
      <w:r w:rsidR="00133746">
        <w:t>RefIdx</w:t>
      </w:r>
      <w:proofErr w:type="spellEnd"/>
      <w:r w:rsidR="00133746">
        <w:t xml:space="preserve"> is only about half of that of </w:t>
      </w:r>
      <w:proofErr w:type="spellStart"/>
      <w:r w:rsidR="00133746">
        <w:t>IntraBL</w:t>
      </w:r>
      <w:proofErr w:type="spellEnd"/>
      <w:r w:rsidR="00133746">
        <w:t xml:space="preserve">. </w:t>
      </w:r>
      <w:r>
        <w:rPr>
          <w:lang w:val="en-CA"/>
        </w:rPr>
        <w:t xml:space="preserve">This is because </w:t>
      </w:r>
      <w:r w:rsidR="00545A39">
        <w:rPr>
          <w:lang w:val="en-CA"/>
        </w:rPr>
        <w:t xml:space="preserve">Picture-based </w:t>
      </w:r>
      <w:proofErr w:type="spellStart"/>
      <w:r w:rsidR="00545A39">
        <w:rPr>
          <w:lang w:val="en-CA"/>
        </w:rPr>
        <w:t>RefIdx</w:t>
      </w:r>
      <w:proofErr w:type="spellEnd"/>
      <w:r w:rsidR="00545A39">
        <w:rPr>
          <w:lang w:val="en-CA"/>
        </w:rPr>
        <w:t xml:space="preserve"> always </w:t>
      </w:r>
      <w:proofErr w:type="spellStart"/>
      <w:r w:rsidR="00545A39">
        <w:rPr>
          <w:lang w:val="en-CA"/>
        </w:rPr>
        <w:t>upsamples</w:t>
      </w:r>
      <w:proofErr w:type="spellEnd"/>
      <w:r w:rsidR="00545A39">
        <w:rPr>
          <w:lang w:val="en-CA"/>
        </w:rPr>
        <w:t xml:space="preserve"> the entire BL picture using fixed block size of 64x64, and has a fixed memory bandwidth overhead during upsampling. Therefore, its average complexity will be reduced when</w:t>
      </w:r>
      <w:r w:rsidR="00A06B17">
        <w:rPr>
          <w:lang w:val="en-CA"/>
        </w:rPr>
        <w:t xml:space="preserve"> more </w:t>
      </w:r>
      <w:r w:rsidR="00545A39">
        <w:rPr>
          <w:lang w:val="en-CA"/>
        </w:rPr>
        <w:t xml:space="preserve">EL blocks are </w:t>
      </w:r>
      <w:proofErr w:type="gramStart"/>
      <w:r w:rsidR="00A06B17">
        <w:rPr>
          <w:lang w:val="en-CA"/>
        </w:rPr>
        <w:t>inter</w:t>
      </w:r>
      <w:proofErr w:type="gramEnd"/>
      <w:r w:rsidR="00A06B17">
        <w:rPr>
          <w:lang w:val="en-CA"/>
        </w:rPr>
        <w:t xml:space="preserve"> layer predict</w:t>
      </w:r>
      <w:r w:rsidR="00545A39">
        <w:rPr>
          <w:lang w:val="en-CA"/>
        </w:rPr>
        <w:t xml:space="preserve">ed. In </w:t>
      </w:r>
      <w:r w:rsidR="00A06B17">
        <w:rPr>
          <w:lang w:val="en-CA"/>
        </w:rPr>
        <w:t xml:space="preserve">the </w:t>
      </w:r>
      <w:r w:rsidR="00545A39">
        <w:rPr>
          <w:lang w:val="en-CA"/>
        </w:rPr>
        <w:t xml:space="preserve">AI cases, </w:t>
      </w:r>
      <w:r w:rsidR="00A06B17">
        <w:rPr>
          <w:lang w:val="en-CA"/>
        </w:rPr>
        <w:t xml:space="preserve">due to </w:t>
      </w:r>
      <w:r w:rsidR="00545A39">
        <w:rPr>
          <w:lang w:val="en-CA"/>
        </w:rPr>
        <w:t xml:space="preserve">the lack of temporal prediction in the EL, the number of inter layer predicted blocks is significantly higher than the RA/LDP/LDB cases, </w:t>
      </w:r>
      <w:r w:rsidR="00525B7A">
        <w:rPr>
          <w:lang w:val="en-CA"/>
        </w:rPr>
        <w:t xml:space="preserve">which </w:t>
      </w:r>
      <w:r w:rsidR="00545A39">
        <w:rPr>
          <w:lang w:val="en-CA"/>
        </w:rPr>
        <w:t>result</w:t>
      </w:r>
      <w:r w:rsidR="00525B7A">
        <w:rPr>
          <w:lang w:val="en-CA"/>
        </w:rPr>
        <w:t xml:space="preserve">s </w:t>
      </w:r>
      <w:r w:rsidR="00545A39">
        <w:rPr>
          <w:lang w:val="en-CA"/>
        </w:rPr>
        <w:t xml:space="preserve">in reduced average complexity for Picture-based </w:t>
      </w:r>
      <w:proofErr w:type="spellStart"/>
      <w:r w:rsidR="00545A39">
        <w:rPr>
          <w:lang w:val="en-CA"/>
        </w:rPr>
        <w:t>RefIdx</w:t>
      </w:r>
      <w:proofErr w:type="spellEnd"/>
      <w:r w:rsidR="00545A39">
        <w:rPr>
          <w:lang w:val="en-CA"/>
        </w:rPr>
        <w:t xml:space="preserve">. </w:t>
      </w:r>
      <w:r>
        <w:rPr>
          <w:lang w:val="en-CA"/>
        </w:rPr>
        <w:t xml:space="preserve"> </w:t>
      </w:r>
      <w:r w:rsidRPr="00795CC5">
        <w:t xml:space="preserve"> </w:t>
      </w:r>
    </w:p>
    <w:p w:rsidR="00F32F42" w:rsidRPr="00F32F42" w:rsidRDefault="00F32F42" w:rsidP="00F32F42">
      <w:pPr>
        <w:pStyle w:val="Caption"/>
        <w:jc w:val="center"/>
      </w:pPr>
      <w:bookmarkStart w:id="3" w:name="_Ref352015486"/>
      <w:proofErr w:type="gramStart"/>
      <w:r>
        <w:t xml:space="preserve">Table </w:t>
      </w:r>
      <w:r w:rsidR="00741EFF">
        <w:fldChar w:fldCharType="begin"/>
      </w:r>
      <w:r w:rsidR="00741EFF">
        <w:instrText xml:space="preserve"> STYLEREF 1 \s </w:instrText>
      </w:r>
      <w:r w:rsidR="00741EFF">
        <w:fldChar w:fldCharType="separate"/>
      </w:r>
      <w:r w:rsidR="000B7878">
        <w:rPr>
          <w:noProof/>
        </w:rPr>
        <w:t>2</w:t>
      </w:r>
      <w:r w:rsidR="00741EFF">
        <w:fldChar w:fldCharType="end"/>
      </w:r>
      <w:r>
        <w:noBreakHyphen/>
      </w:r>
      <w:r w:rsidR="00741EFF">
        <w:fldChar w:fldCharType="begin"/>
      </w:r>
      <w:r w:rsidR="00741EFF">
        <w:instrText xml:space="preserve"> SEQ Table \* ARABIC \s 1 </w:instrText>
      </w:r>
      <w:r w:rsidR="00741EFF">
        <w:fldChar w:fldCharType="separate"/>
      </w:r>
      <w:r w:rsidR="000B7878">
        <w:rPr>
          <w:noProof/>
        </w:rPr>
        <w:t>2</w:t>
      </w:r>
      <w:r w:rsidR="00741EFF">
        <w:fldChar w:fldCharType="end"/>
      </w:r>
      <w:bookmarkEnd w:id="3"/>
      <w:r>
        <w:t>.</w:t>
      </w:r>
      <w:proofErr w:type="gramEnd"/>
      <w:r>
        <w:t xml:space="preserve"> Average </w:t>
      </w:r>
      <w:r w:rsidR="00B16D73">
        <w:t xml:space="preserve">% </w:t>
      </w:r>
      <w:r>
        <w:t>complexity compar</w:t>
      </w:r>
      <w:r w:rsidR="00B16D73">
        <w:t xml:space="preserve">ison between SHM1.0 </w:t>
      </w:r>
      <w:proofErr w:type="spellStart"/>
      <w:r w:rsidR="00B16D73">
        <w:t>RefIdx</w:t>
      </w:r>
      <w:proofErr w:type="spellEnd"/>
      <w:r w:rsidR="00B16D73">
        <w:t xml:space="preserve"> and SHM1.0 </w:t>
      </w:r>
      <w:proofErr w:type="spellStart"/>
      <w:r w:rsidR="00B16D73">
        <w:t>IntraBL</w:t>
      </w:r>
      <w:proofErr w:type="spellEnd"/>
      <w:r w:rsidR="00B16D73">
        <w:t xml:space="preserve"> </w:t>
      </w:r>
      <w:r>
        <w:t xml:space="preserve">for </w:t>
      </w:r>
      <w:r w:rsidR="00B16D73">
        <w:t xml:space="preserve">AI </w:t>
      </w:r>
      <w:r>
        <w:t>test cases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5"/>
        <w:gridCol w:w="742"/>
        <w:gridCol w:w="1072"/>
        <w:gridCol w:w="1072"/>
        <w:gridCol w:w="777"/>
        <w:gridCol w:w="717"/>
      </w:tblGrid>
      <w:tr w:rsidR="009F2034" w:rsidRPr="00BB2ECE" w:rsidTr="00EE77D6">
        <w:trPr>
          <w:jc w:val="center"/>
        </w:trPr>
        <w:tc>
          <w:tcPr>
            <w:tcW w:w="0" w:type="auto"/>
          </w:tcPr>
          <w:p w:rsidR="009F2034" w:rsidRPr="00BB2ECE" w:rsidRDefault="009F2034" w:rsidP="00EE77D6">
            <w:pPr>
              <w:rPr>
                <w:szCs w:val="22"/>
              </w:rPr>
            </w:pPr>
          </w:p>
        </w:tc>
        <w:tc>
          <w:tcPr>
            <w:tcW w:w="0" w:type="auto"/>
            <w:gridSpan w:val="3"/>
            <w:vAlign w:val="bottom"/>
          </w:tcPr>
          <w:p w:rsidR="009F2034" w:rsidRPr="00BB2ECE" w:rsidRDefault="009F2034" w:rsidP="00F32F42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Memory bandwidth</w:t>
            </w:r>
          </w:p>
        </w:tc>
        <w:tc>
          <w:tcPr>
            <w:tcW w:w="0" w:type="auto"/>
            <w:gridSpan w:val="2"/>
            <w:vAlign w:val="bottom"/>
          </w:tcPr>
          <w:p w:rsidR="009F2034" w:rsidRPr="00BB2ECE" w:rsidRDefault="009F2034" w:rsidP="00F32F42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# calculations</w:t>
            </w:r>
          </w:p>
        </w:tc>
      </w:tr>
      <w:tr w:rsidR="00B16D73" w:rsidRPr="00BB2ECE" w:rsidTr="00EE77D6">
        <w:trPr>
          <w:jc w:val="center"/>
        </w:trPr>
        <w:tc>
          <w:tcPr>
            <w:tcW w:w="0" w:type="auto"/>
          </w:tcPr>
          <w:p w:rsidR="00B16D73" w:rsidRPr="00BB2ECE" w:rsidRDefault="00B16D73" w:rsidP="00EE77D6">
            <w:pPr>
              <w:rPr>
                <w:szCs w:val="22"/>
              </w:rPr>
            </w:pPr>
          </w:p>
        </w:tc>
        <w:tc>
          <w:tcPr>
            <w:tcW w:w="0" w:type="auto"/>
            <w:vAlign w:val="bottom"/>
          </w:tcPr>
          <w:p w:rsidR="00B16D73" w:rsidRPr="00BB2ECE" w:rsidRDefault="00B16D73" w:rsidP="00F32F42">
            <w:pPr>
              <w:jc w:val="center"/>
              <w:rPr>
                <w:b/>
                <w:color w:val="000000"/>
                <w:szCs w:val="22"/>
              </w:rPr>
            </w:pPr>
            <w:r w:rsidRPr="00BB2ECE">
              <w:rPr>
                <w:b/>
                <w:color w:val="000000"/>
                <w:szCs w:val="22"/>
              </w:rPr>
              <w:t>8b/8b</w:t>
            </w:r>
          </w:p>
        </w:tc>
        <w:tc>
          <w:tcPr>
            <w:tcW w:w="0" w:type="auto"/>
            <w:vAlign w:val="bottom"/>
          </w:tcPr>
          <w:p w:rsidR="00B16D73" w:rsidRPr="00BB2ECE" w:rsidRDefault="00B16D73" w:rsidP="00F32F42">
            <w:pPr>
              <w:jc w:val="center"/>
              <w:rPr>
                <w:b/>
                <w:color w:val="000000"/>
                <w:szCs w:val="22"/>
              </w:rPr>
            </w:pPr>
            <w:r w:rsidRPr="00BB2ECE">
              <w:rPr>
                <w:b/>
                <w:color w:val="000000"/>
                <w:szCs w:val="22"/>
              </w:rPr>
              <w:t>64b/256b</w:t>
            </w:r>
          </w:p>
        </w:tc>
        <w:tc>
          <w:tcPr>
            <w:tcW w:w="0" w:type="auto"/>
            <w:vAlign w:val="bottom"/>
          </w:tcPr>
          <w:p w:rsidR="00B16D73" w:rsidRPr="00BB2ECE" w:rsidRDefault="00B16D73" w:rsidP="00F32F42">
            <w:pPr>
              <w:jc w:val="center"/>
              <w:rPr>
                <w:b/>
                <w:color w:val="000000"/>
                <w:szCs w:val="22"/>
              </w:rPr>
            </w:pPr>
            <w:r w:rsidRPr="00BB2ECE">
              <w:rPr>
                <w:b/>
                <w:color w:val="000000"/>
                <w:szCs w:val="22"/>
              </w:rPr>
              <w:t>64b/512b</w:t>
            </w:r>
          </w:p>
        </w:tc>
        <w:tc>
          <w:tcPr>
            <w:tcW w:w="0" w:type="auto"/>
            <w:vAlign w:val="bottom"/>
          </w:tcPr>
          <w:p w:rsidR="00B16D73" w:rsidRPr="00BB2ECE" w:rsidRDefault="00B16D73" w:rsidP="00F32F42">
            <w:pPr>
              <w:jc w:val="center"/>
              <w:rPr>
                <w:b/>
                <w:color w:val="000000"/>
                <w:szCs w:val="22"/>
              </w:rPr>
            </w:pPr>
            <w:proofErr w:type="spellStart"/>
            <w:r w:rsidRPr="00BB2ECE">
              <w:rPr>
                <w:b/>
                <w:color w:val="000000"/>
                <w:szCs w:val="22"/>
              </w:rPr>
              <w:t>Mults</w:t>
            </w:r>
            <w:proofErr w:type="spellEnd"/>
          </w:p>
        </w:tc>
        <w:tc>
          <w:tcPr>
            <w:tcW w:w="0" w:type="auto"/>
            <w:vAlign w:val="bottom"/>
          </w:tcPr>
          <w:p w:rsidR="00B16D73" w:rsidRPr="00BB2ECE" w:rsidRDefault="00B16D73" w:rsidP="00F32F42">
            <w:pPr>
              <w:jc w:val="center"/>
              <w:rPr>
                <w:b/>
                <w:color w:val="000000"/>
                <w:szCs w:val="22"/>
              </w:rPr>
            </w:pPr>
            <w:r w:rsidRPr="00BB2ECE">
              <w:rPr>
                <w:b/>
                <w:color w:val="000000"/>
                <w:szCs w:val="22"/>
              </w:rPr>
              <w:t>Adds</w:t>
            </w:r>
          </w:p>
        </w:tc>
      </w:tr>
      <w:tr w:rsidR="00B16D73" w:rsidRPr="00BB2ECE" w:rsidTr="00F32F42">
        <w:trPr>
          <w:jc w:val="center"/>
        </w:trPr>
        <w:tc>
          <w:tcPr>
            <w:tcW w:w="0" w:type="auto"/>
            <w:vAlign w:val="center"/>
          </w:tcPr>
          <w:p w:rsidR="00B16D73" w:rsidRPr="00BB2ECE" w:rsidRDefault="00A06B17" w:rsidP="00A06B17">
            <w:pPr>
              <w:rPr>
                <w:b/>
                <w:szCs w:val="22"/>
                <w:lang w:val="en-CA"/>
              </w:rPr>
            </w:pPr>
            <w:r w:rsidRPr="00BB2ECE">
              <w:rPr>
                <w:b/>
                <w:szCs w:val="22"/>
                <w:lang w:val="en-CA"/>
              </w:rPr>
              <w:t>PU based</w:t>
            </w:r>
            <w:r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B16D73">
              <w:rPr>
                <w:b/>
                <w:szCs w:val="22"/>
                <w:lang w:val="en-CA"/>
              </w:rPr>
              <w:t>RefIdx</w:t>
            </w:r>
            <w:proofErr w:type="spellEnd"/>
            <w:r w:rsidR="00B16D73">
              <w:rPr>
                <w:b/>
                <w:szCs w:val="22"/>
                <w:lang w:val="en-CA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91%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89%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89%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98%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98%</w:t>
            </w:r>
          </w:p>
        </w:tc>
      </w:tr>
      <w:tr w:rsidR="00B16D73" w:rsidRPr="00BB2ECE" w:rsidTr="00F32F42">
        <w:trPr>
          <w:jc w:val="center"/>
        </w:trPr>
        <w:tc>
          <w:tcPr>
            <w:tcW w:w="0" w:type="auto"/>
            <w:vAlign w:val="center"/>
          </w:tcPr>
          <w:p w:rsidR="00B16D73" w:rsidRPr="00BB2ECE" w:rsidRDefault="00A06B17" w:rsidP="00A06B17">
            <w:pPr>
              <w:rPr>
                <w:b/>
                <w:szCs w:val="22"/>
                <w:lang w:val="en-CA"/>
              </w:rPr>
            </w:pPr>
            <w:proofErr w:type="spellStart"/>
            <w:r w:rsidRPr="00BB2ECE">
              <w:rPr>
                <w:b/>
                <w:szCs w:val="22"/>
                <w:lang w:val="en-CA"/>
              </w:rPr>
              <w:t>Pic</w:t>
            </w:r>
            <w:proofErr w:type="spellEnd"/>
            <w:r w:rsidRPr="00BB2ECE">
              <w:rPr>
                <w:b/>
                <w:szCs w:val="22"/>
                <w:lang w:val="en-CA"/>
              </w:rPr>
              <w:t xml:space="preserve"> based</w:t>
            </w:r>
            <w:r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B16D73">
              <w:rPr>
                <w:b/>
                <w:szCs w:val="22"/>
                <w:lang w:val="en-CA"/>
              </w:rPr>
              <w:t>Ref</w:t>
            </w:r>
            <w:r>
              <w:rPr>
                <w:b/>
                <w:szCs w:val="22"/>
                <w:lang w:val="en-CA"/>
              </w:rPr>
              <w:t>I</w:t>
            </w:r>
            <w:r w:rsidR="00B16D73">
              <w:rPr>
                <w:b/>
                <w:szCs w:val="22"/>
                <w:lang w:val="en-CA"/>
              </w:rPr>
              <w:t>dx</w:t>
            </w:r>
            <w:proofErr w:type="spellEnd"/>
            <w:r w:rsidR="00B16D73">
              <w:rPr>
                <w:b/>
                <w:szCs w:val="22"/>
                <w:lang w:val="en-CA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56%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42%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43%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98%</w:t>
            </w:r>
          </w:p>
        </w:tc>
        <w:tc>
          <w:tcPr>
            <w:tcW w:w="0" w:type="auto"/>
            <w:vAlign w:val="bottom"/>
          </w:tcPr>
          <w:p w:rsidR="00B16D73" w:rsidRPr="00BB2ECE" w:rsidRDefault="00B16D73">
            <w:pPr>
              <w:jc w:val="center"/>
              <w:rPr>
                <w:bCs/>
                <w:color w:val="000000"/>
                <w:szCs w:val="22"/>
              </w:rPr>
            </w:pPr>
            <w:r w:rsidRPr="00BB2ECE">
              <w:rPr>
                <w:bCs/>
                <w:color w:val="000000"/>
                <w:szCs w:val="22"/>
              </w:rPr>
              <w:t>98%</w:t>
            </w:r>
          </w:p>
        </w:tc>
      </w:tr>
    </w:tbl>
    <w:p w:rsidR="003132AE" w:rsidRDefault="003132AE" w:rsidP="003132AE">
      <w:pPr>
        <w:pStyle w:val="Heading2"/>
      </w:pPr>
      <w:r>
        <w:t>Worst case complexity</w:t>
      </w:r>
    </w:p>
    <w:p w:rsidR="00AE4993" w:rsidRDefault="00133746" w:rsidP="007D483D">
      <w:pPr>
        <w:jc w:val="both"/>
        <w:rPr>
          <w:lang w:val="en-CA"/>
        </w:rPr>
      </w:pPr>
      <w:r>
        <w:rPr>
          <w:lang w:val="en-CA"/>
        </w:rPr>
        <w:t xml:space="preserve">Another important measurement of complexity </w:t>
      </w:r>
      <w:r w:rsidR="009C40C8">
        <w:rPr>
          <w:lang w:val="en-CA"/>
        </w:rPr>
        <w:t xml:space="preserve">provided by AHG17 </w:t>
      </w:r>
      <w:r>
        <w:rPr>
          <w:lang w:val="en-CA"/>
        </w:rPr>
        <w:t>is the worst case complexity, which measures the peak complexity when certain prediction modes/</w:t>
      </w:r>
      <w:r w:rsidR="00525B7A">
        <w:rPr>
          <w:lang w:val="en-CA"/>
        </w:rPr>
        <w:t xml:space="preserve">PU </w:t>
      </w:r>
      <w:r>
        <w:rPr>
          <w:lang w:val="en-CA"/>
        </w:rPr>
        <w:t xml:space="preserve">sizes are used. </w:t>
      </w:r>
      <w:r w:rsidR="00741EFF">
        <w:rPr>
          <w:lang w:val="en-CA"/>
        </w:rPr>
        <w:fldChar w:fldCharType="begin"/>
      </w:r>
      <w:r>
        <w:rPr>
          <w:lang w:val="en-CA"/>
        </w:rPr>
        <w:instrText xml:space="preserve"> REF _Ref351929699 \h </w:instrText>
      </w:r>
      <w:r w:rsidR="00741EFF">
        <w:rPr>
          <w:lang w:val="en-CA"/>
        </w:rPr>
      </w:r>
      <w:r w:rsidR="00741EFF">
        <w:rPr>
          <w:lang w:val="en-CA"/>
        </w:rPr>
        <w:fldChar w:fldCharType="separate"/>
      </w:r>
      <w:r w:rsidR="000B7878">
        <w:t xml:space="preserve">Table </w:t>
      </w:r>
      <w:r w:rsidR="000B7878">
        <w:rPr>
          <w:noProof/>
        </w:rPr>
        <w:t>2</w:t>
      </w:r>
      <w:r w:rsidR="000B7878">
        <w:noBreakHyphen/>
      </w:r>
      <w:r w:rsidR="000B7878">
        <w:rPr>
          <w:noProof/>
        </w:rPr>
        <w:t>3</w:t>
      </w:r>
      <w:r w:rsidR="00741EFF">
        <w:rPr>
          <w:lang w:val="en-CA"/>
        </w:rPr>
        <w:fldChar w:fldCharType="end"/>
      </w:r>
      <w:r w:rsidR="00FF1EAB">
        <w:rPr>
          <w:lang w:val="en-CA"/>
        </w:rPr>
        <w:t xml:space="preserve"> compares the worst case complexity of HM8.1 with those of </w:t>
      </w:r>
      <w:proofErr w:type="spellStart"/>
      <w:r w:rsidR="00FF1EAB">
        <w:rPr>
          <w:lang w:val="en-CA"/>
        </w:rPr>
        <w:t>IntraBL</w:t>
      </w:r>
      <w:proofErr w:type="spellEnd"/>
      <w:r w:rsidR="00FF1EAB">
        <w:rPr>
          <w:lang w:val="en-CA"/>
        </w:rPr>
        <w:t xml:space="preserve">, PU-based </w:t>
      </w:r>
      <w:proofErr w:type="spellStart"/>
      <w:r w:rsidR="00FF1EAB">
        <w:rPr>
          <w:lang w:val="en-CA"/>
        </w:rPr>
        <w:t>RefIdx</w:t>
      </w:r>
      <w:proofErr w:type="spellEnd"/>
      <w:r w:rsidR="00FF1EAB">
        <w:rPr>
          <w:lang w:val="en-CA"/>
        </w:rPr>
        <w:t xml:space="preserve">, and Picture-based </w:t>
      </w:r>
      <w:proofErr w:type="spellStart"/>
      <w:r w:rsidR="00FF1EAB">
        <w:rPr>
          <w:lang w:val="en-CA"/>
        </w:rPr>
        <w:t>RefIdx</w:t>
      </w:r>
      <w:proofErr w:type="spellEnd"/>
      <w:r w:rsidR="00FF1EAB">
        <w:rPr>
          <w:lang w:val="en-CA"/>
        </w:rPr>
        <w:t xml:space="preserve"> in SHM1.0</w:t>
      </w:r>
      <w:r w:rsidR="00AE4993">
        <w:rPr>
          <w:lang w:val="en-CA"/>
        </w:rPr>
        <w:t xml:space="preserve">, for </w:t>
      </w:r>
      <w:proofErr w:type="gramStart"/>
      <w:r w:rsidR="00705A6E">
        <w:rPr>
          <w:lang w:val="en-CA"/>
        </w:rPr>
        <w:t>2x</w:t>
      </w:r>
      <w:proofErr w:type="gramEnd"/>
      <w:r w:rsidR="00705A6E">
        <w:rPr>
          <w:lang w:val="en-CA"/>
        </w:rPr>
        <w:t xml:space="preserve"> and 1.5x </w:t>
      </w:r>
      <w:r w:rsidR="00AE4993">
        <w:rPr>
          <w:lang w:val="en-CA"/>
        </w:rPr>
        <w:t>spatial scalability</w:t>
      </w:r>
      <w:r>
        <w:rPr>
          <w:lang w:val="en-CA"/>
        </w:rPr>
        <w:t xml:space="preserve">. </w:t>
      </w:r>
      <w:r w:rsidR="00705A6E">
        <w:rPr>
          <w:lang w:val="en-CA"/>
        </w:rPr>
        <w:t xml:space="preserve">In terms of the worst case complexity, </w:t>
      </w:r>
      <w:proofErr w:type="spellStart"/>
      <w:r w:rsidR="00AE4993">
        <w:rPr>
          <w:lang w:val="en-CA"/>
        </w:rPr>
        <w:t>IntraB</w:t>
      </w:r>
      <w:r w:rsidR="00705A6E">
        <w:rPr>
          <w:lang w:val="en-CA"/>
        </w:rPr>
        <w:t>L</w:t>
      </w:r>
      <w:proofErr w:type="spellEnd"/>
      <w:r w:rsidR="00705A6E">
        <w:rPr>
          <w:lang w:val="en-CA"/>
        </w:rPr>
        <w:t xml:space="preserve"> and PU-based </w:t>
      </w:r>
      <w:proofErr w:type="spellStart"/>
      <w:r w:rsidR="00705A6E">
        <w:rPr>
          <w:lang w:val="en-CA"/>
        </w:rPr>
        <w:t>RefIdx</w:t>
      </w:r>
      <w:proofErr w:type="spellEnd"/>
      <w:r w:rsidR="00705A6E">
        <w:rPr>
          <w:lang w:val="en-CA"/>
        </w:rPr>
        <w:t xml:space="preserve"> also are </w:t>
      </w:r>
      <w:r w:rsidR="00AE4993">
        <w:rPr>
          <w:lang w:val="en-CA"/>
        </w:rPr>
        <w:t xml:space="preserve">similar, although the latter has higher peak memory bandwidth, because </w:t>
      </w:r>
      <w:proofErr w:type="spellStart"/>
      <w:r w:rsidR="00AE4993">
        <w:rPr>
          <w:lang w:val="en-CA"/>
        </w:rPr>
        <w:t>RefIdx</w:t>
      </w:r>
      <w:proofErr w:type="spellEnd"/>
      <w:r w:rsidR="00AE4993">
        <w:rPr>
          <w:lang w:val="en-CA"/>
        </w:rPr>
        <w:t xml:space="preserve"> allows PU-based inter layer prediction, whereas </w:t>
      </w:r>
      <w:proofErr w:type="spellStart"/>
      <w:r w:rsidR="00AE4993">
        <w:rPr>
          <w:lang w:val="en-CA"/>
        </w:rPr>
        <w:t>IntraBL</w:t>
      </w:r>
      <w:proofErr w:type="spellEnd"/>
      <w:r w:rsidR="00AE4993">
        <w:rPr>
          <w:lang w:val="en-CA"/>
        </w:rPr>
        <w:t xml:space="preserve"> allows only CU-based inter layer prediction. Picture-based </w:t>
      </w:r>
      <w:proofErr w:type="spellStart"/>
      <w:r w:rsidR="00AE4993">
        <w:rPr>
          <w:lang w:val="en-CA"/>
        </w:rPr>
        <w:t>RefIdx</w:t>
      </w:r>
      <w:proofErr w:type="spellEnd"/>
      <w:r w:rsidR="00AE4993">
        <w:rPr>
          <w:lang w:val="en-CA"/>
        </w:rPr>
        <w:t xml:space="preserve">, on the other hand, has much lower worst case complexity. This is because Picture-based </w:t>
      </w:r>
      <w:proofErr w:type="spellStart"/>
      <w:r w:rsidR="00AE4993">
        <w:rPr>
          <w:lang w:val="en-CA"/>
        </w:rPr>
        <w:t>RefIdx</w:t>
      </w:r>
      <w:proofErr w:type="spellEnd"/>
      <w:r w:rsidR="00AE4993">
        <w:rPr>
          <w:lang w:val="en-CA"/>
        </w:rPr>
        <w:t xml:space="preserve"> always </w:t>
      </w:r>
      <w:proofErr w:type="spellStart"/>
      <w:r w:rsidR="00AE4993">
        <w:rPr>
          <w:lang w:val="en-CA"/>
        </w:rPr>
        <w:t>upsamples</w:t>
      </w:r>
      <w:proofErr w:type="spellEnd"/>
      <w:r w:rsidR="00AE4993">
        <w:rPr>
          <w:lang w:val="en-CA"/>
        </w:rPr>
        <w:t xml:space="preserve"> the entire BL picture, and hence its peak memory usage is not dependent upon the inter layer prediction block sizes (in </w:t>
      </w:r>
      <w:r w:rsidR="00EA44C3">
        <w:rPr>
          <w:lang w:val="en-CA"/>
        </w:rPr>
        <w:t xml:space="preserve">other words </w:t>
      </w:r>
      <w:r w:rsidR="00AE4993">
        <w:rPr>
          <w:lang w:val="en-CA"/>
        </w:rPr>
        <w:t xml:space="preserve">there is no “peak”). For Picture-based </w:t>
      </w:r>
      <w:proofErr w:type="spellStart"/>
      <w:r w:rsidR="00AE4993">
        <w:rPr>
          <w:lang w:val="en-CA"/>
        </w:rPr>
        <w:t>RefIdx</w:t>
      </w:r>
      <w:proofErr w:type="spellEnd"/>
      <w:r w:rsidR="00AE4993">
        <w:rPr>
          <w:lang w:val="en-CA"/>
        </w:rPr>
        <w:t xml:space="preserve"> implementation, the numbers </w:t>
      </w:r>
      <w:r w:rsidR="00EA44C3">
        <w:rPr>
          <w:lang w:val="en-CA"/>
        </w:rPr>
        <w:t xml:space="preserve">in JCTVC-L0440 shown </w:t>
      </w:r>
      <w:r w:rsidR="00AE4993">
        <w:rPr>
          <w:lang w:val="en-CA"/>
        </w:rPr>
        <w:t xml:space="preserve">in </w:t>
      </w:r>
      <w:r w:rsidR="00741EFF">
        <w:rPr>
          <w:lang w:val="en-CA"/>
        </w:rPr>
        <w:fldChar w:fldCharType="begin"/>
      </w:r>
      <w:r w:rsidR="00AE4993">
        <w:rPr>
          <w:lang w:val="en-CA"/>
        </w:rPr>
        <w:instrText xml:space="preserve"> REF _Ref351929699 \h </w:instrText>
      </w:r>
      <w:r w:rsidR="00741EFF">
        <w:rPr>
          <w:lang w:val="en-CA"/>
        </w:rPr>
      </w:r>
      <w:r w:rsidR="00741EFF">
        <w:rPr>
          <w:lang w:val="en-CA"/>
        </w:rPr>
        <w:fldChar w:fldCharType="separate"/>
      </w:r>
      <w:r w:rsidR="000B7878">
        <w:t xml:space="preserve">Table </w:t>
      </w:r>
      <w:r w:rsidR="000B7878">
        <w:rPr>
          <w:noProof/>
        </w:rPr>
        <w:t>2</w:t>
      </w:r>
      <w:r w:rsidR="000B7878">
        <w:noBreakHyphen/>
      </w:r>
      <w:r w:rsidR="000B7878">
        <w:rPr>
          <w:noProof/>
        </w:rPr>
        <w:t>3</w:t>
      </w:r>
      <w:r w:rsidR="00741EFF">
        <w:rPr>
          <w:lang w:val="en-CA"/>
        </w:rPr>
        <w:fldChar w:fldCharType="end"/>
      </w:r>
      <w:r w:rsidR="00AE4993">
        <w:rPr>
          <w:lang w:val="en-CA"/>
        </w:rPr>
        <w:t xml:space="preserve"> are calculated assuming that 16x16 fixed block</w:t>
      </w:r>
      <w:r w:rsidR="00705A6E">
        <w:rPr>
          <w:lang w:val="en-CA"/>
        </w:rPr>
        <w:t xml:space="preserve"> unit</w:t>
      </w:r>
      <w:r w:rsidR="00AE4993">
        <w:rPr>
          <w:lang w:val="en-CA"/>
        </w:rPr>
        <w:t xml:space="preserve">s are fetched and </w:t>
      </w:r>
      <w:proofErr w:type="spellStart"/>
      <w:r w:rsidR="00AE4993">
        <w:rPr>
          <w:lang w:val="en-CA"/>
        </w:rPr>
        <w:t>upsampled</w:t>
      </w:r>
      <w:proofErr w:type="spellEnd"/>
      <w:r w:rsidR="00AE4993">
        <w:rPr>
          <w:lang w:val="en-CA"/>
        </w:rPr>
        <w:t>; if larger block units are used</w:t>
      </w:r>
      <w:r w:rsidR="00705A6E">
        <w:rPr>
          <w:lang w:val="en-CA"/>
        </w:rPr>
        <w:t xml:space="preserve"> in </w:t>
      </w:r>
      <w:proofErr w:type="spellStart"/>
      <w:r w:rsidR="00705A6E">
        <w:rPr>
          <w:lang w:val="en-CA"/>
        </w:rPr>
        <w:t>upsampling</w:t>
      </w:r>
      <w:proofErr w:type="spellEnd"/>
      <w:r w:rsidR="00AE4993">
        <w:rPr>
          <w:lang w:val="en-CA"/>
        </w:rPr>
        <w:t xml:space="preserve">, e.g., 64x64 instead of 16x16, then the memory bandwidth overhead in Picture-based </w:t>
      </w:r>
      <w:proofErr w:type="spellStart"/>
      <w:r w:rsidR="00AE4993">
        <w:rPr>
          <w:lang w:val="en-CA"/>
        </w:rPr>
        <w:t>RefIdx</w:t>
      </w:r>
      <w:proofErr w:type="spellEnd"/>
      <w:r w:rsidR="00AE4993">
        <w:rPr>
          <w:lang w:val="en-CA"/>
        </w:rPr>
        <w:t xml:space="preserve"> will be further reduced. </w:t>
      </w:r>
    </w:p>
    <w:p w:rsidR="00F32F42" w:rsidRDefault="009C40C8" w:rsidP="007D483D">
      <w:pPr>
        <w:jc w:val="both"/>
        <w:rPr>
          <w:lang w:val="en-CA"/>
        </w:rPr>
      </w:pPr>
      <w:r>
        <w:rPr>
          <w:lang w:val="en-CA"/>
        </w:rPr>
        <w:t>SNR scalability</w:t>
      </w:r>
      <w:r w:rsidR="00EA44C3">
        <w:rPr>
          <w:lang w:val="en-CA"/>
        </w:rPr>
        <w:t xml:space="preserve"> is not shown in </w:t>
      </w:r>
      <w:r w:rsidR="00741EFF">
        <w:rPr>
          <w:lang w:val="en-CA"/>
        </w:rPr>
        <w:fldChar w:fldCharType="begin"/>
      </w:r>
      <w:r w:rsidR="00EA44C3">
        <w:rPr>
          <w:lang w:val="en-CA"/>
        </w:rPr>
        <w:instrText xml:space="preserve"> REF _Ref351929699 \h </w:instrText>
      </w:r>
      <w:r w:rsidR="00741EFF">
        <w:rPr>
          <w:lang w:val="en-CA"/>
        </w:rPr>
      </w:r>
      <w:r w:rsidR="00741EFF">
        <w:rPr>
          <w:lang w:val="en-CA"/>
        </w:rPr>
        <w:fldChar w:fldCharType="separate"/>
      </w:r>
      <w:r w:rsidR="000B7878">
        <w:t xml:space="preserve">Table </w:t>
      </w:r>
      <w:r w:rsidR="000B7878">
        <w:rPr>
          <w:noProof/>
        </w:rPr>
        <w:t>2</w:t>
      </w:r>
      <w:r w:rsidR="000B7878">
        <w:noBreakHyphen/>
      </w:r>
      <w:r w:rsidR="000B7878">
        <w:rPr>
          <w:noProof/>
        </w:rPr>
        <w:t>3</w:t>
      </w:r>
      <w:r w:rsidR="00741EFF">
        <w:rPr>
          <w:lang w:val="en-CA"/>
        </w:rPr>
        <w:fldChar w:fldCharType="end"/>
      </w:r>
      <w:r w:rsidR="00EA44C3">
        <w:rPr>
          <w:lang w:val="en-CA"/>
        </w:rPr>
        <w:t xml:space="preserve"> because SHM1.0 does not apply inter layer processing, and instead uses the reconstructed BL picture directly.</w:t>
      </w:r>
    </w:p>
    <w:p w:rsidR="001F2594" w:rsidRDefault="00C20D7A" w:rsidP="00C20D7A">
      <w:pPr>
        <w:pStyle w:val="Caption"/>
        <w:jc w:val="center"/>
      </w:pPr>
      <w:bookmarkStart w:id="4" w:name="_Ref351929699"/>
      <w:proofErr w:type="gramStart"/>
      <w:r>
        <w:t xml:space="preserve">Table </w:t>
      </w:r>
      <w:r w:rsidR="00741EFF">
        <w:fldChar w:fldCharType="begin"/>
      </w:r>
      <w:r w:rsidR="00741EFF">
        <w:instrText xml:space="preserve"> STYLEREF 1 \s </w:instrText>
      </w:r>
      <w:r w:rsidR="00741EFF">
        <w:fldChar w:fldCharType="separate"/>
      </w:r>
      <w:r w:rsidR="000B7878">
        <w:rPr>
          <w:noProof/>
        </w:rPr>
        <w:t>2</w:t>
      </w:r>
      <w:r w:rsidR="00741EFF">
        <w:fldChar w:fldCharType="end"/>
      </w:r>
      <w:r>
        <w:noBreakHyphen/>
      </w:r>
      <w:r w:rsidR="00741EFF">
        <w:fldChar w:fldCharType="begin"/>
      </w:r>
      <w:r w:rsidR="00741EFF">
        <w:instrText xml:space="preserve"> SEQ Table \* ARABIC \s 1 </w:instrText>
      </w:r>
      <w:r w:rsidR="00741EFF">
        <w:fldChar w:fldCharType="separate"/>
      </w:r>
      <w:r w:rsidR="000B7878">
        <w:rPr>
          <w:noProof/>
        </w:rPr>
        <w:t>3</w:t>
      </w:r>
      <w:r w:rsidR="00741EFF">
        <w:fldChar w:fldCharType="end"/>
      </w:r>
      <w:bookmarkEnd w:id="4"/>
      <w:r w:rsidR="00F77D55">
        <w:t>.</w:t>
      </w:r>
      <w:proofErr w:type="gramEnd"/>
      <w:r w:rsidR="00F77D55">
        <w:t xml:space="preserve"> Worst</w:t>
      </w:r>
      <w:r>
        <w:t xml:space="preserve"> case complexity analysis for </w:t>
      </w:r>
      <w:proofErr w:type="spellStart"/>
      <w:r>
        <w:t>IntraBL</w:t>
      </w:r>
      <w:proofErr w:type="spellEnd"/>
      <w:r>
        <w:t xml:space="preserve"> and </w:t>
      </w:r>
      <w:proofErr w:type="spellStart"/>
      <w:r>
        <w:t>RefIdx</w:t>
      </w:r>
      <w:proofErr w:type="spellEnd"/>
      <w:r>
        <w:t xml:space="preserve"> solutions in SHM1.0 (spatial scalability)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5"/>
        <w:gridCol w:w="894"/>
        <w:gridCol w:w="1330"/>
        <w:gridCol w:w="889"/>
        <w:gridCol w:w="1330"/>
        <w:gridCol w:w="889"/>
        <w:gridCol w:w="1330"/>
        <w:gridCol w:w="889"/>
      </w:tblGrid>
      <w:tr w:rsidR="00C20D7A" w:rsidRPr="00DF2261" w:rsidTr="00DF2261">
        <w:tc>
          <w:tcPr>
            <w:tcW w:w="0" w:type="auto"/>
            <w:vMerge w:val="restart"/>
          </w:tcPr>
          <w:p w:rsidR="00700FED" w:rsidRPr="00DF2261" w:rsidRDefault="00700FED" w:rsidP="00DF2261">
            <w:pPr>
              <w:jc w:val="both"/>
              <w:rPr>
                <w:b/>
                <w:szCs w:val="22"/>
              </w:rPr>
            </w:pPr>
            <w:bookmarkStart w:id="5" w:name="OLE_LINK3"/>
            <w:bookmarkStart w:id="6" w:name="OLE_LINK4"/>
          </w:p>
        </w:tc>
        <w:tc>
          <w:tcPr>
            <w:tcW w:w="0" w:type="auto"/>
          </w:tcPr>
          <w:p w:rsidR="00700FED" w:rsidRPr="00DF2261" w:rsidRDefault="00700FED" w:rsidP="00DF2261">
            <w:pPr>
              <w:jc w:val="center"/>
              <w:rPr>
                <w:b/>
                <w:szCs w:val="22"/>
                <w:lang w:val="en-CA"/>
              </w:rPr>
            </w:pPr>
            <w:r w:rsidRPr="00DF2261">
              <w:rPr>
                <w:b/>
                <w:szCs w:val="22"/>
                <w:lang w:val="en-CA"/>
              </w:rPr>
              <w:t>HM8.1</w:t>
            </w:r>
          </w:p>
        </w:tc>
        <w:tc>
          <w:tcPr>
            <w:tcW w:w="0" w:type="auto"/>
            <w:gridSpan w:val="2"/>
          </w:tcPr>
          <w:p w:rsidR="00700FED" w:rsidRPr="00DF2261" w:rsidRDefault="00700FED" w:rsidP="00DF2261">
            <w:pPr>
              <w:jc w:val="center"/>
              <w:rPr>
                <w:b/>
                <w:szCs w:val="22"/>
                <w:lang w:val="en-CA"/>
              </w:rPr>
            </w:pPr>
            <w:proofErr w:type="spellStart"/>
            <w:r w:rsidRPr="00DF2261">
              <w:rPr>
                <w:b/>
                <w:szCs w:val="22"/>
                <w:lang w:val="en-CA"/>
              </w:rPr>
              <w:t>IntraBL</w:t>
            </w:r>
            <w:proofErr w:type="spellEnd"/>
          </w:p>
        </w:tc>
        <w:tc>
          <w:tcPr>
            <w:tcW w:w="0" w:type="auto"/>
            <w:gridSpan w:val="2"/>
          </w:tcPr>
          <w:p w:rsidR="00700FED" w:rsidRPr="00DF2261" w:rsidRDefault="00FF1EAB" w:rsidP="00DF2261">
            <w:pPr>
              <w:jc w:val="center"/>
              <w:rPr>
                <w:b/>
                <w:szCs w:val="22"/>
                <w:lang w:val="en-CA"/>
              </w:rPr>
            </w:pPr>
            <w:r w:rsidRPr="00DF2261">
              <w:rPr>
                <w:b/>
                <w:szCs w:val="22"/>
                <w:lang w:val="en-CA"/>
              </w:rPr>
              <w:t xml:space="preserve">PU-based </w:t>
            </w:r>
            <w:proofErr w:type="spellStart"/>
            <w:r w:rsidR="00700FED" w:rsidRPr="00DF2261">
              <w:rPr>
                <w:b/>
                <w:szCs w:val="22"/>
                <w:lang w:val="en-CA"/>
              </w:rPr>
              <w:t>RefIdx</w:t>
            </w:r>
            <w:proofErr w:type="spellEnd"/>
            <w:r w:rsidR="00700FED" w:rsidRPr="00DF2261">
              <w:rPr>
                <w:b/>
                <w:szCs w:val="22"/>
                <w:lang w:val="en-CA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00FED" w:rsidRPr="00DF2261" w:rsidRDefault="00FF1EAB" w:rsidP="00DF2261">
            <w:pPr>
              <w:jc w:val="center"/>
              <w:rPr>
                <w:b/>
                <w:szCs w:val="22"/>
                <w:lang w:val="en-CA"/>
              </w:rPr>
            </w:pPr>
            <w:proofErr w:type="spellStart"/>
            <w:r w:rsidRPr="00DF2261">
              <w:rPr>
                <w:b/>
                <w:szCs w:val="22"/>
                <w:lang w:val="en-CA"/>
              </w:rPr>
              <w:t>Pic</w:t>
            </w:r>
            <w:proofErr w:type="spellEnd"/>
            <w:r w:rsidRPr="00DF2261">
              <w:rPr>
                <w:b/>
                <w:szCs w:val="22"/>
                <w:lang w:val="en-CA"/>
              </w:rPr>
              <w:t xml:space="preserve">-based </w:t>
            </w:r>
            <w:proofErr w:type="spellStart"/>
            <w:r w:rsidR="00700FED" w:rsidRPr="00DF2261">
              <w:rPr>
                <w:b/>
                <w:szCs w:val="22"/>
                <w:lang w:val="en-CA"/>
              </w:rPr>
              <w:t>RefIdx</w:t>
            </w:r>
            <w:proofErr w:type="spellEnd"/>
            <w:r w:rsidR="00700FED" w:rsidRPr="00DF2261">
              <w:rPr>
                <w:b/>
                <w:szCs w:val="22"/>
                <w:lang w:val="en-CA"/>
              </w:rPr>
              <w:t xml:space="preserve"> </w:t>
            </w:r>
          </w:p>
        </w:tc>
      </w:tr>
      <w:tr w:rsidR="00895D42" w:rsidRPr="00DF2261" w:rsidTr="00DF2261">
        <w:tc>
          <w:tcPr>
            <w:tcW w:w="0" w:type="auto"/>
            <w:vMerge/>
          </w:tcPr>
          <w:p w:rsidR="00700FED" w:rsidRPr="00DF2261" w:rsidRDefault="00700FED" w:rsidP="00DF2261">
            <w:pPr>
              <w:jc w:val="both"/>
              <w:rPr>
                <w:szCs w:val="22"/>
                <w:lang w:val="en-CA"/>
              </w:rPr>
            </w:pPr>
          </w:p>
        </w:tc>
        <w:tc>
          <w:tcPr>
            <w:tcW w:w="0" w:type="auto"/>
          </w:tcPr>
          <w:p w:rsidR="00700FED" w:rsidRPr="00DF2261" w:rsidRDefault="00700FED" w:rsidP="00DF2261">
            <w:pPr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MC @ EL</w:t>
            </w:r>
          </w:p>
        </w:tc>
        <w:tc>
          <w:tcPr>
            <w:tcW w:w="0" w:type="auto"/>
          </w:tcPr>
          <w:p w:rsidR="00700FED" w:rsidRPr="00DF2261" w:rsidRDefault="00250072" w:rsidP="00DF2261">
            <w:pPr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 xml:space="preserve">Inter </w:t>
            </w:r>
            <w:r w:rsidR="00C20D7A" w:rsidRPr="00DF2261">
              <w:rPr>
                <w:szCs w:val="22"/>
                <w:lang w:val="en-CA"/>
              </w:rPr>
              <w:t>layer upsampling</w:t>
            </w:r>
          </w:p>
        </w:tc>
        <w:tc>
          <w:tcPr>
            <w:tcW w:w="0" w:type="auto"/>
          </w:tcPr>
          <w:p w:rsidR="00700FED" w:rsidRPr="00DF2261" w:rsidRDefault="00250072" w:rsidP="00DF2261">
            <w:pPr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% of HM8.1</w:t>
            </w:r>
          </w:p>
        </w:tc>
        <w:tc>
          <w:tcPr>
            <w:tcW w:w="0" w:type="auto"/>
          </w:tcPr>
          <w:p w:rsidR="00700FED" w:rsidRPr="00DF2261" w:rsidRDefault="00C20D7A" w:rsidP="00DF2261">
            <w:pPr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Inter layer upsampling</w:t>
            </w:r>
          </w:p>
        </w:tc>
        <w:tc>
          <w:tcPr>
            <w:tcW w:w="0" w:type="auto"/>
          </w:tcPr>
          <w:p w:rsidR="00700FED" w:rsidRPr="00DF2261" w:rsidRDefault="00250072" w:rsidP="00DF2261">
            <w:pPr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% of HM8.1</w:t>
            </w:r>
          </w:p>
        </w:tc>
        <w:tc>
          <w:tcPr>
            <w:tcW w:w="0" w:type="auto"/>
          </w:tcPr>
          <w:p w:rsidR="00700FED" w:rsidRPr="00DF2261" w:rsidRDefault="00C20D7A" w:rsidP="00DF2261">
            <w:pPr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Inter layer upsampling</w:t>
            </w:r>
          </w:p>
        </w:tc>
        <w:tc>
          <w:tcPr>
            <w:tcW w:w="0" w:type="auto"/>
          </w:tcPr>
          <w:p w:rsidR="00700FED" w:rsidRPr="00DF2261" w:rsidRDefault="00250072" w:rsidP="00DF2261">
            <w:pPr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% of HM8.1</w:t>
            </w:r>
          </w:p>
        </w:tc>
      </w:tr>
      <w:tr w:rsidR="00C20D7A" w:rsidRPr="00DF2261" w:rsidTr="00DF2261">
        <w:tc>
          <w:tcPr>
            <w:tcW w:w="0" w:type="auto"/>
            <w:vAlign w:val="bottom"/>
          </w:tcPr>
          <w:p w:rsidR="00C20D7A" w:rsidRPr="00DF2261" w:rsidRDefault="00C20D7A">
            <w:pPr>
              <w:rPr>
                <w:b/>
                <w:bCs/>
                <w:szCs w:val="22"/>
              </w:rPr>
            </w:pPr>
            <w:proofErr w:type="spellStart"/>
            <w:r w:rsidRPr="00DF2261">
              <w:rPr>
                <w:b/>
                <w:bCs/>
                <w:szCs w:val="22"/>
              </w:rPr>
              <w:t>Mult</w:t>
            </w:r>
            <w:proofErr w:type="spellEnd"/>
            <w:r w:rsidRPr="00DF2261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74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37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50%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37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50%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24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32%</w:t>
            </w:r>
          </w:p>
        </w:tc>
      </w:tr>
      <w:tr w:rsidR="00C20D7A" w:rsidRPr="00DF2261" w:rsidTr="00DF2261">
        <w:tc>
          <w:tcPr>
            <w:tcW w:w="0" w:type="auto"/>
            <w:vAlign w:val="bottom"/>
          </w:tcPr>
          <w:p w:rsidR="00C20D7A" w:rsidRPr="00DF2261" w:rsidRDefault="00C20D7A">
            <w:pPr>
              <w:rPr>
                <w:b/>
                <w:bCs/>
                <w:szCs w:val="22"/>
              </w:rPr>
            </w:pPr>
            <w:r w:rsidRPr="00DF2261">
              <w:rPr>
                <w:b/>
                <w:bCs/>
                <w:szCs w:val="22"/>
              </w:rPr>
              <w:t xml:space="preserve">Adds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63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32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51%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32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51%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21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33%</w:t>
            </w:r>
          </w:p>
        </w:tc>
      </w:tr>
      <w:tr w:rsidR="00C20D7A" w:rsidRPr="00DF2261" w:rsidTr="00DF2261">
        <w:tc>
          <w:tcPr>
            <w:tcW w:w="0" w:type="auto"/>
            <w:vAlign w:val="bottom"/>
          </w:tcPr>
          <w:p w:rsidR="00C20D7A" w:rsidRPr="00DF2261" w:rsidRDefault="00C20D7A">
            <w:pPr>
              <w:rPr>
                <w:b/>
                <w:bCs/>
                <w:szCs w:val="22"/>
              </w:rPr>
            </w:pPr>
            <w:proofErr w:type="spellStart"/>
            <w:r w:rsidRPr="00DF2261">
              <w:rPr>
                <w:b/>
                <w:bCs/>
                <w:szCs w:val="22"/>
              </w:rPr>
              <w:t>MemBand</w:t>
            </w:r>
            <w:proofErr w:type="spellEnd"/>
            <w:r w:rsidRPr="00DF2261">
              <w:rPr>
                <w:b/>
                <w:bCs/>
                <w:szCs w:val="22"/>
              </w:rPr>
              <w:t xml:space="preserve">(2D:4x2)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18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9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50%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12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67%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4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22%</w:t>
            </w:r>
          </w:p>
        </w:tc>
      </w:tr>
      <w:tr w:rsidR="00C20D7A" w:rsidRPr="00DF2261" w:rsidTr="00DF2261">
        <w:tc>
          <w:tcPr>
            <w:tcW w:w="0" w:type="auto"/>
            <w:vAlign w:val="bottom"/>
          </w:tcPr>
          <w:p w:rsidR="00C20D7A" w:rsidRPr="00DF2261" w:rsidRDefault="00C20D7A">
            <w:pPr>
              <w:rPr>
                <w:b/>
                <w:bCs/>
                <w:szCs w:val="22"/>
              </w:rPr>
            </w:pPr>
            <w:proofErr w:type="spellStart"/>
            <w:r w:rsidRPr="00DF2261">
              <w:rPr>
                <w:b/>
                <w:bCs/>
                <w:szCs w:val="22"/>
              </w:rPr>
              <w:t>MemBand</w:t>
            </w:r>
            <w:proofErr w:type="spellEnd"/>
            <w:r w:rsidRPr="00DF2261">
              <w:rPr>
                <w:b/>
                <w:bCs/>
                <w:szCs w:val="22"/>
              </w:rPr>
              <w:t>(2D:8x2)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27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14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52%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18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67%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 xml:space="preserve">5 </w:t>
            </w:r>
          </w:p>
        </w:tc>
        <w:tc>
          <w:tcPr>
            <w:tcW w:w="0" w:type="auto"/>
            <w:vAlign w:val="bottom"/>
          </w:tcPr>
          <w:p w:rsidR="00C20D7A" w:rsidRPr="00DF2261" w:rsidRDefault="00C20D7A" w:rsidP="00DF2261">
            <w:pPr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19%</w:t>
            </w:r>
          </w:p>
        </w:tc>
      </w:tr>
    </w:tbl>
    <w:bookmarkEnd w:id="5"/>
    <w:bookmarkEnd w:id="6"/>
    <w:p w:rsidR="00F77D55" w:rsidRDefault="00F77D55" w:rsidP="00F77D55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236DFA" w:rsidRDefault="00236DFA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</w:t>
      </w:r>
      <w:proofErr w:type="spellStart"/>
      <w:r>
        <w:rPr>
          <w:szCs w:val="22"/>
          <w:lang w:val="en-CA"/>
        </w:rPr>
        <w:t>IntraBL</w:t>
      </w:r>
      <w:proofErr w:type="spellEnd"/>
      <w:r>
        <w:rPr>
          <w:szCs w:val="22"/>
          <w:lang w:val="en-CA"/>
        </w:rPr>
        <w:t xml:space="preserve"> </w:t>
      </w:r>
      <w:r w:rsidR="00FF1EAB">
        <w:rPr>
          <w:szCs w:val="22"/>
          <w:lang w:val="en-CA"/>
        </w:rPr>
        <w:t>solution</w:t>
      </w:r>
      <w:r>
        <w:rPr>
          <w:szCs w:val="22"/>
          <w:lang w:val="en-CA"/>
        </w:rPr>
        <w:t xml:space="preserve"> in SHM1.0 enables a b</w:t>
      </w:r>
      <w:r w:rsidR="00E815C7">
        <w:rPr>
          <w:szCs w:val="22"/>
          <w:lang w:val="en-CA"/>
        </w:rPr>
        <w:t>lock based implemen</w:t>
      </w:r>
      <w:r>
        <w:rPr>
          <w:szCs w:val="22"/>
          <w:lang w:val="en-CA"/>
        </w:rPr>
        <w:t>tation, whereas t</w:t>
      </w:r>
      <w:r w:rsidR="00EE77D6">
        <w:rPr>
          <w:szCs w:val="22"/>
          <w:lang w:val="en-CA"/>
        </w:rPr>
        <w:t xml:space="preserve">he </w:t>
      </w:r>
      <w:proofErr w:type="spellStart"/>
      <w:r w:rsidR="00EE77D6">
        <w:rPr>
          <w:szCs w:val="22"/>
          <w:lang w:val="en-CA"/>
        </w:rPr>
        <w:t>RefIdx</w:t>
      </w:r>
      <w:proofErr w:type="spellEnd"/>
      <w:r w:rsidR="00EE77D6">
        <w:rPr>
          <w:szCs w:val="22"/>
          <w:lang w:val="en-CA"/>
        </w:rPr>
        <w:t xml:space="preserve"> </w:t>
      </w:r>
      <w:r w:rsidR="00FF1EAB">
        <w:rPr>
          <w:szCs w:val="22"/>
          <w:lang w:val="en-CA"/>
        </w:rPr>
        <w:t>solution</w:t>
      </w:r>
      <w:r w:rsidR="00E815C7">
        <w:rPr>
          <w:szCs w:val="22"/>
          <w:lang w:val="en-CA"/>
        </w:rPr>
        <w:t xml:space="preserve"> in SHM1.0 can be implemented either as block-based, or as picture-based. Th</w:t>
      </w:r>
      <w:r>
        <w:rPr>
          <w:szCs w:val="22"/>
          <w:lang w:val="en-CA"/>
        </w:rPr>
        <w:t>is contribution analyzes th</w:t>
      </w:r>
      <w:r w:rsidR="00E815C7">
        <w:rPr>
          <w:szCs w:val="22"/>
          <w:lang w:val="en-CA"/>
        </w:rPr>
        <w:t xml:space="preserve">e </w:t>
      </w:r>
      <w:r>
        <w:rPr>
          <w:szCs w:val="22"/>
          <w:lang w:val="en-CA"/>
        </w:rPr>
        <w:lastRenderedPageBreak/>
        <w:t xml:space="preserve">complexity assessment anchor data provided by </w:t>
      </w:r>
      <w:r w:rsidR="00E815C7">
        <w:rPr>
          <w:szCs w:val="22"/>
          <w:lang w:val="en-CA"/>
        </w:rPr>
        <w:t>AHG17</w:t>
      </w:r>
      <w:r w:rsidR="00FF1EAB">
        <w:rPr>
          <w:szCs w:val="22"/>
          <w:lang w:val="en-CA"/>
        </w:rPr>
        <w:t xml:space="preserve"> in JCTVC-L0440. T</w:t>
      </w:r>
      <w:r w:rsidR="00315EEA">
        <w:rPr>
          <w:szCs w:val="22"/>
          <w:lang w:val="en-CA"/>
        </w:rPr>
        <w:t xml:space="preserve">he following conclusions can be drawn from our analysis: </w:t>
      </w:r>
    </w:p>
    <w:p w:rsidR="00236DFA" w:rsidRDefault="00236DFA" w:rsidP="00236DFA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</w:t>
      </w:r>
      <w:r w:rsidR="00264897">
        <w:rPr>
          <w:szCs w:val="22"/>
          <w:lang w:val="en-CA"/>
        </w:rPr>
        <w:t xml:space="preserve">block based implementations, based on either the </w:t>
      </w:r>
      <w:proofErr w:type="spellStart"/>
      <w:r w:rsidR="00264897">
        <w:rPr>
          <w:szCs w:val="22"/>
          <w:lang w:val="en-CA"/>
        </w:rPr>
        <w:t>R</w:t>
      </w:r>
      <w:r>
        <w:rPr>
          <w:szCs w:val="22"/>
          <w:lang w:val="en-CA"/>
        </w:rPr>
        <w:t>efIdx</w:t>
      </w:r>
      <w:proofErr w:type="spellEnd"/>
      <w:r>
        <w:rPr>
          <w:szCs w:val="22"/>
          <w:lang w:val="en-CA"/>
        </w:rPr>
        <w:t xml:space="preserve"> </w:t>
      </w:r>
      <w:r w:rsidR="00264897">
        <w:rPr>
          <w:szCs w:val="22"/>
          <w:lang w:val="en-CA"/>
        </w:rPr>
        <w:t>framework or the</w:t>
      </w:r>
      <w:r>
        <w:rPr>
          <w:szCs w:val="22"/>
          <w:lang w:val="en-CA"/>
        </w:rPr>
        <w:t xml:space="preserve"> </w:t>
      </w:r>
      <w:proofErr w:type="spellStart"/>
      <w:r>
        <w:rPr>
          <w:szCs w:val="22"/>
          <w:lang w:val="en-CA"/>
        </w:rPr>
        <w:t>IntraBL</w:t>
      </w:r>
      <w:proofErr w:type="spellEnd"/>
      <w:r>
        <w:rPr>
          <w:szCs w:val="22"/>
          <w:lang w:val="en-CA"/>
        </w:rPr>
        <w:t xml:space="preserve"> </w:t>
      </w:r>
      <w:r w:rsidR="00264897">
        <w:rPr>
          <w:szCs w:val="22"/>
          <w:lang w:val="en-CA"/>
        </w:rPr>
        <w:t>framework,</w:t>
      </w:r>
      <w:r>
        <w:rPr>
          <w:szCs w:val="22"/>
          <w:lang w:val="en-CA"/>
        </w:rPr>
        <w:t xml:space="preserve"> </w:t>
      </w:r>
      <w:r w:rsidR="00FD1394">
        <w:rPr>
          <w:szCs w:val="22"/>
          <w:lang w:val="en-CA"/>
        </w:rPr>
        <w:t>have similar</w:t>
      </w:r>
      <w:r w:rsidR="00264897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complexity </w:t>
      </w:r>
      <w:r w:rsidR="00FD1394">
        <w:rPr>
          <w:szCs w:val="22"/>
          <w:lang w:val="en-CA"/>
        </w:rPr>
        <w:t xml:space="preserve">in </w:t>
      </w:r>
      <w:r>
        <w:rPr>
          <w:szCs w:val="22"/>
          <w:lang w:val="en-CA"/>
        </w:rPr>
        <w:t xml:space="preserve">both </w:t>
      </w:r>
      <w:r w:rsidR="00FD1394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 xml:space="preserve">average case and </w:t>
      </w:r>
      <w:r w:rsidR="00FD1394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>worst case;</w:t>
      </w:r>
    </w:p>
    <w:p w:rsidR="00FD1394" w:rsidRDefault="00FD1394" w:rsidP="00236DFA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Compared to block based implementations, picture-based </w:t>
      </w:r>
      <w:proofErr w:type="spellStart"/>
      <w:r>
        <w:rPr>
          <w:szCs w:val="22"/>
          <w:lang w:val="en-CA"/>
        </w:rPr>
        <w:t>RefIdx</w:t>
      </w:r>
      <w:proofErr w:type="spellEnd"/>
      <w:r>
        <w:rPr>
          <w:szCs w:val="22"/>
          <w:lang w:val="en-CA"/>
        </w:rPr>
        <w:t xml:space="preserve"> implementation </w:t>
      </w:r>
      <w:r w:rsidR="00236DFA">
        <w:rPr>
          <w:szCs w:val="22"/>
          <w:lang w:val="en-CA"/>
        </w:rPr>
        <w:t xml:space="preserve">has </w:t>
      </w:r>
      <w:r w:rsidR="00AE4993">
        <w:rPr>
          <w:szCs w:val="22"/>
          <w:lang w:val="en-CA"/>
        </w:rPr>
        <w:t xml:space="preserve">very </w:t>
      </w:r>
      <w:r w:rsidR="00236DFA">
        <w:rPr>
          <w:szCs w:val="22"/>
          <w:lang w:val="en-CA"/>
        </w:rPr>
        <w:t>different complexity characteri</w:t>
      </w:r>
      <w:r>
        <w:rPr>
          <w:szCs w:val="22"/>
          <w:lang w:val="en-CA"/>
        </w:rPr>
        <w:t xml:space="preserve">stics: for average case complexity, picture-based </w:t>
      </w:r>
      <w:proofErr w:type="spellStart"/>
      <w:r>
        <w:rPr>
          <w:szCs w:val="22"/>
          <w:lang w:val="en-CA"/>
        </w:rPr>
        <w:t>RefIdx</w:t>
      </w:r>
      <w:proofErr w:type="spellEnd"/>
      <w:r>
        <w:rPr>
          <w:szCs w:val="22"/>
          <w:lang w:val="en-CA"/>
        </w:rPr>
        <w:t xml:space="preserve"> has lower complexity for AI tests, but has higher complexity for </w:t>
      </w:r>
      <w:r w:rsidR="00705A6E">
        <w:rPr>
          <w:szCs w:val="22"/>
          <w:lang w:val="en-CA"/>
        </w:rPr>
        <w:t>RA/LDP/LDB</w:t>
      </w:r>
      <w:r>
        <w:rPr>
          <w:szCs w:val="22"/>
          <w:lang w:val="en-CA"/>
        </w:rPr>
        <w:t xml:space="preserve"> tests; </w:t>
      </w:r>
      <w:r w:rsidR="00A11898">
        <w:rPr>
          <w:szCs w:val="22"/>
          <w:lang w:val="en-CA"/>
        </w:rPr>
        <w:t xml:space="preserve">for worst case complexity, </w:t>
      </w:r>
      <w:r>
        <w:rPr>
          <w:szCs w:val="22"/>
          <w:lang w:val="en-CA"/>
        </w:rPr>
        <w:t xml:space="preserve">picture-based </w:t>
      </w:r>
      <w:proofErr w:type="spellStart"/>
      <w:r>
        <w:rPr>
          <w:szCs w:val="22"/>
          <w:lang w:val="en-CA"/>
        </w:rPr>
        <w:t>RefIdx</w:t>
      </w:r>
      <w:proofErr w:type="spellEnd"/>
      <w:r>
        <w:rPr>
          <w:szCs w:val="22"/>
          <w:lang w:val="en-CA"/>
        </w:rPr>
        <w:t xml:space="preserve"> </w:t>
      </w:r>
      <w:r w:rsidR="00C14785">
        <w:rPr>
          <w:szCs w:val="22"/>
          <w:lang w:val="en-CA"/>
        </w:rPr>
        <w:t>has lower complexity</w:t>
      </w:r>
      <w:r>
        <w:rPr>
          <w:szCs w:val="22"/>
          <w:lang w:val="en-CA"/>
        </w:rPr>
        <w:t xml:space="preserve">. </w:t>
      </w:r>
    </w:p>
    <w:p w:rsidR="007F1F8B" w:rsidRPr="00FD1394" w:rsidRDefault="00741EFF" w:rsidP="00FD1394">
      <w:pPr>
        <w:jc w:val="both"/>
        <w:rPr>
          <w:szCs w:val="22"/>
          <w:lang w:val="en-CA"/>
        </w:rPr>
      </w:pPr>
      <w:r w:rsidRPr="00FD1394">
        <w:rPr>
          <w:szCs w:val="22"/>
          <w:lang w:val="en-CA"/>
        </w:rPr>
        <w:fldChar w:fldCharType="begin"/>
      </w:r>
      <w:r w:rsidR="00E815C7" w:rsidRPr="00FD1394">
        <w:rPr>
          <w:szCs w:val="22"/>
          <w:lang w:val="en-CA"/>
        </w:rPr>
        <w:instrText xml:space="preserve"> REF _Ref352055280 \h </w:instrText>
      </w:r>
      <w:r w:rsidRPr="00FD1394">
        <w:rPr>
          <w:szCs w:val="22"/>
          <w:lang w:val="en-CA"/>
        </w:rPr>
      </w:r>
      <w:r w:rsidRPr="00FD1394">
        <w:rPr>
          <w:szCs w:val="22"/>
          <w:lang w:val="en-CA"/>
        </w:rPr>
        <w:fldChar w:fldCharType="separate"/>
      </w:r>
      <w:r w:rsidR="000B7878">
        <w:t xml:space="preserve">Table </w:t>
      </w:r>
      <w:r w:rsidR="000B7878">
        <w:rPr>
          <w:noProof/>
        </w:rPr>
        <w:t>3</w:t>
      </w:r>
      <w:r w:rsidR="000B7878">
        <w:noBreakHyphen/>
      </w:r>
      <w:r w:rsidR="000B7878">
        <w:rPr>
          <w:noProof/>
        </w:rPr>
        <w:t>1</w:t>
      </w:r>
      <w:r w:rsidRPr="00FD1394">
        <w:rPr>
          <w:szCs w:val="22"/>
          <w:lang w:val="en-CA"/>
        </w:rPr>
        <w:fldChar w:fldCharType="end"/>
      </w:r>
      <w:r w:rsidR="00E815C7" w:rsidRPr="00FD1394">
        <w:rPr>
          <w:szCs w:val="22"/>
          <w:lang w:val="en-CA"/>
        </w:rPr>
        <w:t xml:space="preserve"> summarizes </w:t>
      </w:r>
      <w:r w:rsidR="00A11898">
        <w:rPr>
          <w:szCs w:val="22"/>
          <w:lang w:val="en-CA"/>
        </w:rPr>
        <w:t>our</w:t>
      </w:r>
      <w:r w:rsidR="00A11898" w:rsidRPr="00FD1394">
        <w:rPr>
          <w:szCs w:val="22"/>
          <w:lang w:val="en-CA"/>
        </w:rPr>
        <w:t xml:space="preserve"> </w:t>
      </w:r>
      <w:r w:rsidR="00E815C7" w:rsidRPr="00FD1394">
        <w:rPr>
          <w:szCs w:val="22"/>
          <w:lang w:val="en-CA"/>
        </w:rPr>
        <w:t xml:space="preserve">analysis by </w:t>
      </w:r>
      <w:r w:rsidR="00A11898">
        <w:rPr>
          <w:szCs w:val="22"/>
          <w:lang w:val="en-CA"/>
        </w:rPr>
        <w:t xml:space="preserve">identifying </w:t>
      </w:r>
      <w:r w:rsidR="00E815C7" w:rsidRPr="00FD1394">
        <w:rPr>
          <w:szCs w:val="22"/>
          <w:lang w:val="en-CA"/>
        </w:rPr>
        <w:t xml:space="preserve">the </w:t>
      </w:r>
      <w:r w:rsidR="00C14785">
        <w:rPr>
          <w:szCs w:val="22"/>
          <w:lang w:val="en-CA"/>
        </w:rPr>
        <w:t xml:space="preserve">implementation that </w:t>
      </w:r>
      <w:r w:rsidR="00705A6E">
        <w:rPr>
          <w:szCs w:val="22"/>
          <w:lang w:val="en-CA"/>
        </w:rPr>
        <w:t>has</w:t>
      </w:r>
      <w:r w:rsidR="00C14785">
        <w:rPr>
          <w:szCs w:val="22"/>
          <w:lang w:val="en-CA"/>
        </w:rPr>
        <w:t xml:space="preserve"> lower complexity</w:t>
      </w:r>
      <w:r w:rsidR="00AE4993">
        <w:rPr>
          <w:szCs w:val="22"/>
          <w:lang w:val="en-CA"/>
        </w:rPr>
        <w:t xml:space="preserve"> for a given</w:t>
      </w:r>
      <w:r w:rsidR="00C14785">
        <w:rPr>
          <w:szCs w:val="22"/>
          <w:lang w:val="en-CA"/>
        </w:rPr>
        <w:t xml:space="preserve"> </w:t>
      </w:r>
      <w:r w:rsidR="00AE4993">
        <w:rPr>
          <w:szCs w:val="22"/>
          <w:lang w:val="en-CA"/>
        </w:rPr>
        <w:t>case</w:t>
      </w:r>
      <w:r w:rsidR="00705A6E" w:rsidRPr="00705A6E">
        <w:rPr>
          <w:szCs w:val="22"/>
          <w:lang w:val="en-CA"/>
        </w:rPr>
        <w:t xml:space="preserve"> </w:t>
      </w:r>
      <w:r w:rsidR="00705A6E">
        <w:rPr>
          <w:szCs w:val="22"/>
          <w:lang w:val="en-CA"/>
        </w:rPr>
        <w:t>with an “X” in the corresponding cell</w:t>
      </w:r>
      <w:r w:rsidR="00C14785">
        <w:rPr>
          <w:szCs w:val="22"/>
          <w:lang w:val="en-CA"/>
        </w:rPr>
        <w:t xml:space="preserve">. </w:t>
      </w:r>
      <w:r w:rsidR="00A11898">
        <w:rPr>
          <w:szCs w:val="22"/>
          <w:lang w:val="en-CA"/>
        </w:rPr>
        <w:t xml:space="preserve">It can be seen that the </w:t>
      </w:r>
      <w:proofErr w:type="spellStart"/>
      <w:r w:rsidR="00A11898">
        <w:rPr>
          <w:szCs w:val="22"/>
          <w:lang w:val="en-CA"/>
        </w:rPr>
        <w:t>RefIdx</w:t>
      </w:r>
      <w:proofErr w:type="spellEnd"/>
      <w:r w:rsidR="00A11898">
        <w:rPr>
          <w:szCs w:val="22"/>
          <w:lang w:val="en-CA"/>
        </w:rPr>
        <w:t xml:space="preserve"> solution </w:t>
      </w:r>
      <w:r w:rsidR="00705A6E">
        <w:rPr>
          <w:szCs w:val="22"/>
          <w:lang w:val="en-CA"/>
        </w:rPr>
        <w:t xml:space="preserve">in SHM1.0 </w:t>
      </w:r>
      <w:r w:rsidR="009233CD">
        <w:rPr>
          <w:szCs w:val="22"/>
          <w:lang w:val="en-CA"/>
        </w:rPr>
        <w:t>provides</w:t>
      </w:r>
      <w:r w:rsidR="001E69D1">
        <w:rPr>
          <w:szCs w:val="22"/>
          <w:lang w:val="en-CA"/>
        </w:rPr>
        <w:t xml:space="preserve"> the design flexibility </w:t>
      </w:r>
      <w:r w:rsidR="00705A6E">
        <w:rPr>
          <w:szCs w:val="22"/>
          <w:lang w:val="en-CA"/>
        </w:rPr>
        <w:t xml:space="preserve">such </w:t>
      </w:r>
      <w:r w:rsidR="001E69D1">
        <w:rPr>
          <w:szCs w:val="22"/>
          <w:lang w:val="en-CA"/>
        </w:rPr>
        <w:t xml:space="preserve">that lower </w:t>
      </w:r>
      <w:r w:rsidR="00A11898">
        <w:rPr>
          <w:szCs w:val="22"/>
          <w:lang w:val="en-CA"/>
        </w:rPr>
        <w:t>complexity</w:t>
      </w:r>
      <w:r w:rsidR="009233CD">
        <w:rPr>
          <w:szCs w:val="22"/>
          <w:lang w:val="en-CA"/>
        </w:rPr>
        <w:t xml:space="preserve"> can </w:t>
      </w:r>
      <w:r w:rsidR="00AB436C">
        <w:rPr>
          <w:szCs w:val="22"/>
          <w:lang w:val="en-CA"/>
        </w:rPr>
        <w:t xml:space="preserve">always </w:t>
      </w:r>
      <w:r w:rsidR="009233CD">
        <w:rPr>
          <w:szCs w:val="22"/>
          <w:lang w:val="en-CA"/>
        </w:rPr>
        <w:t>be achieved</w:t>
      </w:r>
      <w:r w:rsidR="00A11898">
        <w:rPr>
          <w:szCs w:val="22"/>
          <w:lang w:val="en-CA"/>
        </w:rPr>
        <w:t xml:space="preserve"> </w:t>
      </w:r>
      <w:r w:rsidR="009233CD">
        <w:rPr>
          <w:szCs w:val="22"/>
          <w:lang w:val="en-CA"/>
        </w:rPr>
        <w:t xml:space="preserve">depending on the application’s need. </w:t>
      </w:r>
      <w:r w:rsidR="00DB69E8" w:rsidRPr="00FD1394">
        <w:rPr>
          <w:szCs w:val="22"/>
          <w:lang w:val="en-CA"/>
        </w:rPr>
        <w:t xml:space="preserve"> </w:t>
      </w:r>
    </w:p>
    <w:p w:rsidR="00EE77D6" w:rsidRDefault="00EE77D6" w:rsidP="00EE77D6">
      <w:pPr>
        <w:pStyle w:val="Caption"/>
        <w:jc w:val="center"/>
      </w:pPr>
      <w:bookmarkStart w:id="7" w:name="_Ref352055280"/>
      <w:proofErr w:type="gramStart"/>
      <w:r>
        <w:t xml:space="preserve">Table </w:t>
      </w:r>
      <w:r w:rsidR="00741EFF">
        <w:fldChar w:fldCharType="begin"/>
      </w:r>
      <w:r w:rsidR="00741EFF">
        <w:instrText xml:space="preserve"> STYLEREF 1 \s </w:instrText>
      </w:r>
      <w:r w:rsidR="00741EFF">
        <w:fldChar w:fldCharType="separate"/>
      </w:r>
      <w:r w:rsidR="000B7878">
        <w:rPr>
          <w:noProof/>
        </w:rPr>
        <w:t>3</w:t>
      </w:r>
      <w:r w:rsidR="00741EFF">
        <w:fldChar w:fldCharType="end"/>
      </w:r>
      <w:r>
        <w:noBreakHyphen/>
      </w:r>
      <w:r w:rsidR="00741EFF">
        <w:fldChar w:fldCharType="begin"/>
      </w:r>
      <w:r w:rsidR="00741EFF">
        <w:instrText xml:space="preserve"> SEQ Table \* ARABIC \s 1 </w:instrText>
      </w:r>
      <w:r w:rsidR="00741EFF">
        <w:fldChar w:fldCharType="separate"/>
      </w:r>
      <w:r w:rsidR="000B7878">
        <w:rPr>
          <w:noProof/>
        </w:rPr>
        <w:t>1</w:t>
      </w:r>
      <w:r w:rsidR="00741EFF">
        <w:fldChar w:fldCharType="end"/>
      </w:r>
      <w:bookmarkEnd w:id="7"/>
      <w:r>
        <w:t>.</w:t>
      </w:r>
      <w:proofErr w:type="gramEnd"/>
      <w:r>
        <w:t xml:space="preserve"> </w:t>
      </w:r>
      <w:r w:rsidR="00572ACC">
        <w:t xml:space="preserve">Implementation category </w:t>
      </w:r>
      <w:r w:rsidR="00A11898">
        <w:t>with</w:t>
      </w:r>
      <w:r w:rsidR="00572ACC">
        <w:t xml:space="preserve"> lower complexity</w:t>
      </w:r>
    </w:p>
    <w:tbl>
      <w:tblPr>
        <w:tblW w:w="0" w:type="auto"/>
        <w:jc w:val="center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/>
      </w:tblPr>
      <w:tblGrid>
        <w:gridCol w:w="2070"/>
        <w:gridCol w:w="1666"/>
        <w:gridCol w:w="990"/>
        <w:gridCol w:w="1710"/>
        <w:gridCol w:w="1890"/>
      </w:tblGrid>
      <w:tr w:rsidR="00A11898" w:rsidRPr="00DF2261" w:rsidTr="00380D0D">
        <w:trPr>
          <w:trHeight w:val="576"/>
          <w:jc w:val="center"/>
        </w:trPr>
        <w:tc>
          <w:tcPr>
            <w:tcW w:w="3736" w:type="dxa"/>
            <w:gridSpan w:val="2"/>
            <w:vMerge w:val="restart"/>
            <w:vAlign w:val="center"/>
          </w:tcPr>
          <w:p w:rsidR="00000000" w:rsidRDefault="007C314C">
            <w:pPr>
              <w:spacing w:before="0"/>
              <w:jc w:val="center"/>
              <w:rPr>
                <w:b/>
                <w:szCs w:val="22"/>
                <w:lang w:val="en-CA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000000" w:rsidRDefault="00A11898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DF2261">
              <w:rPr>
                <w:b/>
                <w:szCs w:val="22"/>
                <w:lang w:val="en-CA"/>
              </w:rPr>
              <w:t>Average case complexity</w:t>
            </w:r>
          </w:p>
        </w:tc>
        <w:tc>
          <w:tcPr>
            <w:tcW w:w="1890" w:type="dxa"/>
            <w:vMerge w:val="restart"/>
            <w:vAlign w:val="center"/>
          </w:tcPr>
          <w:p w:rsidR="00000000" w:rsidRDefault="00A11898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DF2261">
              <w:rPr>
                <w:b/>
                <w:szCs w:val="22"/>
                <w:lang w:val="en-CA"/>
              </w:rPr>
              <w:t>Worst case complexity</w:t>
            </w:r>
          </w:p>
        </w:tc>
      </w:tr>
      <w:tr w:rsidR="00A11898" w:rsidRPr="00DF2261" w:rsidTr="00380D0D">
        <w:trPr>
          <w:trHeight w:val="576"/>
          <w:jc w:val="center"/>
        </w:trPr>
        <w:tc>
          <w:tcPr>
            <w:tcW w:w="3736" w:type="dxa"/>
            <w:gridSpan w:val="2"/>
            <w:vMerge/>
            <w:vAlign w:val="center"/>
          </w:tcPr>
          <w:p w:rsidR="00000000" w:rsidRDefault="007C314C">
            <w:pPr>
              <w:spacing w:before="0"/>
              <w:jc w:val="center"/>
              <w:rPr>
                <w:szCs w:val="22"/>
                <w:lang w:val="en-CA"/>
              </w:rPr>
            </w:pPr>
          </w:p>
        </w:tc>
        <w:tc>
          <w:tcPr>
            <w:tcW w:w="990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AI</w:t>
            </w:r>
          </w:p>
        </w:tc>
        <w:tc>
          <w:tcPr>
            <w:tcW w:w="1710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  <w:lang w:val="en-CA"/>
              </w:rPr>
            </w:pPr>
            <w:r w:rsidRPr="00DF2261">
              <w:rPr>
                <w:szCs w:val="22"/>
                <w:lang w:val="en-CA"/>
              </w:rPr>
              <w:t>RA/LDP/LDB</w:t>
            </w:r>
          </w:p>
        </w:tc>
        <w:tc>
          <w:tcPr>
            <w:tcW w:w="1890" w:type="dxa"/>
            <w:vMerge/>
            <w:vAlign w:val="center"/>
          </w:tcPr>
          <w:p w:rsidR="00000000" w:rsidRDefault="007C314C">
            <w:pPr>
              <w:spacing w:before="0"/>
              <w:jc w:val="center"/>
              <w:rPr>
                <w:szCs w:val="22"/>
                <w:lang w:val="en-CA"/>
              </w:rPr>
            </w:pPr>
          </w:p>
        </w:tc>
      </w:tr>
      <w:tr w:rsidR="00A11898" w:rsidRPr="00DF2261" w:rsidTr="00380D0D">
        <w:trPr>
          <w:trHeight w:hRule="exact" w:val="576"/>
          <w:jc w:val="center"/>
        </w:trPr>
        <w:tc>
          <w:tcPr>
            <w:tcW w:w="3736" w:type="dxa"/>
            <w:gridSpan w:val="2"/>
            <w:vAlign w:val="center"/>
          </w:tcPr>
          <w:p w:rsidR="00000000" w:rsidRDefault="004C7983">
            <w:pPr>
              <w:spacing w:before="0"/>
              <w:ind w:left="612"/>
              <w:rPr>
                <w:szCs w:val="22"/>
              </w:rPr>
            </w:pPr>
            <w:proofErr w:type="spellStart"/>
            <w:r w:rsidRPr="004C7983">
              <w:rPr>
                <w:b/>
                <w:bCs/>
                <w:szCs w:val="22"/>
              </w:rPr>
              <w:t>IntraBL</w:t>
            </w:r>
            <w:proofErr w:type="spellEnd"/>
          </w:p>
        </w:tc>
        <w:tc>
          <w:tcPr>
            <w:tcW w:w="990" w:type="dxa"/>
            <w:vAlign w:val="center"/>
          </w:tcPr>
          <w:p w:rsidR="00000000" w:rsidRDefault="007C314C">
            <w:pPr>
              <w:spacing w:before="0"/>
              <w:jc w:val="center"/>
              <w:rPr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X</w:t>
            </w:r>
          </w:p>
        </w:tc>
        <w:tc>
          <w:tcPr>
            <w:tcW w:w="1890" w:type="dxa"/>
            <w:vAlign w:val="center"/>
          </w:tcPr>
          <w:p w:rsidR="00000000" w:rsidRDefault="007C314C">
            <w:pPr>
              <w:spacing w:before="0"/>
              <w:jc w:val="center"/>
              <w:rPr>
                <w:szCs w:val="22"/>
              </w:rPr>
            </w:pPr>
          </w:p>
        </w:tc>
      </w:tr>
      <w:tr w:rsidR="00A11898" w:rsidRPr="00DF2261" w:rsidTr="00380D0D">
        <w:trPr>
          <w:trHeight w:hRule="exact" w:val="576"/>
          <w:jc w:val="center"/>
        </w:trPr>
        <w:tc>
          <w:tcPr>
            <w:tcW w:w="2070" w:type="dxa"/>
            <w:vMerge w:val="restart"/>
            <w:vAlign w:val="center"/>
          </w:tcPr>
          <w:p w:rsidR="00000000" w:rsidRDefault="00A11898">
            <w:pPr>
              <w:spacing w:before="0"/>
              <w:jc w:val="center"/>
              <w:rPr>
                <w:b/>
                <w:bCs/>
                <w:szCs w:val="22"/>
              </w:rPr>
            </w:pPr>
            <w:proofErr w:type="spellStart"/>
            <w:r>
              <w:rPr>
                <w:b/>
                <w:bCs/>
                <w:szCs w:val="22"/>
              </w:rPr>
              <w:t>RefIdx</w:t>
            </w:r>
            <w:proofErr w:type="spellEnd"/>
          </w:p>
        </w:tc>
        <w:tc>
          <w:tcPr>
            <w:tcW w:w="1666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PU-based</w:t>
            </w:r>
          </w:p>
        </w:tc>
        <w:tc>
          <w:tcPr>
            <w:tcW w:w="990" w:type="dxa"/>
            <w:vAlign w:val="center"/>
          </w:tcPr>
          <w:p w:rsidR="00000000" w:rsidRDefault="007C314C">
            <w:pPr>
              <w:spacing w:before="0"/>
              <w:jc w:val="center"/>
              <w:rPr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X</w:t>
            </w:r>
          </w:p>
        </w:tc>
        <w:tc>
          <w:tcPr>
            <w:tcW w:w="1890" w:type="dxa"/>
            <w:vAlign w:val="center"/>
          </w:tcPr>
          <w:p w:rsidR="00000000" w:rsidRDefault="007C314C">
            <w:pPr>
              <w:spacing w:before="0"/>
              <w:jc w:val="center"/>
              <w:rPr>
                <w:szCs w:val="22"/>
              </w:rPr>
            </w:pPr>
          </w:p>
        </w:tc>
      </w:tr>
      <w:tr w:rsidR="00A11898" w:rsidRPr="00DF2261" w:rsidTr="00380D0D">
        <w:trPr>
          <w:trHeight w:hRule="exact" w:val="576"/>
          <w:jc w:val="center"/>
        </w:trPr>
        <w:tc>
          <w:tcPr>
            <w:tcW w:w="2070" w:type="dxa"/>
            <w:vMerge/>
            <w:vAlign w:val="center"/>
          </w:tcPr>
          <w:p w:rsidR="00000000" w:rsidRDefault="007C314C">
            <w:pPr>
              <w:spacing w:before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666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Picture-based</w:t>
            </w:r>
          </w:p>
        </w:tc>
        <w:tc>
          <w:tcPr>
            <w:tcW w:w="990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X</w:t>
            </w:r>
          </w:p>
        </w:tc>
        <w:tc>
          <w:tcPr>
            <w:tcW w:w="1710" w:type="dxa"/>
            <w:vAlign w:val="center"/>
          </w:tcPr>
          <w:p w:rsidR="00000000" w:rsidRDefault="007C314C">
            <w:pPr>
              <w:spacing w:before="0"/>
              <w:jc w:val="center"/>
              <w:rPr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000000" w:rsidRDefault="00A11898">
            <w:pPr>
              <w:spacing w:before="0"/>
              <w:jc w:val="center"/>
              <w:rPr>
                <w:szCs w:val="22"/>
              </w:rPr>
            </w:pPr>
            <w:r w:rsidRPr="00DF2261">
              <w:rPr>
                <w:szCs w:val="22"/>
              </w:rPr>
              <w:t>X</w:t>
            </w:r>
          </w:p>
        </w:tc>
      </w:tr>
    </w:tbl>
    <w:p w:rsidR="00C76595" w:rsidRPr="00855F5E" w:rsidRDefault="00C76595" w:rsidP="00C76595">
      <w:pPr>
        <w:pStyle w:val="Heading1"/>
        <w:numPr>
          <w:ilvl w:val="0"/>
          <w:numId w:val="0"/>
        </w:numPr>
        <w:jc w:val="both"/>
      </w:pPr>
      <w:bookmarkStart w:id="8" w:name="_Toc258950902"/>
      <w:bookmarkStart w:id="9" w:name="_Toc336854407"/>
      <w:r w:rsidRPr="00855F5E">
        <w:rPr>
          <w:rFonts w:hint="eastAsia"/>
        </w:rPr>
        <w:t>References</w:t>
      </w:r>
      <w:bookmarkEnd w:id="8"/>
      <w:bookmarkEnd w:id="9"/>
    </w:p>
    <w:p w:rsidR="00C76595" w:rsidRPr="00C76595" w:rsidRDefault="00C76595" w:rsidP="00C76595">
      <w:pPr>
        <w:pStyle w:val="References"/>
        <w:spacing w:after="120"/>
        <w:jc w:val="both"/>
        <w:rPr>
          <w:rFonts w:eastAsia="宋体"/>
          <w:sz w:val="22"/>
          <w:szCs w:val="22"/>
          <w:lang w:eastAsia="ko-KR"/>
        </w:rPr>
      </w:pPr>
      <w:bookmarkStart w:id="10" w:name="_Ref327540478"/>
      <w:bookmarkStart w:id="11" w:name="_Ref352096718"/>
      <w:r w:rsidRPr="00C76595">
        <w:rPr>
          <w:bCs/>
          <w:sz w:val="22"/>
          <w:szCs w:val="22"/>
        </w:rPr>
        <w:t>E. François, A. Tabatabai, E. Alshina</w:t>
      </w:r>
      <w:bookmarkEnd w:id="10"/>
      <w:r w:rsidRPr="00C76595">
        <w:rPr>
          <w:rFonts w:eastAsia="宋体"/>
          <w:sz w:val="22"/>
          <w:szCs w:val="22"/>
          <w:lang w:eastAsia="ko-KR"/>
        </w:rPr>
        <w:t>, “</w:t>
      </w:r>
      <w:proofErr w:type="spellStart"/>
      <w:r w:rsidRPr="00C76595">
        <w:rPr>
          <w:sz w:val="22"/>
          <w:szCs w:val="22"/>
        </w:rPr>
        <w:t>BoG</w:t>
      </w:r>
      <w:proofErr w:type="spellEnd"/>
      <w:r w:rsidRPr="00C76595">
        <w:rPr>
          <w:sz w:val="22"/>
          <w:szCs w:val="22"/>
        </w:rPr>
        <w:t xml:space="preserve"> report: Methodology for evaluating complexity of combined and residual prediction methods in SHVC”, JCTVC-L0440, January 2012.</w:t>
      </w:r>
      <w:bookmarkEnd w:id="11"/>
    </w:p>
    <w:p w:rsidR="00C76595" w:rsidRPr="00C76595" w:rsidRDefault="00C76595" w:rsidP="00C76595">
      <w:pPr>
        <w:pStyle w:val="References"/>
        <w:spacing w:after="120"/>
        <w:jc w:val="both"/>
        <w:rPr>
          <w:rFonts w:eastAsia="宋体"/>
          <w:sz w:val="22"/>
          <w:szCs w:val="22"/>
          <w:lang w:eastAsia="ko-KR"/>
        </w:rPr>
      </w:pPr>
      <w:bookmarkStart w:id="12" w:name="_Ref352096730"/>
      <w:r w:rsidRPr="00C76595">
        <w:rPr>
          <w:sz w:val="22"/>
          <w:szCs w:val="22"/>
        </w:rPr>
        <w:t>X. Xiu, Y. He, Y. He, Y. Ye, “TE2: Results of test 3.2.1 on inter-layer reference picture placement”, JCTVC-L0051, January 2012.</w:t>
      </w:r>
      <w:bookmarkEnd w:id="12"/>
    </w:p>
    <w:p w:rsidR="00C76595" w:rsidRPr="00C76595" w:rsidRDefault="00C76595" w:rsidP="00C76595">
      <w:pPr>
        <w:pStyle w:val="References"/>
        <w:spacing w:after="120"/>
        <w:jc w:val="both"/>
        <w:rPr>
          <w:rFonts w:eastAsia="宋体"/>
          <w:sz w:val="22"/>
          <w:szCs w:val="22"/>
          <w:lang w:eastAsia="ko-KR"/>
        </w:rPr>
      </w:pPr>
      <w:bookmarkStart w:id="13" w:name="_Ref352096875"/>
      <w:r w:rsidRPr="00C76595">
        <w:rPr>
          <w:rFonts w:eastAsia="宋体"/>
          <w:sz w:val="22"/>
          <w:szCs w:val="22"/>
          <w:lang w:eastAsia="ko-KR"/>
        </w:rPr>
        <w:t xml:space="preserve">X. Li, J. Boyce, P. </w:t>
      </w:r>
      <w:proofErr w:type="spellStart"/>
      <w:r w:rsidRPr="00C76595">
        <w:rPr>
          <w:rFonts w:eastAsia="宋体"/>
          <w:sz w:val="22"/>
          <w:szCs w:val="22"/>
          <w:lang w:eastAsia="ko-KR"/>
        </w:rPr>
        <w:t>Onno</w:t>
      </w:r>
      <w:proofErr w:type="spellEnd"/>
      <w:r w:rsidRPr="00C76595">
        <w:rPr>
          <w:rFonts w:eastAsia="宋体"/>
          <w:sz w:val="22"/>
          <w:szCs w:val="22"/>
          <w:lang w:eastAsia="ko-KR"/>
        </w:rPr>
        <w:t>, Y. Ye, “</w:t>
      </w:r>
      <w:r w:rsidRPr="00C76595">
        <w:rPr>
          <w:sz w:val="22"/>
          <w:szCs w:val="22"/>
        </w:rPr>
        <w:t>Common SHM test conditions and software reference configurations”, JCTVC-L1009, January 2012.</w:t>
      </w:r>
      <w:bookmarkEnd w:id="13"/>
    </w:p>
    <w:p w:rsidR="00EE77D6" w:rsidRPr="00C76595" w:rsidRDefault="00EE77D6" w:rsidP="009234A5">
      <w:pPr>
        <w:jc w:val="both"/>
        <w:rPr>
          <w:szCs w:val="22"/>
          <w:lang w:val="en-CA"/>
        </w:rPr>
      </w:pPr>
    </w:p>
    <w:sectPr w:rsidR="00EE77D6" w:rsidRPr="00C7659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14C" w:rsidRDefault="007C314C">
      <w:r>
        <w:separator/>
      </w:r>
    </w:p>
  </w:endnote>
  <w:endnote w:type="continuationSeparator" w:id="0">
    <w:p w:rsidR="007C314C" w:rsidRDefault="007C3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7D6" w:rsidRDefault="00EE77D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41EF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41EFF">
      <w:rPr>
        <w:rStyle w:val="PageNumber"/>
      </w:rPr>
      <w:fldChar w:fldCharType="separate"/>
    </w:r>
    <w:r w:rsidR="00E03621">
      <w:rPr>
        <w:rStyle w:val="PageNumber"/>
        <w:noProof/>
      </w:rPr>
      <w:t>4</w:t>
    </w:r>
    <w:r w:rsidR="00741EF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41EF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41EFF">
      <w:rPr>
        <w:rStyle w:val="PageNumber"/>
      </w:rPr>
      <w:fldChar w:fldCharType="separate"/>
    </w:r>
    <w:r w:rsidR="00E03621">
      <w:rPr>
        <w:rStyle w:val="PageNumber"/>
        <w:noProof/>
      </w:rPr>
      <w:t>2013-04-02</w:t>
    </w:r>
    <w:r w:rsidR="00741EF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14C" w:rsidRDefault="007C314C">
      <w:r>
        <w:separator/>
      </w:r>
    </w:p>
  </w:footnote>
  <w:footnote w:type="continuationSeparator" w:id="0">
    <w:p w:rsidR="007C314C" w:rsidRDefault="007C31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40E0"/>
    <w:multiLevelType w:val="hybridMultilevel"/>
    <w:tmpl w:val="A198C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BE40536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lang w:val="en-CA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2A1B12"/>
    <w:multiLevelType w:val="hybridMultilevel"/>
    <w:tmpl w:val="535C8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BC927C2"/>
    <w:multiLevelType w:val="hybridMultilevel"/>
    <w:tmpl w:val="1786C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3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3A4B"/>
    <w:rsid w:val="00015389"/>
    <w:rsid w:val="000170D3"/>
    <w:rsid w:val="000458BC"/>
    <w:rsid w:val="00045C41"/>
    <w:rsid w:val="00046C03"/>
    <w:rsid w:val="0007614F"/>
    <w:rsid w:val="000B1C6B"/>
    <w:rsid w:val="000B4FF9"/>
    <w:rsid w:val="000B7878"/>
    <w:rsid w:val="000C09AC"/>
    <w:rsid w:val="000C28F9"/>
    <w:rsid w:val="000C4A9E"/>
    <w:rsid w:val="000D670B"/>
    <w:rsid w:val="000E00F3"/>
    <w:rsid w:val="000F158C"/>
    <w:rsid w:val="000F22A9"/>
    <w:rsid w:val="00102F3D"/>
    <w:rsid w:val="00107B13"/>
    <w:rsid w:val="00124E38"/>
    <w:rsid w:val="0012580B"/>
    <w:rsid w:val="00131F90"/>
    <w:rsid w:val="00133746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D4743"/>
    <w:rsid w:val="001E02BE"/>
    <w:rsid w:val="001E3B37"/>
    <w:rsid w:val="001E69D1"/>
    <w:rsid w:val="001F0197"/>
    <w:rsid w:val="001F2594"/>
    <w:rsid w:val="002055A6"/>
    <w:rsid w:val="00206460"/>
    <w:rsid w:val="002069B4"/>
    <w:rsid w:val="00215DFC"/>
    <w:rsid w:val="00217021"/>
    <w:rsid w:val="002212DF"/>
    <w:rsid w:val="00222CD4"/>
    <w:rsid w:val="002264A6"/>
    <w:rsid w:val="00227BA7"/>
    <w:rsid w:val="0023011C"/>
    <w:rsid w:val="00236DFA"/>
    <w:rsid w:val="00250072"/>
    <w:rsid w:val="00263398"/>
    <w:rsid w:val="00264897"/>
    <w:rsid w:val="00275BCF"/>
    <w:rsid w:val="00292257"/>
    <w:rsid w:val="002A2BD4"/>
    <w:rsid w:val="002A54E0"/>
    <w:rsid w:val="002B1595"/>
    <w:rsid w:val="002B191D"/>
    <w:rsid w:val="002D0AF6"/>
    <w:rsid w:val="002F164D"/>
    <w:rsid w:val="00306206"/>
    <w:rsid w:val="003132AE"/>
    <w:rsid w:val="00313A42"/>
    <w:rsid w:val="00315EEA"/>
    <w:rsid w:val="00317D85"/>
    <w:rsid w:val="00327C56"/>
    <w:rsid w:val="003315A1"/>
    <w:rsid w:val="003373EC"/>
    <w:rsid w:val="00342FF4"/>
    <w:rsid w:val="003669EA"/>
    <w:rsid w:val="003706CC"/>
    <w:rsid w:val="00377710"/>
    <w:rsid w:val="00380D0D"/>
    <w:rsid w:val="003A2D8E"/>
    <w:rsid w:val="003C20E4"/>
    <w:rsid w:val="003E2C24"/>
    <w:rsid w:val="003E6F90"/>
    <w:rsid w:val="003F4177"/>
    <w:rsid w:val="003F5D0F"/>
    <w:rsid w:val="00414101"/>
    <w:rsid w:val="00433DDB"/>
    <w:rsid w:val="00437619"/>
    <w:rsid w:val="004A2A63"/>
    <w:rsid w:val="004B210C"/>
    <w:rsid w:val="004B217F"/>
    <w:rsid w:val="004C7983"/>
    <w:rsid w:val="004D405F"/>
    <w:rsid w:val="004E4F4F"/>
    <w:rsid w:val="004E6789"/>
    <w:rsid w:val="004F61E3"/>
    <w:rsid w:val="00501B2E"/>
    <w:rsid w:val="00502E10"/>
    <w:rsid w:val="0051015C"/>
    <w:rsid w:val="00513BAD"/>
    <w:rsid w:val="00516CF1"/>
    <w:rsid w:val="00525B7A"/>
    <w:rsid w:val="00531AE9"/>
    <w:rsid w:val="00545A39"/>
    <w:rsid w:val="00550A66"/>
    <w:rsid w:val="00567EC7"/>
    <w:rsid w:val="00570013"/>
    <w:rsid w:val="00572ACC"/>
    <w:rsid w:val="005801A2"/>
    <w:rsid w:val="005906A9"/>
    <w:rsid w:val="005952A5"/>
    <w:rsid w:val="005A33A1"/>
    <w:rsid w:val="005B217D"/>
    <w:rsid w:val="005C385F"/>
    <w:rsid w:val="005E1AC6"/>
    <w:rsid w:val="005F6F1B"/>
    <w:rsid w:val="00600776"/>
    <w:rsid w:val="00606962"/>
    <w:rsid w:val="00610781"/>
    <w:rsid w:val="00624B33"/>
    <w:rsid w:val="00630AA2"/>
    <w:rsid w:val="00646707"/>
    <w:rsid w:val="0066095D"/>
    <w:rsid w:val="00662E58"/>
    <w:rsid w:val="00664DCF"/>
    <w:rsid w:val="006C5D39"/>
    <w:rsid w:val="006E2810"/>
    <w:rsid w:val="006E5417"/>
    <w:rsid w:val="00700FED"/>
    <w:rsid w:val="00705A6E"/>
    <w:rsid w:val="00712F60"/>
    <w:rsid w:val="007135B0"/>
    <w:rsid w:val="00720536"/>
    <w:rsid w:val="00720E3B"/>
    <w:rsid w:val="00741EFF"/>
    <w:rsid w:val="00745F6B"/>
    <w:rsid w:val="0075585E"/>
    <w:rsid w:val="00770571"/>
    <w:rsid w:val="007768FF"/>
    <w:rsid w:val="007824D3"/>
    <w:rsid w:val="00795CC5"/>
    <w:rsid w:val="00796EE3"/>
    <w:rsid w:val="007A7D29"/>
    <w:rsid w:val="007B4AB8"/>
    <w:rsid w:val="007C314C"/>
    <w:rsid w:val="007D483D"/>
    <w:rsid w:val="007E7ACB"/>
    <w:rsid w:val="007F1F8B"/>
    <w:rsid w:val="007F67A1"/>
    <w:rsid w:val="00811C05"/>
    <w:rsid w:val="00812FDD"/>
    <w:rsid w:val="008206C8"/>
    <w:rsid w:val="00827F78"/>
    <w:rsid w:val="00860017"/>
    <w:rsid w:val="0086387C"/>
    <w:rsid w:val="00874A6C"/>
    <w:rsid w:val="00876C65"/>
    <w:rsid w:val="00895D42"/>
    <w:rsid w:val="008A4B4C"/>
    <w:rsid w:val="008B6A33"/>
    <w:rsid w:val="008C239F"/>
    <w:rsid w:val="008E480C"/>
    <w:rsid w:val="00900546"/>
    <w:rsid w:val="0090206E"/>
    <w:rsid w:val="00907757"/>
    <w:rsid w:val="009212B0"/>
    <w:rsid w:val="009233CD"/>
    <w:rsid w:val="009234A5"/>
    <w:rsid w:val="009336F7"/>
    <w:rsid w:val="009374A7"/>
    <w:rsid w:val="0095710D"/>
    <w:rsid w:val="009847B9"/>
    <w:rsid w:val="0098551D"/>
    <w:rsid w:val="0099518F"/>
    <w:rsid w:val="009A523D"/>
    <w:rsid w:val="009C40C8"/>
    <w:rsid w:val="009D0EAA"/>
    <w:rsid w:val="009E544C"/>
    <w:rsid w:val="009F2034"/>
    <w:rsid w:val="009F496B"/>
    <w:rsid w:val="00A01439"/>
    <w:rsid w:val="00A02E61"/>
    <w:rsid w:val="00A05CFF"/>
    <w:rsid w:val="00A06B17"/>
    <w:rsid w:val="00A11898"/>
    <w:rsid w:val="00A25C2D"/>
    <w:rsid w:val="00A40621"/>
    <w:rsid w:val="00A56B97"/>
    <w:rsid w:val="00A6093D"/>
    <w:rsid w:val="00A76A6D"/>
    <w:rsid w:val="00A83253"/>
    <w:rsid w:val="00AA6E84"/>
    <w:rsid w:val="00AB436C"/>
    <w:rsid w:val="00AD10F6"/>
    <w:rsid w:val="00AE341B"/>
    <w:rsid w:val="00AE4993"/>
    <w:rsid w:val="00B07CA7"/>
    <w:rsid w:val="00B1279A"/>
    <w:rsid w:val="00B16D73"/>
    <w:rsid w:val="00B32929"/>
    <w:rsid w:val="00B33DB1"/>
    <w:rsid w:val="00B4194A"/>
    <w:rsid w:val="00B4554B"/>
    <w:rsid w:val="00B462FD"/>
    <w:rsid w:val="00B5222E"/>
    <w:rsid w:val="00B61C96"/>
    <w:rsid w:val="00B73A2A"/>
    <w:rsid w:val="00B94B06"/>
    <w:rsid w:val="00B94C28"/>
    <w:rsid w:val="00BB2ECE"/>
    <w:rsid w:val="00BC10BA"/>
    <w:rsid w:val="00BC5AFD"/>
    <w:rsid w:val="00C04F43"/>
    <w:rsid w:val="00C0609D"/>
    <w:rsid w:val="00C115AB"/>
    <w:rsid w:val="00C14785"/>
    <w:rsid w:val="00C20D7A"/>
    <w:rsid w:val="00C22EBE"/>
    <w:rsid w:val="00C30249"/>
    <w:rsid w:val="00C3723B"/>
    <w:rsid w:val="00C42142"/>
    <w:rsid w:val="00C606C9"/>
    <w:rsid w:val="00C76595"/>
    <w:rsid w:val="00C80288"/>
    <w:rsid w:val="00C84003"/>
    <w:rsid w:val="00C90650"/>
    <w:rsid w:val="00C97D78"/>
    <w:rsid w:val="00CC2AAE"/>
    <w:rsid w:val="00CC5A42"/>
    <w:rsid w:val="00CD0106"/>
    <w:rsid w:val="00CD0EAB"/>
    <w:rsid w:val="00CF132D"/>
    <w:rsid w:val="00CF34DB"/>
    <w:rsid w:val="00CF558F"/>
    <w:rsid w:val="00D005E0"/>
    <w:rsid w:val="00D065E9"/>
    <w:rsid w:val="00D073E2"/>
    <w:rsid w:val="00D1280E"/>
    <w:rsid w:val="00D446EC"/>
    <w:rsid w:val="00D51BF0"/>
    <w:rsid w:val="00D55942"/>
    <w:rsid w:val="00D75F63"/>
    <w:rsid w:val="00D807BF"/>
    <w:rsid w:val="00D82FCC"/>
    <w:rsid w:val="00DA17FC"/>
    <w:rsid w:val="00DA7887"/>
    <w:rsid w:val="00DB2C26"/>
    <w:rsid w:val="00DB69E8"/>
    <w:rsid w:val="00DD3715"/>
    <w:rsid w:val="00DE6B43"/>
    <w:rsid w:val="00DF2261"/>
    <w:rsid w:val="00E0088C"/>
    <w:rsid w:val="00E03621"/>
    <w:rsid w:val="00E11923"/>
    <w:rsid w:val="00E169E5"/>
    <w:rsid w:val="00E262D4"/>
    <w:rsid w:val="00E36250"/>
    <w:rsid w:val="00E37F13"/>
    <w:rsid w:val="00E54511"/>
    <w:rsid w:val="00E61DAC"/>
    <w:rsid w:val="00E72B80"/>
    <w:rsid w:val="00E75FE3"/>
    <w:rsid w:val="00E815C7"/>
    <w:rsid w:val="00E86C4C"/>
    <w:rsid w:val="00E926B1"/>
    <w:rsid w:val="00EA0C82"/>
    <w:rsid w:val="00EA44C3"/>
    <w:rsid w:val="00EA6A5B"/>
    <w:rsid w:val="00EB7AB1"/>
    <w:rsid w:val="00EC5534"/>
    <w:rsid w:val="00EE633A"/>
    <w:rsid w:val="00EE77D6"/>
    <w:rsid w:val="00EF48CC"/>
    <w:rsid w:val="00EF6D36"/>
    <w:rsid w:val="00F13E0D"/>
    <w:rsid w:val="00F31A42"/>
    <w:rsid w:val="00F32F42"/>
    <w:rsid w:val="00F464C1"/>
    <w:rsid w:val="00F62DD8"/>
    <w:rsid w:val="00F64160"/>
    <w:rsid w:val="00F73032"/>
    <w:rsid w:val="00F77D55"/>
    <w:rsid w:val="00F848FC"/>
    <w:rsid w:val="00F9282A"/>
    <w:rsid w:val="00F96BAD"/>
    <w:rsid w:val="00FB0E84"/>
    <w:rsid w:val="00FC19B4"/>
    <w:rsid w:val="00FC51B8"/>
    <w:rsid w:val="00FD01C2"/>
    <w:rsid w:val="00FD1394"/>
    <w:rsid w:val="00FF0CE3"/>
    <w:rsid w:val="00FF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41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417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F417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700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C20D7A"/>
    <w:rPr>
      <w:b/>
      <w:bCs/>
      <w:sz w:val="20"/>
    </w:rPr>
  </w:style>
  <w:style w:type="character" w:styleId="CommentReference">
    <w:name w:val="annotation reference"/>
    <w:basedOn w:val="DefaultParagraphFont"/>
    <w:rsid w:val="009F20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203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F203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F20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2034"/>
    <w:rPr>
      <w:b/>
      <w:bCs/>
    </w:rPr>
  </w:style>
  <w:style w:type="paragraph" w:customStyle="1" w:styleId="References">
    <w:name w:val="References"/>
    <w:basedOn w:val="Normal"/>
    <w:rsid w:val="00C76595"/>
    <w:pPr>
      <w:numPr>
        <w:numId w:val="15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DD609-A8AE-4689-938E-9D5C77ED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4</Pages>
  <Words>2053</Words>
  <Characters>10353</Characters>
  <Application>Microsoft Office Word</Application>
  <DocSecurity>0</DocSecurity>
  <Lines>739</Lines>
  <Paragraphs>729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Yan Ye</cp:lastModifiedBy>
  <cp:revision>24</cp:revision>
  <cp:lastPrinted>2013-04-02T16:51:00Z</cp:lastPrinted>
  <dcterms:created xsi:type="dcterms:W3CDTF">2013-03-27T19:38:00Z</dcterms:created>
  <dcterms:modified xsi:type="dcterms:W3CDTF">2013-04-08T22:29:00Z</dcterms:modified>
</cp:coreProperties>
</file>