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7B6838">
        <w:tc>
          <w:tcPr>
            <w:tcW w:w="6408" w:type="dxa"/>
          </w:tcPr>
          <w:p w:rsidR="006C5D39" w:rsidRPr="007B6838" w:rsidRDefault="00ED1A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D1AC2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B6838">
              <w:rPr>
                <w:b/>
                <w:szCs w:val="22"/>
                <w:lang w:val="en-CA"/>
              </w:rPr>
              <w:t xml:space="preserve">Joint </w:t>
            </w:r>
            <w:r w:rsidR="006C5D39" w:rsidRPr="007B6838">
              <w:rPr>
                <w:b/>
                <w:szCs w:val="22"/>
                <w:lang w:val="en-CA"/>
              </w:rPr>
              <w:t>Collaborative</w:t>
            </w:r>
            <w:r w:rsidR="00E61DAC" w:rsidRPr="007B6838">
              <w:rPr>
                <w:b/>
                <w:szCs w:val="22"/>
                <w:lang w:val="en-CA"/>
              </w:rPr>
              <w:t xml:space="preserve"> Team </w:t>
            </w:r>
            <w:r w:rsidR="006C5D39" w:rsidRPr="007B683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B683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b/>
                <w:szCs w:val="22"/>
                <w:lang w:val="en-CA"/>
              </w:rPr>
              <w:t xml:space="preserve">of </w:t>
            </w:r>
            <w:r w:rsidR="007F1F8B" w:rsidRPr="007B6838">
              <w:rPr>
                <w:b/>
                <w:szCs w:val="22"/>
                <w:lang w:val="en-CA"/>
              </w:rPr>
              <w:t>ITU-T SG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16 WP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3 and ISO/IEC JTC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1/SC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29/WG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11</w:t>
            </w:r>
          </w:p>
          <w:p w:rsidR="00E61DAC" w:rsidRPr="007B6838" w:rsidRDefault="000B4FF9" w:rsidP="00DE78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1</w:t>
            </w:r>
            <w:r w:rsidR="00DE78DA">
              <w:rPr>
                <w:rFonts w:hint="eastAsia"/>
                <w:szCs w:val="22"/>
                <w:lang w:val="en-CA" w:eastAsia="ja-JP"/>
              </w:rPr>
              <w:t>3</w:t>
            </w:r>
            <w:r w:rsidR="00630AA2" w:rsidRPr="007B6838">
              <w:rPr>
                <w:szCs w:val="22"/>
                <w:lang w:val="en-CA"/>
              </w:rPr>
              <w:t>th</w:t>
            </w:r>
            <w:r w:rsidR="00E61DAC" w:rsidRPr="007B6838">
              <w:rPr>
                <w:szCs w:val="22"/>
                <w:lang w:val="en-CA"/>
              </w:rPr>
              <w:t xml:space="preserve"> Meeting: </w:t>
            </w:r>
            <w:r w:rsidR="00DE78DA"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7B6838" w:rsidRDefault="00E61DAC" w:rsidP="00632293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7B6838">
              <w:rPr>
                <w:lang w:val="en-CA"/>
              </w:rPr>
              <w:t>Document</w:t>
            </w:r>
            <w:r w:rsidR="006C5D39" w:rsidRPr="007B6838">
              <w:rPr>
                <w:lang w:val="en-CA"/>
              </w:rPr>
              <w:t>: JC</w:t>
            </w:r>
            <w:r w:rsidRPr="007B6838">
              <w:rPr>
                <w:lang w:val="en-CA"/>
              </w:rPr>
              <w:t>T</w:t>
            </w:r>
            <w:r w:rsidR="006C5D39" w:rsidRPr="007B6838">
              <w:rPr>
                <w:lang w:val="en-CA"/>
              </w:rPr>
              <w:t>VC</w:t>
            </w:r>
            <w:r w:rsidRPr="007B6838">
              <w:rPr>
                <w:lang w:val="en-CA"/>
              </w:rPr>
              <w:t>-</w:t>
            </w:r>
            <w:r w:rsidR="00632293">
              <w:rPr>
                <w:rFonts w:hint="eastAsia"/>
                <w:lang w:val="en-CA" w:eastAsia="ja-JP"/>
              </w:rPr>
              <w:t>M0075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B6838" w:rsidRDefault="00ED7022" w:rsidP="00230DC0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 xml:space="preserve">On </w:t>
            </w:r>
            <w:r w:rsidR="005D12C6">
              <w:rPr>
                <w:rFonts w:hint="eastAsia"/>
                <w:szCs w:val="22"/>
                <w:lang w:val="en-CA" w:eastAsia="ja-JP"/>
              </w:rPr>
              <w:t>TextureRL flag context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B6838" w:rsidRDefault="00E61DAC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t xml:space="preserve">Input Document to </w:t>
            </w:r>
            <w:r w:rsidR="00AE341B" w:rsidRPr="007B6838">
              <w:rPr>
                <w:szCs w:val="22"/>
                <w:lang w:val="en-CA"/>
              </w:rPr>
              <w:t>JCT-VC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B6838" w:rsidRDefault="00E61DAC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Proposal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Author(s) or</w:t>
            </w:r>
            <w:r w:rsidRPr="007B683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7B6838" w:rsidRDefault="00217D64" w:rsidP="00217D6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Tomoyuki Yamamoto</w:t>
            </w:r>
            <w:r w:rsidR="00B24F1D">
              <w:rPr>
                <w:szCs w:val="22"/>
                <w:lang w:val="en-CA" w:eastAsia="ja-JP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 xml:space="preserve">1-9-2 Nakase, Mihama-ku, </w:t>
            </w:r>
            <w:r w:rsidR="00087334" w:rsidRPr="007B6838">
              <w:rPr>
                <w:szCs w:val="22"/>
                <w:lang w:val="en-CA" w:eastAsia="ja-JP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Chiba-shi,</w:t>
            </w:r>
            <w:r w:rsidR="00087334" w:rsidRPr="007B6838" w:rsidDel="00087334">
              <w:rPr>
                <w:szCs w:val="22"/>
                <w:lang w:val="en-CA"/>
              </w:rPr>
              <w:t xml:space="preserve"> </w:t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Chiba 261-8520</w:t>
            </w:r>
            <w:r w:rsidR="00B128E6">
              <w:rPr>
                <w:szCs w:val="22"/>
                <w:lang w:val="en-CA" w:eastAsia="ja-JP"/>
              </w:rPr>
              <w:br/>
            </w:r>
            <w:r w:rsidR="00087334" w:rsidRPr="007B6838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7B6838" w:rsidRDefault="00E61DAC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Tel:</w:t>
            </w:r>
            <w:r w:rsidRPr="007B683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F35F8" w:rsidRPr="0039723A" w:rsidRDefault="00087334" w:rsidP="00AA1DF0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rFonts w:hint="eastAsia"/>
                <w:sz w:val="21"/>
                <w:szCs w:val="22"/>
                <w:lang w:val="en-CA" w:eastAsia="ja-JP"/>
              </w:rPr>
              <w:t>+81-43-299-8526</w:t>
            </w:r>
            <w:r w:rsidR="00E61DAC" w:rsidRPr="007B6838">
              <w:rPr>
                <w:sz w:val="21"/>
                <w:szCs w:val="22"/>
                <w:lang w:val="en-CA"/>
              </w:rPr>
              <w:br/>
            </w:r>
            <w:hyperlink r:id="rId9" w:history="1">
              <w:r w:rsidR="003F35F8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yamamoto.tomoyuki@sharp.co.jp</w:t>
              </w:r>
            </w:hyperlink>
            <w:r w:rsidR="00557D2E">
              <w:rPr>
                <w:rFonts w:hint="eastAsia"/>
                <w:sz w:val="21"/>
                <w:szCs w:val="22"/>
                <w:lang w:val="en-CA" w:eastAsia="ja-JP"/>
              </w:rPr>
              <w:br/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C1EC9" w:rsidRDefault="006E552A" w:rsidP="00A82A6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</w:t>
      </w:r>
      <w:r w:rsidR="00643807">
        <w:rPr>
          <w:rFonts w:hint="eastAsia"/>
          <w:lang w:val="en-CA" w:eastAsia="ja-JP"/>
        </w:rPr>
        <w:t>propose</w:t>
      </w:r>
      <w:r w:rsidR="009650CB">
        <w:rPr>
          <w:rFonts w:hint="eastAsia"/>
          <w:lang w:val="en-CA" w:eastAsia="ja-JP"/>
        </w:rPr>
        <w:t>s</w:t>
      </w:r>
      <w:r w:rsidR="00643807">
        <w:rPr>
          <w:rFonts w:hint="eastAsia"/>
          <w:lang w:val="en-CA" w:eastAsia="ja-JP"/>
        </w:rPr>
        <w:t xml:space="preserve"> to modify context for TextureRL flag. In the proposed context derivation, coding unit size is used instead of top and left </w:t>
      </w:r>
      <w:r w:rsidR="00AA7F37">
        <w:rPr>
          <w:lang w:val="en-CA" w:eastAsia="ja-JP"/>
        </w:rPr>
        <w:t>neighbouring</w:t>
      </w:r>
      <w:r w:rsidR="00643807">
        <w:rPr>
          <w:rFonts w:hint="eastAsia"/>
          <w:lang w:val="en-CA" w:eastAsia="ja-JP"/>
        </w:rPr>
        <w:t xml:space="preserve"> </w:t>
      </w:r>
      <w:r w:rsidR="00EA7FAF">
        <w:rPr>
          <w:rFonts w:hint="eastAsia"/>
          <w:lang w:val="en-CA" w:eastAsia="ja-JP"/>
        </w:rPr>
        <w:t xml:space="preserve">TextureRL flags in the purpose of removing dependencies with </w:t>
      </w:r>
      <w:r w:rsidR="00AA7F37">
        <w:rPr>
          <w:lang w:val="en-CA" w:eastAsia="ja-JP"/>
        </w:rPr>
        <w:t>neighbouring</w:t>
      </w:r>
      <w:r w:rsidR="00EA7FAF">
        <w:rPr>
          <w:rFonts w:hint="eastAsia"/>
          <w:lang w:val="en-CA" w:eastAsia="ja-JP"/>
        </w:rPr>
        <w:t xml:space="preserve"> regions.</w:t>
      </w:r>
      <w:r w:rsidR="009650CB">
        <w:rPr>
          <w:rFonts w:hint="eastAsia"/>
          <w:lang w:val="en-CA" w:eastAsia="ja-JP"/>
        </w:rPr>
        <w:t xml:space="preserve"> Experimental results show that the impacts </w:t>
      </w:r>
      <w:r w:rsidR="00CD4CAE">
        <w:rPr>
          <w:rFonts w:hint="eastAsia"/>
          <w:lang w:val="en-CA" w:eastAsia="ja-JP"/>
        </w:rPr>
        <w:t>on</w:t>
      </w:r>
      <w:r w:rsidR="00D56438">
        <w:rPr>
          <w:rFonts w:hint="eastAsia"/>
          <w:lang w:val="en-CA" w:eastAsia="ja-JP"/>
        </w:rPr>
        <w:t xml:space="preserve"> the luma bdrates </w:t>
      </w:r>
      <w:r w:rsidR="009650CB">
        <w:rPr>
          <w:rFonts w:hint="eastAsia"/>
          <w:lang w:val="en-CA" w:eastAsia="ja-JP"/>
        </w:rPr>
        <w:t xml:space="preserve">are; AI 2x: </w:t>
      </w:r>
      <w:r w:rsidR="009650CB" w:rsidRPr="009650CB">
        <w:rPr>
          <w:lang w:val="en-CA" w:eastAsia="ja-JP"/>
        </w:rPr>
        <w:t>0.04%</w:t>
      </w:r>
      <w:r w:rsidR="009650CB">
        <w:rPr>
          <w:rFonts w:hint="eastAsia"/>
          <w:lang w:val="en-CA" w:eastAsia="ja-JP"/>
        </w:rPr>
        <w:t xml:space="preserve">, AI 1.5x: </w:t>
      </w:r>
      <w:r w:rsidR="009650CB" w:rsidRPr="009650CB">
        <w:rPr>
          <w:lang w:val="en-CA" w:eastAsia="ja-JP"/>
        </w:rPr>
        <w:t>0.02%</w:t>
      </w:r>
      <w:r w:rsidR="009650CB">
        <w:rPr>
          <w:rFonts w:hint="eastAsia"/>
          <w:lang w:val="en-CA" w:eastAsia="ja-JP"/>
        </w:rPr>
        <w:t xml:space="preserve">, RA 2x: </w:t>
      </w:r>
      <w:r w:rsidR="009650CB" w:rsidRPr="009650CB">
        <w:rPr>
          <w:lang w:val="en-CA" w:eastAsia="ja-JP"/>
        </w:rPr>
        <w:t>0.07%</w:t>
      </w:r>
      <w:r w:rsidR="009650CB">
        <w:rPr>
          <w:rFonts w:hint="eastAsia"/>
          <w:lang w:val="en-CA" w:eastAsia="ja-JP"/>
        </w:rPr>
        <w:t xml:space="preserve">, RA 1.5x: </w:t>
      </w:r>
      <w:r w:rsidR="009650CB" w:rsidRPr="009650CB">
        <w:rPr>
          <w:lang w:val="en-CA" w:eastAsia="ja-JP"/>
        </w:rPr>
        <w:t>0.09%</w:t>
      </w:r>
      <w:r w:rsidR="009650CB">
        <w:rPr>
          <w:rFonts w:hint="eastAsia"/>
          <w:lang w:val="en-CA" w:eastAsia="ja-JP"/>
        </w:rPr>
        <w:t xml:space="preserve">, RA SNR: </w:t>
      </w:r>
      <w:r w:rsidR="009650CB" w:rsidRPr="009650CB">
        <w:rPr>
          <w:lang w:val="en-CA" w:eastAsia="ja-JP"/>
        </w:rPr>
        <w:t>0.02%</w:t>
      </w:r>
      <w:r w:rsidR="009650CB">
        <w:rPr>
          <w:rFonts w:hint="eastAsia"/>
          <w:lang w:val="en-CA" w:eastAsia="ja-JP"/>
        </w:rPr>
        <w:t xml:space="preserve">, LP 2x: </w:t>
      </w:r>
      <w:r w:rsidR="009650CB" w:rsidRPr="009650CB">
        <w:rPr>
          <w:lang w:val="en-CA" w:eastAsia="ja-JP"/>
        </w:rPr>
        <w:t>0.08%</w:t>
      </w:r>
      <w:r w:rsidR="009650CB">
        <w:rPr>
          <w:rFonts w:hint="eastAsia"/>
          <w:lang w:val="en-CA" w:eastAsia="ja-JP"/>
        </w:rPr>
        <w:t xml:space="preserve">, LP 1.5x: </w:t>
      </w:r>
      <w:r w:rsidR="009650CB" w:rsidRPr="009650CB">
        <w:rPr>
          <w:lang w:val="en-CA" w:eastAsia="ja-JP"/>
        </w:rPr>
        <w:t>0.15%</w:t>
      </w:r>
      <w:r w:rsidR="009650CB">
        <w:rPr>
          <w:rFonts w:hint="eastAsia"/>
          <w:lang w:val="en-CA" w:eastAsia="ja-JP"/>
        </w:rPr>
        <w:t xml:space="preserve">, and LP SNR: </w:t>
      </w:r>
      <w:r w:rsidR="009650CB" w:rsidRPr="009650CB">
        <w:rPr>
          <w:lang w:val="en-CA" w:eastAsia="ja-JP"/>
        </w:rPr>
        <w:t>0.02%</w:t>
      </w:r>
      <w:r w:rsidR="009650CB">
        <w:rPr>
          <w:rFonts w:hint="eastAsia"/>
          <w:lang w:val="en-CA" w:eastAsia="ja-JP"/>
        </w:rPr>
        <w:t>.</w:t>
      </w:r>
    </w:p>
    <w:p w:rsidR="006D7D1F" w:rsidRPr="00044E62" w:rsidRDefault="006D7D1F" w:rsidP="00A82A6D">
      <w:pPr>
        <w:rPr>
          <w:lang w:val="en-CA" w:eastAsia="ja-JP"/>
        </w:rPr>
      </w:pP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B55B0C" w:rsidRDefault="00511FCC" w:rsidP="00A94CBD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In the recent SHVC test model (SHM1)</w:t>
      </w:r>
      <w:r w:rsidR="00C31A10">
        <w:rPr>
          <w:rFonts w:hint="eastAsia"/>
          <w:szCs w:val="22"/>
          <w:lang w:val="en-CA" w:eastAsia="ja-JP"/>
        </w:rPr>
        <w:t xml:space="preserve"> [1]</w:t>
      </w:r>
      <w:r>
        <w:rPr>
          <w:rFonts w:hint="eastAsia"/>
          <w:szCs w:val="22"/>
          <w:lang w:val="en-CA" w:eastAsia="ja-JP"/>
        </w:rPr>
        <w:t xml:space="preserve">, TextureRL flag </w:t>
      </w:r>
      <w:r w:rsidR="00E47A24">
        <w:rPr>
          <w:rFonts w:hint="eastAsia"/>
          <w:szCs w:val="22"/>
          <w:lang w:val="en-CA" w:eastAsia="ja-JP"/>
        </w:rPr>
        <w:t xml:space="preserve">(texture_rl_flag) </w:t>
      </w:r>
      <w:r>
        <w:rPr>
          <w:rFonts w:hint="eastAsia"/>
          <w:szCs w:val="22"/>
          <w:lang w:val="en-CA" w:eastAsia="ja-JP"/>
        </w:rPr>
        <w:t>is used to signal whether the so-called inter-layer texture prediction is appl</w:t>
      </w:r>
      <w:r w:rsidR="00F25030">
        <w:rPr>
          <w:rFonts w:hint="eastAsia"/>
          <w:szCs w:val="22"/>
          <w:lang w:val="en-CA" w:eastAsia="ja-JP"/>
        </w:rPr>
        <w:t xml:space="preserve">ied to the specific coding unit. In SHM1, the CABAC context for texture_rl_flag is derived as the sum of TextureRL flags </w:t>
      </w:r>
      <w:r w:rsidR="00817A48">
        <w:rPr>
          <w:rFonts w:hint="eastAsia"/>
          <w:szCs w:val="22"/>
          <w:lang w:val="en-CA" w:eastAsia="ja-JP"/>
        </w:rPr>
        <w:t>in the top and left neighbo</w:t>
      </w:r>
      <w:r w:rsidR="00C2661A">
        <w:rPr>
          <w:rFonts w:hint="eastAsia"/>
          <w:szCs w:val="22"/>
          <w:lang w:val="en-CA" w:eastAsia="ja-JP"/>
        </w:rPr>
        <w:t>u</w:t>
      </w:r>
      <w:r w:rsidR="00817A48">
        <w:rPr>
          <w:rFonts w:hint="eastAsia"/>
          <w:szCs w:val="22"/>
          <w:lang w:val="en-CA" w:eastAsia="ja-JP"/>
        </w:rPr>
        <w:t>ring regions.</w:t>
      </w:r>
      <w:r w:rsidR="00C31A10">
        <w:rPr>
          <w:rFonts w:hint="eastAsia"/>
          <w:szCs w:val="22"/>
          <w:lang w:val="en-CA" w:eastAsia="ja-JP"/>
        </w:rPr>
        <w:t xml:space="preserve"> More specifically, Table 1 shows the context derivation of texture_rl_flag in SHM1.</w:t>
      </w:r>
    </w:p>
    <w:p w:rsidR="00C31A10" w:rsidRDefault="00C31A10" w:rsidP="00A94CBD">
      <w:pPr>
        <w:jc w:val="both"/>
        <w:rPr>
          <w:szCs w:val="22"/>
          <w:lang w:val="en-CA" w:eastAsia="ja-JP"/>
        </w:rPr>
      </w:pPr>
    </w:p>
    <w:p w:rsidR="00C31A10" w:rsidRDefault="00C31A10" w:rsidP="00033989">
      <w:pPr>
        <w:pStyle w:val="ab"/>
        <w:jc w:val="center"/>
        <w:rPr>
          <w:lang w:val="en-GB" w:eastAsia="ja-JP"/>
        </w:rPr>
      </w:pPr>
      <w:r>
        <w:t xml:space="preserve">Table </w:t>
      </w:r>
      <w:r>
        <w:rPr>
          <w:rFonts w:hint="eastAsia"/>
          <w:lang w:eastAsia="ja-JP"/>
        </w:rPr>
        <w:t xml:space="preserve">1.  </w:t>
      </w:r>
      <w:r w:rsidRPr="00F60F40">
        <w:rPr>
          <w:lang w:val="en-GB"/>
        </w:rPr>
        <w:t>Specification of ctxIdxInc using left and above syntax elements</w:t>
      </w:r>
      <w:r>
        <w:rPr>
          <w:rFonts w:hint="eastAsia"/>
          <w:lang w:val="en-GB" w:eastAsia="ja-JP"/>
        </w:rPr>
        <w:t xml:space="preserve"> in SHM1</w:t>
      </w:r>
    </w:p>
    <w:p w:rsidR="00F530CD" w:rsidRPr="00F530CD" w:rsidRDefault="00F530CD" w:rsidP="00F530CD">
      <w:pPr>
        <w:rPr>
          <w:lang w:val="en-GB" w:eastAsia="ja-JP"/>
        </w:rPr>
      </w:pPr>
    </w:p>
    <w:tbl>
      <w:tblPr>
        <w:tblW w:w="9443" w:type="dxa"/>
        <w:jc w:val="center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52"/>
        <w:gridCol w:w="2427"/>
        <w:gridCol w:w="2427"/>
        <w:gridCol w:w="2337"/>
      </w:tblGrid>
      <w:tr w:rsidR="00C31A10" w:rsidRPr="00F60F40" w:rsidTr="004832F5">
        <w:trPr>
          <w:jc w:val="center"/>
        </w:trPr>
        <w:tc>
          <w:tcPr>
            <w:tcW w:w="2252" w:type="dxa"/>
            <w:shd w:val="clear" w:color="auto" w:fill="auto"/>
          </w:tcPr>
          <w:p w:rsidR="00C31A10" w:rsidRPr="00F60F40" w:rsidRDefault="00C31A10" w:rsidP="0019732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427" w:type="dxa"/>
            <w:shd w:val="clear" w:color="auto" w:fill="auto"/>
          </w:tcPr>
          <w:p w:rsidR="00C31A10" w:rsidRPr="00F60F40" w:rsidRDefault="00C31A10" w:rsidP="0019732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condL</w:t>
            </w:r>
          </w:p>
        </w:tc>
        <w:tc>
          <w:tcPr>
            <w:tcW w:w="2427" w:type="dxa"/>
            <w:shd w:val="clear" w:color="auto" w:fill="auto"/>
          </w:tcPr>
          <w:p w:rsidR="00C31A10" w:rsidRPr="00F60F40" w:rsidRDefault="00C31A10" w:rsidP="0019732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condA</w:t>
            </w:r>
          </w:p>
        </w:tc>
        <w:tc>
          <w:tcPr>
            <w:tcW w:w="2337" w:type="dxa"/>
            <w:shd w:val="clear" w:color="auto" w:fill="auto"/>
          </w:tcPr>
          <w:p w:rsidR="00C31A10" w:rsidRPr="00F60F40" w:rsidRDefault="00C31A10" w:rsidP="0019732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ctxIdxInc</w:t>
            </w:r>
          </w:p>
        </w:tc>
      </w:tr>
      <w:tr w:rsidR="00C31A10" w:rsidRPr="00F60F40" w:rsidTr="004832F5">
        <w:trPr>
          <w:jc w:val="center"/>
        </w:trPr>
        <w:tc>
          <w:tcPr>
            <w:tcW w:w="2252" w:type="dxa"/>
            <w:shd w:val="clear" w:color="auto" w:fill="auto"/>
          </w:tcPr>
          <w:p w:rsidR="00C31A10" w:rsidRPr="00F60F40" w:rsidRDefault="00C31A10" w:rsidP="00197322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texture_rl</w:t>
            </w:r>
            <w:r w:rsidRPr="00F60F40">
              <w:rPr>
                <w:sz w:val="16"/>
                <w:szCs w:val="16"/>
              </w:rPr>
              <w:t>_flag</w:t>
            </w:r>
          </w:p>
        </w:tc>
        <w:tc>
          <w:tcPr>
            <w:tcW w:w="2427" w:type="dxa"/>
            <w:shd w:val="clear" w:color="auto" w:fill="auto"/>
          </w:tcPr>
          <w:p w:rsidR="00C31A10" w:rsidRPr="00F60F40" w:rsidRDefault="00C31A10" w:rsidP="00197322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texture_rl</w:t>
            </w:r>
            <w:r w:rsidRPr="00F60F40">
              <w:rPr>
                <w:sz w:val="16"/>
                <w:szCs w:val="16"/>
              </w:rPr>
              <w:t>_flag [ xL ][ yL ]</w:t>
            </w:r>
          </w:p>
        </w:tc>
        <w:tc>
          <w:tcPr>
            <w:tcW w:w="2427" w:type="dxa"/>
            <w:shd w:val="clear" w:color="auto" w:fill="auto"/>
          </w:tcPr>
          <w:p w:rsidR="00C31A10" w:rsidRPr="00F60F40" w:rsidRDefault="00C31A10" w:rsidP="00197322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texture_rl</w:t>
            </w:r>
            <w:r w:rsidRPr="00F60F40">
              <w:rPr>
                <w:sz w:val="16"/>
                <w:szCs w:val="16"/>
              </w:rPr>
              <w:t>_flag [ xA ][ yA ]</w:t>
            </w:r>
          </w:p>
        </w:tc>
        <w:tc>
          <w:tcPr>
            <w:tcW w:w="2337" w:type="dxa"/>
            <w:shd w:val="clear" w:color="auto" w:fill="auto"/>
          </w:tcPr>
          <w:p w:rsidR="00C31A10" w:rsidRPr="00F60F40" w:rsidRDefault="00C31A10" w:rsidP="0019732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( condL &amp;&amp; availableL ) + ( condA &amp;&amp; availableA )</w:t>
            </w:r>
          </w:p>
        </w:tc>
      </w:tr>
    </w:tbl>
    <w:p w:rsidR="00C31A10" w:rsidRPr="006D7A2B" w:rsidRDefault="00C31A10" w:rsidP="00C31A10">
      <w:pPr>
        <w:pStyle w:val="3N"/>
      </w:pPr>
    </w:p>
    <w:p w:rsidR="00AD274C" w:rsidRPr="00A66091" w:rsidRDefault="00197322" w:rsidP="005A4BBA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In HEVC design, </w:t>
      </w:r>
      <w:r w:rsidR="00AA7F37">
        <w:rPr>
          <w:szCs w:val="22"/>
          <w:lang w:val="en-CA" w:eastAsia="ja-JP"/>
        </w:rPr>
        <w:t>referring</w:t>
      </w:r>
      <w:r>
        <w:rPr>
          <w:rFonts w:hint="eastAsia"/>
          <w:szCs w:val="22"/>
          <w:lang w:val="en-CA" w:eastAsia="ja-JP"/>
        </w:rPr>
        <w:t xml:space="preserve"> syntax elements of the </w:t>
      </w:r>
      <w:r w:rsidR="00AA7F37">
        <w:rPr>
          <w:szCs w:val="22"/>
          <w:lang w:val="en-CA" w:eastAsia="ja-JP"/>
        </w:rPr>
        <w:t>neighbouring</w:t>
      </w:r>
      <w:r>
        <w:rPr>
          <w:rFonts w:hint="eastAsia"/>
          <w:szCs w:val="22"/>
          <w:lang w:val="en-CA" w:eastAsia="ja-JP"/>
        </w:rPr>
        <w:t xml:space="preserve"> regions are not </w:t>
      </w:r>
      <w:r w:rsidR="00AA7F37">
        <w:rPr>
          <w:szCs w:val="22"/>
          <w:lang w:val="en-CA" w:eastAsia="ja-JP"/>
        </w:rPr>
        <w:t>preferred</w:t>
      </w:r>
      <w:r>
        <w:rPr>
          <w:rFonts w:hint="eastAsia"/>
          <w:szCs w:val="22"/>
          <w:lang w:val="en-CA" w:eastAsia="ja-JP"/>
        </w:rPr>
        <w:t xml:space="preserve"> since it causes memory increase to store those syntax elements. </w:t>
      </w:r>
      <w:r w:rsidR="00AA7F37">
        <w:rPr>
          <w:rFonts w:hint="eastAsia"/>
          <w:szCs w:val="22"/>
          <w:lang w:val="en-CA" w:eastAsia="ja-JP"/>
        </w:rPr>
        <w:t xml:space="preserve">In addition, availability </w:t>
      </w:r>
      <w:r w:rsidR="00B36E84">
        <w:rPr>
          <w:rFonts w:hint="eastAsia"/>
          <w:szCs w:val="22"/>
          <w:lang w:val="en-CA" w:eastAsia="ja-JP"/>
        </w:rPr>
        <w:t>check</w:t>
      </w:r>
      <w:r w:rsidR="002B1A52">
        <w:rPr>
          <w:rFonts w:hint="eastAsia"/>
          <w:szCs w:val="22"/>
          <w:lang w:val="en-CA" w:eastAsia="ja-JP"/>
        </w:rPr>
        <w:t>s</w:t>
      </w:r>
      <w:r w:rsidR="00B36E84">
        <w:rPr>
          <w:rFonts w:hint="eastAsia"/>
          <w:szCs w:val="22"/>
          <w:lang w:val="en-CA" w:eastAsia="ja-JP"/>
        </w:rPr>
        <w:t xml:space="preserve"> </w:t>
      </w:r>
      <w:r w:rsidR="00AA7F37">
        <w:rPr>
          <w:rFonts w:hint="eastAsia"/>
          <w:szCs w:val="22"/>
          <w:lang w:val="en-CA" w:eastAsia="ja-JP"/>
        </w:rPr>
        <w:t xml:space="preserve">of the </w:t>
      </w:r>
      <w:r w:rsidR="00AA7F37">
        <w:rPr>
          <w:szCs w:val="22"/>
          <w:lang w:val="en-CA" w:eastAsia="ja-JP"/>
        </w:rPr>
        <w:t>neighbouring</w:t>
      </w:r>
      <w:r w:rsidR="00AA7F37">
        <w:rPr>
          <w:rFonts w:hint="eastAsia"/>
          <w:szCs w:val="22"/>
          <w:lang w:val="en-CA" w:eastAsia="ja-JP"/>
        </w:rPr>
        <w:t xml:space="preserve"> regions </w:t>
      </w:r>
      <w:r w:rsidR="002B1A52">
        <w:rPr>
          <w:rFonts w:hint="eastAsia"/>
          <w:szCs w:val="22"/>
          <w:lang w:val="en-CA" w:eastAsia="ja-JP"/>
        </w:rPr>
        <w:t>are</w:t>
      </w:r>
      <w:r w:rsidR="00B36E84">
        <w:rPr>
          <w:rFonts w:hint="eastAsia"/>
          <w:szCs w:val="22"/>
          <w:lang w:val="en-CA" w:eastAsia="ja-JP"/>
        </w:rPr>
        <w:t xml:space="preserve"> </w:t>
      </w:r>
      <w:r w:rsidR="00AA7F37">
        <w:rPr>
          <w:rFonts w:hint="eastAsia"/>
          <w:szCs w:val="22"/>
          <w:lang w:val="en-CA" w:eastAsia="ja-JP"/>
        </w:rPr>
        <w:t>need</w:t>
      </w:r>
      <w:r w:rsidR="00B36E84">
        <w:rPr>
          <w:rFonts w:hint="eastAsia"/>
          <w:szCs w:val="22"/>
          <w:lang w:val="en-CA" w:eastAsia="ja-JP"/>
        </w:rPr>
        <w:t>ded</w:t>
      </w:r>
      <w:r w:rsidR="00AA7F37">
        <w:rPr>
          <w:rFonts w:hint="eastAsia"/>
          <w:szCs w:val="22"/>
          <w:lang w:val="en-CA" w:eastAsia="ja-JP"/>
        </w:rPr>
        <w:t xml:space="preserve"> during the parsing process. Therefore, the context derivation method independent of information in </w:t>
      </w:r>
      <w:r w:rsidR="00AA7F37">
        <w:rPr>
          <w:szCs w:val="22"/>
          <w:lang w:val="en-CA" w:eastAsia="ja-JP"/>
        </w:rPr>
        <w:t>neighbouring</w:t>
      </w:r>
      <w:r w:rsidR="00AA7F37">
        <w:rPr>
          <w:rFonts w:hint="eastAsia"/>
          <w:szCs w:val="22"/>
          <w:lang w:val="en-CA" w:eastAsia="ja-JP"/>
        </w:rPr>
        <w:t xml:space="preserve"> regions is useful also for texture_rl_flag.</w:t>
      </w:r>
    </w:p>
    <w:p w:rsidR="00E61DAC" w:rsidRDefault="002732D3" w:rsidP="00932787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method</w:t>
      </w:r>
    </w:p>
    <w:p w:rsidR="00474409" w:rsidRDefault="00CD1697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propose the CU-size dependent context for texture_rl_flag. </w:t>
      </w:r>
      <w:r w:rsidR="00827063">
        <w:rPr>
          <w:rFonts w:hint="eastAsia"/>
          <w:lang w:val="en-CA" w:eastAsia="ja-JP"/>
        </w:rPr>
        <w:t xml:space="preserve">More precisely, </w:t>
      </w:r>
      <w:r w:rsidR="00310DC4">
        <w:rPr>
          <w:rFonts w:hint="eastAsia"/>
          <w:lang w:val="en-CA" w:eastAsia="ja-JP"/>
        </w:rPr>
        <w:t>CtDepth</w:t>
      </w:r>
      <w:r w:rsidR="00827063">
        <w:rPr>
          <w:rFonts w:hint="eastAsia"/>
          <w:lang w:val="en-CA" w:eastAsia="ja-JP"/>
        </w:rPr>
        <w:t xml:space="preserve"> of the current CU is used to derive </w:t>
      </w:r>
      <w:r w:rsidR="00407C60">
        <w:rPr>
          <w:rFonts w:hint="eastAsia"/>
          <w:lang w:val="en-CA" w:eastAsia="ja-JP"/>
        </w:rPr>
        <w:t>ctxIdxInc</w:t>
      </w:r>
      <w:r w:rsidR="00827063">
        <w:rPr>
          <w:rFonts w:hint="eastAsia"/>
          <w:lang w:val="en-CA" w:eastAsia="ja-JP"/>
        </w:rPr>
        <w:t xml:space="preserve">. </w:t>
      </w:r>
      <w:r>
        <w:rPr>
          <w:rFonts w:hint="eastAsia"/>
          <w:lang w:val="en-CA" w:eastAsia="ja-JP"/>
        </w:rPr>
        <w:t>Th</w:t>
      </w:r>
      <w:r w:rsidR="00BA504E">
        <w:rPr>
          <w:rFonts w:hint="eastAsia"/>
          <w:lang w:val="en-CA" w:eastAsia="ja-JP"/>
        </w:rPr>
        <w:t xml:space="preserve">e association between </w:t>
      </w:r>
      <w:r w:rsidR="00407C60">
        <w:rPr>
          <w:rFonts w:hint="eastAsia"/>
          <w:lang w:val="en-CA" w:eastAsia="ja-JP"/>
        </w:rPr>
        <w:t>ctxIdxInc</w:t>
      </w:r>
      <w:r w:rsidR="00BA504E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and C</w:t>
      </w:r>
      <w:r w:rsidR="00310DC4">
        <w:rPr>
          <w:rFonts w:hint="eastAsia"/>
          <w:lang w:val="en-CA" w:eastAsia="ja-JP"/>
        </w:rPr>
        <w:t>tDepth</w:t>
      </w:r>
      <w:r>
        <w:rPr>
          <w:rFonts w:hint="eastAsia"/>
          <w:lang w:val="en-CA" w:eastAsia="ja-JP"/>
        </w:rPr>
        <w:t xml:space="preserve"> are shown in Table 2.</w:t>
      </w:r>
      <w:r w:rsidR="00E20CA6">
        <w:rPr>
          <w:rFonts w:hint="eastAsia"/>
          <w:lang w:val="en-CA" w:eastAsia="ja-JP"/>
        </w:rPr>
        <w:t xml:space="preserve"> It also contains corresponding CU sizes when </w:t>
      </w:r>
      <w:r w:rsidR="00DB701C" w:rsidRPr="00943A5F">
        <w:rPr>
          <w:noProof/>
        </w:rPr>
        <w:t>CtbSize</w:t>
      </w:r>
      <w:r w:rsidR="00DB701C">
        <w:rPr>
          <w:noProof/>
        </w:rPr>
        <w:t>Y</w:t>
      </w:r>
      <w:r w:rsidR="00DB701C">
        <w:rPr>
          <w:rFonts w:hint="eastAsia"/>
          <w:lang w:val="en-CA" w:eastAsia="ja-JP"/>
        </w:rPr>
        <w:t xml:space="preserve"> </w:t>
      </w:r>
      <w:r w:rsidR="00310DC4">
        <w:rPr>
          <w:rFonts w:hint="eastAsia"/>
          <w:lang w:val="en-CA" w:eastAsia="ja-JP"/>
        </w:rPr>
        <w:t xml:space="preserve">is </w:t>
      </w:r>
      <w:r w:rsidR="00E20CA6">
        <w:rPr>
          <w:rFonts w:hint="eastAsia"/>
          <w:lang w:val="en-CA" w:eastAsia="ja-JP"/>
        </w:rPr>
        <w:t>64x64</w:t>
      </w:r>
      <w:r w:rsidR="002B1A52">
        <w:rPr>
          <w:rFonts w:hint="eastAsia"/>
          <w:lang w:val="en-CA" w:eastAsia="ja-JP"/>
        </w:rPr>
        <w:t xml:space="preserve"> and MaxCuDepth is 3</w:t>
      </w:r>
      <w:r w:rsidR="00E20CA6">
        <w:rPr>
          <w:rFonts w:hint="eastAsia"/>
          <w:lang w:val="en-CA" w:eastAsia="ja-JP"/>
        </w:rPr>
        <w:t>.</w:t>
      </w:r>
      <w:r w:rsidR="00C609D5">
        <w:rPr>
          <w:rFonts w:hint="eastAsia"/>
          <w:lang w:val="en-CA" w:eastAsia="ja-JP"/>
        </w:rPr>
        <w:t xml:space="preserve"> </w:t>
      </w:r>
      <w:r w:rsidR="00DA666B">
        <w:rPr>
          <w:rFonts w:hint="eastAsia"/>
          <w:lang w:val="en-CA" w:eastAsia="ja-JP"/>
        </w:rPr>
        <w:t>The number of contexts is three, which is the same as that of SHM1.</w:t>
      </w:r>
    </w:p>
    <w:p w:rsidR="006D7D1F" w:rsidRPr="00DA666B" w:rsidRDefault="006D7D1F" w:rsidP="002732D3">
      <w:pPr>
        <w:rPr>
          <w:lang w:val="en-CA" w:eastAsia="ja-JP"/>
        </w:rPr>
      </w:pPr>
    </w:p>
    <w:p w:rsidR="002318D1" w:rsidRDefault="00C15B04" w:rsidP="00033989">
      <w:pPr>
        <w:pStyle w:val="ab"/>
        <w:jc w:val="center"/>
        <w:rPr>
          <w:lang w:eastAsia="ja-JP"/>
        </w:rPr>
      </w:pPr>
      <w:r>
        <w:rPr>
          <w:rFonts w:hint="eastAsia"/>
        </w:rPr>
        <w:lastRenderedPageBreak/>
        <w:t>Table</w:t>
      </w:r>
      <w:r>
        <w:rPr>
          <w:rFonts w:hint="eastAsia"/>
          <w:lang w:eastAsia="ja-JP"/>
        </w:rPr>
        <w:t xml:space="preserve"> </w:t>
      </w:r>
      <w:r w:rsidR="00CD1697" w:rsidRPr="00EA7C96">
        <w:rPr>
          <w:rFonts w:hint="eastAsia"/>
        </w:rPr>
        <w:t>2</w:t>
      </w:r>
      <w:r>
        <w:rPr>
          <w:rFonts w:hint="eastAsia"/>
          <w:lang w:eastAsia="ja-JP"/>
        </w:rPr>
        <w:t>.</w:t>
      </w:r>
      <w:r w:rsidR="002318D1" w:rsidRPr="00EA7C96">
        <w:rPr>
          <w:rFonts w:hint="eastAsia"/>
        </w:rPr>
        <w:t xml:space="preserve"> </w:t>
      </w:r>
      <w:r w:rsidR="00CD1697" w:rsidRPr="00EA7C96">
        <w:rPr>
          <w:rFonts w:hint="eastAsia"/>
        </w:rPr>
        <w:t xml:space="preserve">Association between contexts </w:t>
      </w:r>
      <w:r w:rsidR="00BA504E" w:rsidRPr="00EA7C96">
        <w:rPr>
          <w:rFonts w:hint="eastAsia"/>
        </w:rPr>
        <w:t xml:space="preserve">(ctxIdxInc) </w:t>
      </w:r>
      <w:r w:rsidR="00CD1697" w:rsidRPr="00EA7C96">
        <w:rPr>
          <w:rFonts w:hint="eastAsia"/>
        </w:rPr>
        <w:t>and CU sizes in the proposed method</w:t>
      </w:r>
    </w:p>
    <w:p w:rsidR="00F530CD" w:rsidRPr="00C15B04" w:rsidRDefault="00F530CD" w:rsidP="00F530CD">
      <w:pPr>
        <w:rPr>
          <w:lang w:eastAsia="ja-JP"/>
        </w:rPr>
      </w:pPr>
    </w:p>
    <w:tbl>
      <w:tblPr>
        <w:tblW w:w="0" w:type="auto"/>
        <w:jc w:val="center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9"/>
        <w:gridCol w:w="2466"/>
        <w:gridCol w:w="2787"/>
      </w:tblGrid>
      <w:tr w:rsidR="00310DC4" w:rsidTr="00310DC4">
        <w:trPr>
          <w:jc w:val="center"/>
        </w:trPr>
        <w:tc>
          <w:tcPr>
            <w:tcW w:w="2729" w:type="dxa"/>
          </w:tcPr>
          <w:p w:rsidR="00310DC4" w:rsidRDefault="00310DC4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CtDepth</w:t>
            </w:r>
          </w:p>
        </w:tc>
        <w:tc>
          <w:tcPr>
            <w:tcW w:w="2466" w:type="dxa"/>
          </w:tcPr>
          <w:p w:rsidR="00310DC4" w:rsidRDefault="00310DC4" w:rsidP="00F371FA">
            <w:pPr>
              <w:jc w:val="center"/>
            </w:pPr>
            <w:r>
              <w:rPr>
                <w:rFonts w:hint="eastAsia"/>
                <w:lang w:eastAsia="ja-JP"/>
              </w:rPr>
              <w:t>ctxIdxInc</w:t>
            </w:r>
          </w:p>
        </w:tc>
        <w:tc>
          <w:tcPr>
            <w:tcW w:w="2787" w:type="dxa"/>
          </w:tcPr>
          <w:p w:rsidR="00310DC4" w:rsidRDefault="00310DC4" w:rsidP="00310DC4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 Note</w:t>
            </w:r>
          </w:p>
          <w:p w:rsidR="00310DC4" w:rsidRDefault="00310DC4" w:rsidP="00310DC4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(corresponding CU size)</w:t>
            </w:r>
          </w:p>
        </w:tc>
      </w:tr>
      <w:tr w:rsidR="00310DC4" w:rsidTr="00310DC4">
        <w:trPr>
          <w:jc w:val="center"/>
        </w:trPr>
        <w:tc>
          <w:tcPr>
            <w:tcW w:w="2729" w:type="dxa"/>
          </w:tcPr>
          <w:p w:rsidR="00E57029" w:rsidRDefault="00310DC4" w:rsidP="00101CBA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0,</w:t>
            </w:r>
          </w:p>
          <w:p w:rsidR="00310DC4" w:rsidRDefault="00310DC4" w:rsidP="0096255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1 </w:t>
            </w:r>
            <w:r w:rsidR="00E57029">
              <w:rPr>
                <w:rFonts w:hint="eastAsia"/>
                <w:lang w:eastAsia="ja-JP"/>
              </w:rPr>
              <w:t xml:space="preserve">  </w:t>
            </w:r>
            <w:r>
              <w:rPr>
                <w:rFonts w:hint="eastAsia"/>
                <w:lang w:eastAsia="ja-JP"/>
              </w:rPr>
              <w:t xml:space="preserve">(&lt; </w:t>
            </w:r>
            <w:r w:rsidR="00962554">
              <w:rPr>
                <w:rFonts w:hint="eastAsia"/>
                <w:lang w:eastAsia="ja-JP"/>
              </w:rPr>
              <w:t>MaxCuDepth</w:t>
            </w:r>
            <w:r>
              <w:rPr>
                <w:rFonts w:hint="eastAsia"/>
                <w:lang w:eastAsia="ja-JP"/>
              </w:rPr>
              <w:t>-1)</w:t>
            </w:r>
          </w:p>
        </w:tc>
        <w:tc>
          <w:tcPr>
            <w:tcW w:w="2466" w:type="dxa"/>
          </w:tcPr>
          <w:p w:rsidR="00310DC4" w:rsidRDefault="00310DC4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0</w:t>
            </w:r>
          </w:p>
        </w:tc>
        <w:tc>
          <w:tcPr>
            <w:tcW w:w="2787" w:type="dxa"/>
          </w:tcPr>
          <w:p w:rsidR="00FA6AC8" w:rsidRDefault="00310DC4" w:rsidP="00FA6AC8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64x64</w:t>
            </w:r>
            <w:r w:rsidR="002B7EA9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/</w:t>
            </w:r>
            <w:r w:rsidR="002B7EA9">
              <w:rPr>
                <w:rFonts w:hint="eastAsia"/>
                <w:lang w:eastAsia="ja-JP"/>
              </w:rPr>
              <w:t xml:space="preserve"> </w:t>
            </w:r>
          </w:p>
          <w:p w:rsidR="0007323E" w:rsidRDefault="00310DC4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32x32</w:t>
            </w:r>
          </w:p>
        </w:tc>
      </w:tr>
      <w:tr w:rsidR="00310DC4" w:rsidTr="00310DC4">
        <w:trPr>
          <w:jc w:val="center"/>
        </w:trPr>
        <w:tc>
          <w:tcPr>
            <w:tcW w:w="2729" w:type="dxa"/>
          </w:tcPr>
          <w:p w:rsidR="00310DC4" w:rsidRDefault="00310DC4" w:rsidP="00962554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   (</w:t>
            </w:r>
            <w:r w:rsidR="00962554">
              <w:rPr>
                <w:rFonts w:hint="eastAsia"/>
                <w:lang w:eastAsia="ja-JP"/>
              </w:rPr>
              <w:t>MaxCuDepth</w:t>
            </w:r>
            <w:r>
              <w:rPr>
                <w:rFonts w:hint="eastAsia"/>
                <w:lang w:eastAsia="ja-JP"/>
              </w:rPr>
              <w:t>-1)</w:t>
            </w:r>
          </w:p>
        </w:tc>
        <w:tc>
          <w:tcPr>
            <w:tcW w:w="2466" w:type="dxa"/>
          </w:tcPr>
          <w:p w:rsidR="00310DC4" w:rsidRDefault="00310DC4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</w:t>
            </w:r>
          </w:p>
        </w:tc>
        <w:tc>
          <w:tcPr>
            <w:tcW w:w="2787" w:type="dxa"/>
          </w:tcPr>
          <w:p w:rsidR="00310DC4" w:rsidRDefault="00310DC4" w:rsidP="00F371FA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16x16</w:t>
            </w:r>
          </w:p>
        </w:tc>
      </w:tr>
      <w:tr w:rsidR="00310DC4" w:rsidTr="00310DC4">
        <w:trPr>
          <w:jc w:val="center"/>
        </w:trPr>
        <w:tc>
          <w:tcPr>
            <w:tcW w:w="2729" w:type="dxa"/>
          </w:tcPr>
          <w:p w:rsidR="00310DC4" w:rsidRDefault="00310DC4" w:rsidP="00962554">
            <w:pPr>
              <w:overflowPunct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   (</w:t>
            </w:r>
            <w:r w:rsidR="00962554">
              <w:rPr>
                <w:rFonts w:hint="eastAsia"/>
                <w:lang w:eastAsia="ja-JP"/>
              </w:rPr>
              <w:t>MaxCuDepth</w:t>
            </w:r>
            <w:r>
              <w:rPr>
                <w:rFonts w:hint="eastAsia"/>
                <w:lang w:eastAsia="ja-JP"/>
              </w:rPr>
              <w:t>)</w:t>
            </w:r>
          </w:p>
        </w:tc>
        <w:tc>
          <w:tcPr>
            <w:tcW w:w="2466" w:type="dxa"/>
          </w:tcPr>
          <w:p w:rsidR="00310DC4" w:rsidRDefault="00310DC4" w:rsidP="00755875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</w:t>
            </w:r>
          </w:p>
        </w:tc>
        <w:tc>
          <w:tcPr>
            <w:tcW w:w="2787" w:type="dxa"/>
          </w:tcPr>
          <w:p w:rsidR="00310DC4" w:rsidRDefault="00310DC4" w:rsidP="00755875">
            <w:pPr>
              <w:overflowPunct/>
              <w:jc w:val="center"/>
              <w:textAlignment w:val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8x8</w:t>
            </w:r>
          </w:p>
        </w:tc>
      </w:tr>
    </w:tbl>
    <w:p w:rsidR="00B36E84" w:rsidRDefault="00B36E84" w:rsidP="002732D3">
      <w:pPr>
        <w:rPr>
          <w:lang w:val="en-CA" w:eastAsia="ja-JP"/>
        </w:rPr>
      </w:pPr>
    </w:p>
    <w:p w:rsidR="00BE4A48" w:rsidRDefault="00BE4A48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think it </w:t>
      </w:r>
      <w:r w:rsidR="00CF16BD">
        <w:rPr>
          <w:rFonts w:hint="eastAsia"/>
          <w:lang w:val="en-CA" w:eastAsia="ja-JP"/>
        </w:rPr>
        <w:t xml:space="preserve">is </w:t>
      </w:r>
      <w:r>
        <w:rPr>
          <w:rFonts w:hint="eastAsia"/>
          <w:lang w:val="en-CA" w:eastAsia="ja-JP"/>
        </w:rPr>
        <w:t xml:space="preserve">reasonable to determine context of texture_rl_flag based on CU sizes since the statistics of texture_rl_flag </w:t>
      </w:r>
      <w:r w:rsidR="009B1563">
        <w:rPr>
          <w:rFonts w:hint="eastAsia"/>
          <w:lang w:val="en-CA" w:eastAsia="ja-JP"/>
        </w:rPr>
        <w:t>reveals</w:t>
      </w:r>
      <w:r w:rsidR="00B36E84">
        <w:rPr>
          <w:rFonts w:hint="eastAsia"/>
          <w:lang w:val="en-CA" w:eastAsia="ja-JP"/>
        </w:rPr>
        <w:t xml:space="preserve"> it </w:t>
      </w:r>
      <w:r>
        <w:rPr>
          <w:rFonts w:hint="eastAsia"/>
          <w:lang w:val="en-CA" w:eastAsia="ja-JP"/>
        </w:rPr>
        <w:t>depends on CU sizes as shown in Figure 1.</w:t>
      </w:r>
    </w:p>
    <w:p w:rsidR="00AD0019" w:rsidRDefault="00ED1AC2" w:rsidP="002732D3">
      <w:pPr>
        <w:rPr>
          <w:lang w:val="en-CA" w:eastAsia="ja-JP"/>
        </w:rPr>
      </w:pPr>
      <w:r w:rsidRPr="00ED1AC2">
        <w:rPr>
          <w:lang w:val="en-CA" w:eastAsia="ja-JP"/>
        </w:rPr>
      </w:r>
      <w:r>
        <w:rPr>
          <w:lang w:val="en-CA" w:eastAsia="ja-JP"/>
        </w:rPr>
        <w:pict>
          <v:group id="_x0000_s1051" editas="canvas" style="width:468pt;height:428.55pt;mso-position-horizontal-relative:char;mso-position-vertical-relative:line" coordorigin="1440,4267" coordsize="9360,857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0" type="#_x0000_t75" style="position:absolute;left:1440;top:4267;width:9360;height:8571" o:preferrelative="f">
              <v:fill o:detectmouseclick="t"/>
              <v:path o:extrusionok="t" o:connecttype="none"/>
              <o:lock v:ext="edit" text="t"/>
            </v:shape>
            <v:shape id="_x0000_s1052" type="#_x0000_t75" style="position:absolute;left:2169;top:4445;width:3584;height:2162">
              <v:imagedata r:id="rId10" o:title=""/>
            </v:shape>
            <v:shape id="_x0000_s1053" type="#_x0000_t75" style="position:absolute;left:2152;top:7148;width:3619;height:2179" o:preferrelative="f">
              <v:imagedata r:id="rId11" o:title=""/>
            </v:shape>
            <v:shape id="_x0000_s1054" type="#_x0000_t75" style="position:absolute;left:2152;top:9972;width:3619;height:2181" o:preferrelative="f">
              <v:imagedata r:id="rId12" o:title=""/>
            </v:shape>
            <v:shape id="_x0000_s1055" type="#_x0000_t75" style="position:absolute;left:6404;top:4433;width:3619;height:2185" o:preferrelative="f">
              <v:imagedata r:id="rId13" o:title=""/>
            </v:shape>
            <v:shape id="_x0000_s1056" type="#_x0000_t75" style="position:absolute;left:6403;top:7148;width:3620;height:2179" o:preferrelative="f">
              <v:imagedata r:id="rId14" o:title=""/>
            </v:shape>
            <v:shape id="_x0000_s1057" type="#_x0000_t75" style="position:absolute;left:6403;top:9971;width:3620;height:2180" o:preferrelative="f">
              <v:imagedata r:id="rId1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3363;top:6696;width:1196;height:340" stroked="f">
              <v:textbox inset="5.85pt,.7pt,5.85pt,.7pt">
                <w:txbxContent>
                  <w:p w:rsidR="00310DC4" w:rsidRDefault="00310DC4" w:rsidP="005D70EF">
                    <w:pPr>
                      <w:spacing w:before="0"/>
                      <w:rPr>
                        <w:lang w:eastAsia="ja-JP"/>
                      </w:rPr>
                    </w:pPr>
                    <w:r>
                      <w:rPr>
                        <w:rFonts w:hint="eastAsia"/>
                        <w:lang w:eastAsia="ja-JP"/>
                      </w:rPr>
                      <w:t>(a) AI 2x</w:t>
                    </w:r>
                  </w:p>
                </w:txbxContent>
              </v:textbox>
            </v:shape>
            <v:shape id="_x0000_s1060" type="#_x0000_t202" style="position:absolute;left:3363;top:9397;width:1196;height:340" stroked="f">
              <v:textbox inset="5.85pt,.7pt,5.85pt,.7pt">
                <w:txbxContent>
                  <w:p w:rsidR="00310DC4" w:rsidRDefault="00310DC4" w:rsidP="005D70EF">
                    <w:pPr>
                      <w:spacing w:before="0"/>
                      <w:rPr>
                        <w:lang w:eastAsia="ja-JP"/>
                      </w:rPr>
                    </w:pPr>
                    <w:r>
                      <w:rPr>
                        <w:rFonts w:hint="eastAsia"/>
                        <w:lang w:eastAsia="ja-JP"/>
                      </w:rPr>
                      <w:t>(b) RA 2x</w:t>
                    </w:r>
                  </w:p>
                </w:txbxContent>
              </v:textbox>
            </v:shape>
            <v:shape id="_x0000_s1061" type="#_x0000_t202" style="position:absolute;left:3363;top:12226;width:1196;height:340" stroked="f">
              <v:textbox inset="5.85pt,.7pt,5.85pt,.7pt">
                <w:txbxContent>
                  <w:p w:rsidR="00310DC4" w:rsidRDefault="00310DC4" w:rsidP="005D70EF">
                    <w:pPr>
                      <w:spacing w:before="0"/>
                      <w:rPr>
                        <w:lang w:eastAsia="ja-JP"/>
                      </w:rPr>
                    </w:pPr>
                    <w:r>
                      <w:rPr>
                        <w:rFonts w:hint="eastAsia"/>
                        <w:lang w:eastAsia="ja-JP"/>
                      </w:rPr>
                      <w:t>(c) LP 2x</w:t>
                    </w:r>
                  </w:p>
                </w:txbxContent>
              </v:textbox>
            </v:shape>
            <v:shape id="_x0000_s1062" type="#_x0000_t202" style="position:absolute;left:7506;top:6696;width:1413;height:340" stroked="f">
              <v:textbox inset="5.85pt,.7pt,5.85pt,.7pt">
                <w:txbxContent>
                  <w:p w:rsidR="00310DC4" w:rsidRDefault="00310DC4" w:rsidP="005D70EF">
                    <w:pPr>
                      <w:spacing w:before="0"/>
                      <w:rPr>
                        <w:lang w:eastAsia="ja-JP"/>
                      </w:rPr>
                    </w:pPr>
                    <w:r>
                      <w:rPr>
                        <w:rFonts w:hint="eastAsia"/>
                        <w:lang w:eastAsia="ja-JP"/>
                      </w:rPr>
                      <w:t>(d) AI SNR</w:t>
                    </w:r>
                  </w:p>
                </w:txbxContent>
              </v:textbox>
            </v:shape>
            <v:shape id="_x0000_s1063" type="#_x0000_t202" style="position:absolute;left:7449;top:9397;width:1528;height:340" stroked="f">
              <v:textbox inset="5.85pt,.7pt,5.85pt,.7pt">
                <w:txbxContent>
                  <w:p w:rsidR="00310DC4" w:rsidRDefault="00310DC4" w:rsidP="005D70EF">
                    <w:pPr>
                      <w:spacing w:before="0"/>
                      <w:rPr>
                        <w:lang w:eastAsia="ja-JP"/>
                      </w:rPr>
                    </w:pPr>
                    <w:r>
                      <w:rPr>
                        <w:rFonts w:hint="eastAsia"/>
                        <w:lang w:eastAsia="ja-JP"/>
                      </w:rPr>
                      <w:t>(e) RA SNR</w:t>
                    </w:r>
                  </w:p>
                </w:txbxContent>
              </v:textbox>
            </v:shape>
            <v:shape id="_x0000_s1064" type="#_x0000_t202" style="position:absolute;left:7449;top:12226;width:1528;height:340" stroked="f">
              <v:textbox inset="5.85pt,.7pt,5.85pt,.7pt">
                <w:txbxContent>
                  <w:p w:rsidR="00310DC4" w:rsidRDefault="00310DC4" w:rsidP="005D70EF">
                    <w:pPr>
                      <w:spacing w:before="0"/>
                      <w:rPr>
                        <w:lang w:eastAsia="ja-JP"/>
                      </w:rPr>
                    </w:pPr>
                    <w:r>
                      <w:rPr>
                        <w:rFonts w:hint="eastAsia"/>
                        <w:lang w:eastAsia="ja-JP"/>
                      </w:rPr>
                      <w:t>(f) LP SNR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21033" w:rsidRPr="0096480A" w:rsidRDefault="003D5220" w:rsidP="0096480A">
      <w:pPr>
        <w:pStyle w:val="ab"/>
        <w:keepNext/>
        <w:jc w:val="center"/>
        <w:rPr>
          <w:lang w:eastAsia="ja-JP"/>
        </w:rPr>
      </w:pPr>
      <w:r>
        <w:rPr>
          <w:rFonts w:hint="eastAsia"/>
        </w:rPr>
        <w:t>Figure 1</w:t>
      </w:r>
      <w:r>
        <w:rPr>
          <w:rFonts w:hint="eastAsia"/>
          <w:lang w:eastAsia="ja-JP"/>
        </w:rPr>
        <w:t>.</w:t>
      </w:r>
      <w:r w:rsidR="00AD0019" w:rsidRPr="0096480A">
        <w:rPr>
          <w:rFonts w:hint="eastAsia"/>
        </w:rPr>
        <w:t xml:space="preserve"> CU types distributions </w:t>
      </w:r>
      <w:r w:rsidR="00860216" w:rsidRPr="0096480A">
        <w:rPr>
          <w:rFonts w:hint="eastAsia"/>
        </w:rPr>
        <w:t xml:space="preserve">in </w:t>
      </w:r>
      <w:r w:rsidR="00496072">
        <w:rPr>
          <w:rFonts w:hint="eastAsia"/>
          <w:lang w:eastAsia="ja-JP"/>
        </w:rPr>
        <w:t xml:space="preserve">SHM1 </w:t>
      </w:r>
      <w:r w:rsidR="00496072">
        <w:rPr>
          <w:rFonts w:hint="eastAsia"/>
        </w:rPr>
        <w:t xml:space="preserve">enhancement layer </w:t>
      </w:r>
      <w:r w:rsidR="00496072">
        <w:rPr>
          <w:lang w:eastAsia="ja-JP"/>
        </w:rPr>
        <w:br/>
      </w:r>
      <w:r w:rsidR="00496072">
        <w:rPr>
          <w:rFonts w:hint="eastAsia"/>
        </w:rPr>
        <w:t>(</w:t>
      </w:r>
      <w:r w:rsidR="00496072">
        <w:rPr>
          <w:rFonts w:hint="eastAsia"/>
          <w:lang w:eastAsia="ja-JP"/>
        </w:rPr>
        <w:t xml:space="preserve">EL </w:t>
      </w:r>
      <w:r w:rsidR="00496072">
        <w:rPr>
          <w:rFonts w:hint="eastAsia"/>
        </w:rPr>
        <w:t xml:space="preserve">IBL </w:t>
      </w:r>
      <w:r w:rsidR="00496072">
        <w:rPr>
          <w:rFonts w:hint="eastAsia"/>
          <w:lang w:eastAsia="ja-JP"/>
        </w:rPr>
        <w:t xml:space="preserve">corresponds to the </w:t>
      </w:r>
      <w:r w:rsidR="00496072">
        <w:rPr>
          <w:rFonts w:hint="eastAsia"/>
        </w:rPr>
        <w:t>ratio of</w:t>
      </w:r>
      <w:r w:rsidR="00496072">
        <w:rPr>
          <w:rFonts w:hint="eastAsia"/>
          <w:lang w:eastAsia="ja-JP"/>
        </w:rPr>
        <w:t xml:space="preserve"> CU coded with TexturRL prediction</w:t>
      </w:r>
      <w:r w:rsidR="00496072">
        <w:rPr>
          <w:rFonts w:hint="eastAsia"/>
        </w:rPr>
        <w:t>)</w:t>
      </w:r>
    </w:p>
    <w:p w:rsidR="00621033" w:rsidRPr="003D5220" w:rsidRDefault="00621033" w:rsidP="002732D3">
      <w:pPr>
        <w:rPr>
          <w:lang w:eastAsia="ja-JP"/>
        </w:rPr>
      </w:pPr>
    </w:p>
    <w:p w:rsidR="001F2594" w:rsidRPr="005B217D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Experimental results</w:t>
      </w:r>
    </w:p>
    <w:p w:rsidR="000220BE" w:rsidRPr="005260DC" w:rsidRDefault="00007FBF" w:rsidP="00C87820">
      <w:pPr>
        <w:jc w:val="both"/>
        <w:rPr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The proposed method is implemented on </w:t>
      </w:r>
      <w:r w:rsidR="006C4DA1">
        <w:rPr>
          <w:rFonts w:hint="eastAsia"/>
          <w:szCs w:val="22"/>
          <w:lang w:val="en-CA" w:eastAsia="ja-JP"/>
        </w:rPr>
        <w:t>SHM</w:t>
      </w:r>
      <w:r w:rsidR="00DD35AD">
        <w:rPr>
          <w:rFonts w:hint="eastAsia"/>
          <w:szCs w:val="22"/>
          <w:lang w:val="en-CA" w:eastAsia="ja-JP"/>
        </w:rPr>
        <w:t>-</w:t>
      </w:r>
      <w:r w:rsidR="006C4DA1">
        <w:rPr>
          <w:rFonts w:hint="eastAsia"/>
          <w:szCs w:val="22"/>
          <w:lang w:val="en-CA" w:eastAsia="ja-JP"/>
        </w:rPr>
        <w:t xml:space="preserve">1.0 </w:t>
      </w:r>
      <w:r w:rsidR="00DD35AD">
        <w:rPr>
          <w:rFonts w:hint="eastAsia"/>
          <w:szCs w:val="22"/>
          <w:lang w:val="en-CA" w:eastAsia="ja-JP"/>
        </w:rPr>
        <w:t xml:space="preserve">reference software. </w:t>
      </w:r>
      <w:r w:rsidR="00D43D1A">
        <w:rPr>
          <w:rFonts w:hint="eastAsia"/>
          <w:szCs w:val="22"/>
          <w:lang w:val="en-CA" w:eastAsia="ja-JP"/>
        </w:rPr>
        <w:t xml:space="preserve">Table 3 shows the </w:t>
      </w:r>
      <w:r w:rsidR="00AA7F37">
        <w:rPr>
          <w:szCs w:val="22"/>
          <w:lang w:val="en-CA" w:eastAsia="ja-JP"/>
        </w:rPr>
        <w:t>performance</w:t>
      </w:r>
      <w:r w:rsidR="00DD35AD">
        <w:rPr>
          <w:rFonts w:hint="eastAsia"/>
          <w:szCs w:val="22"/>
          <w:lang w:val="en-CA" w:eastAsia="ja-JP"/>
        </w:rPr>
        <w:t xml:space="preserve"> </w:t>
      </w:r>
      <w:r w:rsidR="00D43D1A">
        <w:rPr>
          <w:rFonts w:hint="eastAsia"/>
          <w:szCs w:val="22"/>
          <w:lang w:val="en-CA" w:eastAsia="ja-JP"/>
        </w:rPr>
        <w:t>of the modified software</w:t>
      </w:r>
      <w:r w:rsidR="00DD35AD">
        <w:rPr>
          <w:rFonts w:hint="eastAsia"/>
          <w:szCs w:val="22"/>
          <w:lang w:val="en-CA" w:eastAsia="ja-JP"/>
        </w:rPr>
        <w:t xml:space="preserve"> evaluated based on SHVC common test condition [2].</w:t>
      </w:r>
      <w:r w:rsidR="00696988">
        <w:rPr>
          <w:rFonts w:hint="eastAsia"/>
          <w:szCs w:val="22"/>
          <w:lang w:val="en-CA" w:eastAsia="ja-JP"/>
        </w:rPr>
        <w:t xml:space="preserve"> </w:t>
      </w:r>
      <w:r w:rsidR="00DB013B">
        <w:rPr>
          <w:rFonts w:hint="eastAsia"/>
          <w:szCs w:val="22"/>
          <w:lang w:val="en-CA" w:eastAsia="ja-JP"/>
        </w:rPr>
        <w:t>Luma bd</w:t>
      </w:r>
      <w:r w:rsidR="00696988">
        <w:rPr>
          <w:rFonts w:hint="eastAsia"/>
          <w:szCs w:val="22"/>
          <w:lang w:val="en-CA" w:eastAsia="ja-JP"/>
        </w:rPr>
        <w:t xml:space="preserve">rate change compared to anchor (SHM-1.0) is as follows; </w:t>
      </w:r>
      <w:r w:rsidR="00696988">
        <w:rPr>
          <w:rFonts w:hint="eastAsia"/>
          <w:lang w:val="en-CA" w:eastAsia="ja-JP"/>
        </w:rPr>
        <w:t xml:space="preserve">AI 2x: </w:t>
      </w:r>
      <w:r w:rsidR="00696988" w:rsidRPr="009650CB">
        <w:rPr>
          <w:lang w:val="en-CA" w:eastAsia="ja-JP"/>
        </w:rPr>
        <w:t>0.04%</w:t>
      </w:r>
      <w:r w:rsidR="00696988">
        <w:rPr>
          <w:rFonts w:hint="eastAsia"/>
          <w:lang w:val="en-CA" w:eastAsia="ja-JP"/>
        </w:rPr>
        <w:t xml:space="preserve">, AI 1.5x: </w:t>
      </w:r>
      <w:r w:rsidR="00696988" w:rsidRPr="009650CB">
        <w:rPr>
          <w:lang w:val="en-CA" w:eastAsia="ja-JP"/>
        </w:rPr>
        <w:t>0.02%</w:t>
      </w:r>
      <w:r w:rsidR="00696988">
        <w:rPr>
          <w:rFonts w:hint="eastAsia"/>
          <w:lang w:val="en-CA" w:eastAsia="ja-JP"/>
        </w:rPr>
        <w:t xml:space="preserve">, RA 2x: </w:t>
      </w:r>
      <w:r w:rsidR="00696988" w:rsidRPr="009650CB">
        <w:rPr>
          <w:lang w:val="en-CA" w:eastAsia="ja-JP"/>
        </w:rPr>
        <w:t>0.07%</w:t>
      </w:r>
      <w:r w:rsidR="00696988">
        <w:rPr>
          <w:rFonts w:hint="eastAsia"/>
          <w:lang w:val="en-CA" w:eastAsia="ja-JP"/>
        </w:rPr>
        <w:t xml:space="preserve">, RA 1.5x: </w:t>
      </w:r>
      <w:r w:rsidR="00696988" w:rsidRPr="009650CB">
        <w:rPr>
          <w:lang w:val="en-CA" w:eastAsia="ja-JP"/>
        </w:rPr>
        <w:t>0.09%</w:t>
      </w:r>
      <w:r w:rsidR="00696988">
        <w:rPr>
          <w:rFonts w:hint="eastAsia"/>
          <w:lang w:val="en-CA" w:eastAsia="ja-JP"/>
        </w:rPr>
        <w:t xml:space="preserve">, RA SNR: </w:t>
      </w:r>
      <w:r w:rsidR="00696988" w:rsidRPr="009650CB">
        <w:rPr>
          <w:lang w:val="en-CA" w:eastAsia="ja-JP"/>
        </w:rPr>
        <w:t>0.02%</w:t>
      </w:r>
      <w:r w:rsidR="00696988">
        <w:rPr>
          <w:rFonts w:hint="eastAsia"/>
          <w:lang w:val="en-CA" w:eastAsia="ja-JP"/>
        </w:rPr>
        <w:t xml:space="preserve">, LP 2x: </w:t>
      </w:r>
      <w:r w:rsidR="00696988" w:rsidRPr="009650CB">
        <w:rPr>
          <w:lang w:val="en-CA" w:eastAsia="ja-JP"/>
        </w:rPr>
        <w:t>0.08%</w:t>
      </w:r>
      <w:r w:rsidR="00696988">
        <w:rPr>
          <w:rFonts w:hint="eastAsia"/>
          <w:lang w:val="en-CA" w:eastAsia="ja-JP"/>
        </w:rPr>
        <w:t xml:space="preserve">, LP 1.5x: </w:t>
      </w:r>
      <w:r w:rsidR="00696988" w:rsidRPr="009650CB">
        <w:rPr>
          <w:lang w:val="en-CA" w:eastAsia="ja-JP"/>
        </w:rPr>
        <w:t>0.15%</w:t>
      </w:r>
      <w:r w:rsidR="00696988">
        <w:rPr>
          <w:rFonts w:hint="eastAsia"/>
          <w:lang w:val="en-CA" w:eastAsia="ja-JP"/>
        </w:rPr>
        <w:t xml:space="preserve">, and LP SNR: </w:t>
      </w:r>
      <w:r w:rsidR="00696988" w:rsidRPr="009650CB">
        <w:rPr>
          <w:lang w:val="en-CA" w:eastAsia="ja-JP"/>
        </w:rPr>
        <w:t>0.02%</w:t>
      </w:r>
      <w:r w:rsidR="00696988">
        <w:rPr>
          <w:rFonts w:hint="eastAsia"/>
          <w:lang w:val="en-CA" w:eastAsia="ja-JP"/>
        </w:rPr>
        <w:t>.</w:t>
      </w:r>
      <w:r w:rsidR="005260DC">
        <w:rPr>
          <w:rFonts w:hint="eastAsia"/>
          <w:lang w:val="en-CA" w:eastAsia="ja-JP"/>
        </w:rPr>
        <w:t xml:space="preserve"> The proposed context modification does not introduce significant impact on coding efficiency.</w:t>
      </w:r>
    </w:p>
    <w:p w:rsidR="000220BE" w:rsidRPr="0085327F" w:rsidRDefault="000220BE" w:rsidP="00C87820">
      <w:pPr>
        <w:jc w:val="both"/>
        <w:rPr>
          <w:szCs w:val="22"/>
          <w:lang w:val="en-CA" w:eastAsia="ja-JP"/>
        </w:rPr>
      </w:pPr>
    </w:p>
    <w:p w:rsidR="005A2D61" w:rsidRDefault="005A2D61" w:rsidP="00783F42">
      <w:pPr>
        <w:pStyle w:val="ab"/>
        <w:keepNext/>
        <w:jc w:val="center"/>
        <w:rPr>
          <w:lang w:eastAsia="ja-JP"/>
        </w:rPr>
      </w:pPr>
      <w:r>
        <w:t xml:space="preserve">Table </w:t>
      </w:r>
      <w:r w:rsidR="007230CA">
        <w:rPr>
          <w:rFonts w:hint="eastAsia"/>
          <w:lang w:eastAsia="ja-JP"/>
        </w:rPr>
        <w:t>3: Performance of the proposed method</w:t>
      </w:r>
      <w:r>
        <w:rPr>
          <w:rFonts w:hint="eastAsia"/>
          <w:lang w:eastAsia="ja-JP"/>
        </w:rPr>
        <w:t xml:space="preserve"> </w:t>
      </w:r>
      <w:r w:rsidR="009B7272">
        <w:rPr>
          <w:rFonts w:hint="eastAsia"/>
          <w:lang w:eastAsia="ja-JP"/>
        </w:rPr>
        <w:t xml:space="preserve">(ref. </w:t>
      </w:r>
      <w:r w:rsidR="00582854">
        <w:rPr>
          <w:rFonts w:hint="eastAsia"/>
          <w:lang w:eastAsia="ja-JP"/>
        </w:rPr>
        <w:t>S</w:t>
      </w:r>
      <w:r w:rsidR="00212A6B">
        <w:rPr>
          <w:rFonts w:hint="eastAsia"/>
          <w:lang w:eastAsia="ja-JP"/>
        </w:rPr>
        <w:t>HM</w:t>
      </w:r>
      <w:r w:rsidR="0064419C">
        <w:rPr>
          <w:rFonts w:hint="eastAsia"/>
          <w:lang w:eastAsia="ja-JP"/>
        </w:rPr>
        <w:t>-</w:t>
      </w:r>
      <w:r w:rsidR="00212A6B">
        <w:rPr>
          <w:rFonts w:hint="eastAsia"/>
          <w:lang w:eastAsia="ja-JP"/>
        </w:rPr>
        <w:t>1</w:t>
      </w:r>
      <w:r w:rsidR="00FE72D7">
        <w:rPr>
          <w:rFonts w:hint="eastAsia"/>
          <w:lang w:eastAsia="ja-JP"/>
        </w:rPr>
        <w:t>.0</w:t>
      </w:r>
      <w:r w:rsidR="009B7272">
        <w:rPr>
          <w:rFonts w:hint="eastAsia"/>
          <w:lang w:eastAsia="ja-JP"/>
        </w:rPr>
        <w:t>)</w:t>
      </w:r>
      <w:r w:rsidR="00374112">
        <w:rPr>
          <w:rFonts w:hint="eastAsia"/>
          <w:lang w:eastAsia="ja-JP"/>
        </w:rPr>
        <w:t xml:space="preserve"> </w:t>
      </w:r>
    </w:p>
    <w:p w:rsidR="005A2D61" w:rsidRDefault="00665C30" w:rsidP="005A2D61">
      <w:pPr>
        <w:pStyle w:val="ab"/>
        <w:keepNext/>
        <w:jc w:val="center"/>
        <w:rPr>
          <w:lang w:eastAsia="ja-JP"/>
        </w:rPr>
      </w:pPr>
      <w:r w:rsidRPr="00665C30">
        <w:rPr>
          <w:noProof/>
          <w:lang w:eastAsia="ja-JP"/>
        </w:rPr>
        <w:drawing>
          <wp:inline distT="0" distB="0" distL="0" distR="0">
            <wp:extent cx="5943600" cy="2884668"/>
            <wp:effectExtent l="1905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84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38A" w:rsidRDefault="0068238A" w:rsidP="0068238A">
      <w:pPr>
        <w:jc w:val="center"/>
        <w:rPr>
          <w:szCs w:val="22"/>
          <w:lang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2732D3" w:rsidRDefault="00F70C62" w:rsidP="002732D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proposes to modify context for TextureRL flag. In the proposed context derivation, coding unit size is used instead of top and left </w:t>
      </w:r>
      <w:r w:rsidR="00AA7F37">
        <w:rPr>
          <w:lang w:val="en-CA" w:eastAsia="ja-JP"/>
        </w:rPr>
        <w:t>neighbouring</w:t>
      </w:r>
      <w:r>
        <w:rPr>
          <w:rFonts w:hint="eastAsia"/>
          <w:lang w:val="en-CA" w:eastAsia="ja-JP"/>
        </w:rPr>
        <w:t xml:space="preserve"> TextureRL flags in the purpose of removing dependencies with </w:t>
      </w:r>
      <w:r w:rsidR="00AA7F37">
        <w:rPr>
          <w:lang w:val="en-CA" w:eastAsia="ja-JP"/>
        </w:rPr>
        <w:t>neighbouring</w:t>
      </w:r>
      <w:r>
        <w:rPr>
          <w:rFonts w:hint="eastAsia"/>
          <w:lang w:val="en-CA" w:eastAsia="ja-JP"/>
        </w:rPr>
        <w:t xml:space="preserve"> regions. </w:t>
      </w:r>
      <w:r w:rsidR="00AA7F37">
        <w:rPr>
          <w:rFonts w:hint="eastAsia"/>
          <w:lang w:val="en-CA" w:eastAsia="ja-JP"/>
        </w:rPr>
        <w:t xml:space="preserve">Experimental results show that the impacts on coding efficiency is not significant. </w:t>
      </w:r>
      <w:r w:rsidR="00A10AA4">
        <w:rPr>
          <w:rFonts w:hint="eastAsia"/>
          <w:lang w:val="en-CA" w:eastAsia="ja-JP"/>
        </w:rPr>
        <w:t xml:space="preserve">Since the proposed method can reduce both processing and memory needed for Texture RL flag context </w:t>
      </w:r>
      <w:r w:rsidR="00AA7F37">
        <w:rPr>
          <w:lang w:val="en-CA" w:eastAsia="ja-JP"/>
        </w:rPr>
        <w:t>derivation</w:t>
      </w:r>
      <w:r w:rsidR="00A10AA4">
        <w:rPr>
          <w:rFonts w:hint="eastAsia"/>
          <w:lang w:val="en-CA" w:eastAsia="ja-JP"/>
        </w:rPr>
        <w:t>, i</w:t>
      </w:r>
      <w:r w:rsidR="009C22CD">
        <w:rPr>
          <w:rFonts w:hint="eastAsia"/>
          <w:lang w:val="en-CA" w:eastAsia="ja-JP"/>
        </w:rPr>
        <w:t xml:space="preserve">t is </w:t>
      </w:r>
      <w:r w:rsidR="00A10AA4">
        <w:rPr>
          <w:rFonts w:hint="eastAsia"/>
          <w:lang w:val="en-CA" w:eastAsia="ja-JP"/>
        </w:rPr>
        <w:t>recommended</w:t>
      </w:r>
      <w:r w:rsidR="009C22CD">
        <w:rPr>
          <w:rFonts w:hint="eastAsia"/>
          <w:lang w:val="en-CA" w:eastAsia="ja-JP"/>
        </w:rPr>
        <w:t xml:space="preserve"> to </w:t>
      </w:r>
      <w:r w:rsidR="00A10AA4">
        <w:rPr>
          <w:rFonts w:hint="eastAsia"/>
          <w:lang w:val="en-CA" w:eastAsia="ja-JP"/>
        </w:rPr>
        <w:t xml:space="preserve">evaluate the proposed context </w:t>
      </w:r>
      <w:r w:rsidR="00790CB5">
        <w:rPr>
          <w:rFonts w:hint="eastAsia"/>
          <w:lang w:val="en-CA" w:eastAsia="ja-JP"/>
        </w:rPr>
        <w:t>derivation</w:t>
      </w:r>
      <w:r w:rsidR="00A10AA4">
        <w:rPr>
          <w:rFonts w:hint="eastAsia"/>
          <w:lang w:val="en-CA" w:eastAsia="ja-JP"/>
        </w:rPr>
        <w:t xml:space="preserve"> in CE.</w:t>
      </w: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p w:rsidR="003E6F06" w:rsidRPr="00D1516E" w:rsidRDefault="00BE2441" w:rsidP="007471E5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0" w:name="_Ref347833603"/>
      <w:r w:rsidRPr="00BE2441">
        <w:rPr>
          <w:szCs w:val="22"/>
        </w:rPr>
        <w:t>J. Chen, J. Boyce, Y. Ye, M. M. Hannuksela</w:t>
      </w:r>
      <w:r w:rsidR="004963E7" w:rsidRPr="009E6EFE">
        <w:rPr>
          <w:szCs w:val="22"/>
        </w:rPr>
        <w:t>, “</w:t>
      </w:r>
      <w:r w:rsidRPr="00BE2441">
        <w:rPr>
          <w:szCs w:val="22"/>
        </w:rPr>
        <w:t>SHVC Test Model 1 (SHM 1)</w:t>
      </w:r>
      <w:r w:rsidR="004963E7" w:rsidRPr="009E6EFE">
        <w:rPr>
          <w:szCs w:val="22"/>
        </w:rPr>
        <w:t>”, JCTVC-L</w:t>
      </w:r>
      <w:r>
        <w:rPr>
          <w:rFonts w:hint="eastAsia"/>
          <w:szCs w:val="22"/>
          <w:lang w:eastAsia="ja-JP"/>
        </w:rPr>
        <w:t>1007</w:t>
      </w:r>
      <w:r w:rsidR="004963E7" w:rsidRPr="009E6EFE">
        <w:rPr>
          <w:szCs w:val="22"/>
        </w:rPr>
        <w:t xml:space="preserve">, </w:t>
      </w:r>
      <w:r w:rsidR="004963E7" w:rsidRPr="00506D90">
        <w:rPr>
          <w:szCs w:val="22"/>
        </w:rPr>
        <w:t xml:space="preserve">Geneva, Switzerland, </w:t>
      </w:r>
      <w:r w:rsidR="004963E7" w:rsidRPr="009E6EFE">
        <w:rPr>
          <w:szCs w:val="22"/>
        </w:rPr>
        <w:t>14–23 Jan. 2013</w:t>
      </w:r>
      <w:bookmarkEnd w:id="0"/>
      <w:r w:rsidR="003E6F06" w:rsidRPr="007471E5">
        <w:rPr>
          <w:rFonts w:hint="eastAsia"/>
          <w:szCs w:val="22"/>
          <w:lang w:val="en-CA" w:eastAsia="ja-JP"/>
        </w:rPr>
        <w:t>.</w:t>
      </w:r>
    </w:p>
    <w:p w:rsidR="00D1516E" w:rsidRPr="007471E5" w:rsidRDefault="003F752E" w:rsidP="007471E5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r w:rsidRPr="003F752E">
        <w:rPr>
          <w:szCs w:val="22"/>
        </w:rPr>
        <w:t xml:space="preserve">X. Li, J. Boyce, P. Onno, Y. Ye, </w:t>
      </w:r>
      <w:r w:rsidRPr="009E6EFE">
        <w:rPr>
          <w:szCs w:val="22"/>
        </w:rPr>
        <w:t>“</w:t>
      </w:r>
      <w:r w:rsidRPr="003F752E">
        <w:rPr>
          <w:szCs w:val="22"/>
        </w:rPr>
        <w:t>Common SHM test conditions and software reference configurations</w:t>
      </w:r>
      <w:r w:rsidRPr="009E6EFE">
        <w:rPr>
          <w:szCs w:val="22"/>
        </w:rPr>
        <w:t>”, JCTVC-L</w:t>
      </w:r>
      <w:r>
        <w:rPr>
          <w:rFonts w:hint="eastAsia"/>
          <w:szCs w:val="22"/>
          <w:lang w:eastAsia="ja-JP"/>
        </w:rPr>
        <w:t>1009</w:t>
      </w:r>
      <w:r w:rsidRPr="009E6EFE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</w:t>
      </w:r>
      <w:r w:rsidRPr="007471E5">
        <w:rPr>
          <w:rFonts w:hint="eastAsia"/>
          <w:szCs w:val="22"/>
          <w:lang w:val="en-CA" w:eastAsia="ja-JP"/>
        </w:rPr>
        <w:t>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AC4E69" w:rsidP="009234A5">
      <w:pPr>
        <w:jc w:val="both"/>
        <w:rPr>
          <w:szCs w:val="22"/>
          <w:lang w:val="en-CA"/>
        </w:rPr>
      </w:pPr>
      <w:r w:rsidRPr="00825FDA">
        <w:rPr>
          <w:rFonts w:hint="eastAsia"/>
          <w:b/>
          <w:szCs w:val="22"/>
          <w:lang w:val="en-CA" w:eastAsia="ja-JP"/>
        </w:rPr>
        <w:t>SHARP</w:t>
      </w:r>
      <w:r w:rsidR="007309E0" w:rsidRPr="00825FDA">
        <w:rPr>
          <w:rFonts w:hint="eastAsia"/>
          <w:b/>
          <w:szCs w:val="22"/>
          <w:lang w:val="en-CA" w:eastAsia="ja-JP"/>
        </w:rPr>
        <w:t xml:space="preserve"> </w:t>
      </w:r>
      <w:r w:rsidR="001F2594" w:rsidRPr="00825FDA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AC4E69" w:rsidRDefault="007F1F8B" w:rsidP="009234A5">
      <w:pPr>
        <w:jc w:val="both"/>
        <w:rPr>
          <w:szCs w:val="22"/>
          <w:lang w:val="en-CA"/>
        </w:rPr>
      </w:pPr>
    </w:p>
    <w:sectPr w:rsidR="007F1F8B" w:rsidRPr="00AC4E69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DC4" w:rsidRDefault="00310DC4">
      <w:r>
        <w:separator/>
      </w:r>
    </w:p>
  </w:endnote>
  <w:endnote w:type="continuationSeparator" w:id="0">
    <w:p w:rsidR="00310DC4" w:rsidRDefault="00310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C4" w:rsidRDefault="00310DC4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D1AC2">
      <w:rPr>
        <w:rStyle w:val="a5"/>
      </w:rPr>
      <w:fldChar w:fldCharType="begin"/>
    </w:r>
    <w:r>
      <w:rPr>
        <w:rStyle w:val="a5"/>
      </w:rPr>
      <w:instrText xml:space="preserve"> PAGE </w:instrText>
    </w:r>
    <w:r w:rsidR="00ED1AC2">
      <w:rPr>
        <w:rStyle w:val="a5"/>
      </w:rPr>
      <w:fldChar w:fldCharType="separate"/>
    </w:r>
    <w:r w:rsidR="00632293">
      <w:rPr>
        <w:rStyle w:val="a5"/>
        <w:noProof/>
      </w:rPr>
      <w:t>1</w:t>
    </w:r>
    <w:r w:rsidR="00ED1AC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ED1AC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ED1AC2">
      <w:rPr>
        <w:rStyle w:val="a5"/>
      </w:rPr>
      <w:fldChar w:fldCharType="separate"/>
    </w:r>
    <w:r w:rsidR="00632293">
      <w:rPr>
        <w:rStyle w:val="a5"/>
        <w:noProof/>
      </w:rPr>
      <w:t>2013-03-22</w:t>
    </w:r>
    <w:r w:rsidR="00ED1AC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DC4" w:rsidRDefault="00310DC4">
      <w:r>
        <w:separator/>
      </w:r>
    </w:p>
  </w:footnote>
  <w:footnote w:type="continuationSeparator" w:id="0">
    <w:p w:rsidR="00310DC4" w:rsidRDefault="00310D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16A97"/>
    <w:multiLevelType w:val="hybridMultilevel"/>
    <w:tmpl w:val="F9C6EC6E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1A7B90"/>
    <w:multiLevelType w:val="hybridMultilevel"/>
    <w:tmpl w:val="EDDA779C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232FA1"/>
    <w:multiLevelType w:val="hybridMultilevel"/>
    <w:tmpl w:val="CDD27156"/>
    <w:lvl w:ilvl="0" w:tplc="00AC0E4C">
      <w:numFmt w:val="bullet"/>
      <w:lvlText w:val="-"/>
      <w:lvlJc w:val="left"/>
      <w:pPr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0"/>
  </w:num>
  <w:num w:numId="13">
    <w:abstractNumId w:val="7"/>
  </w:num>
  <w:num w:numId="14">
    <w:abstractNumId w:val="3"/>
  </w:num>
  <w:num w:numId="15">
    <w:abstractNumId w:val="14"/>
  </w:num>
  <w:num w:numId="16">
    <w:abstractNumId w:val="13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9D0"/>
    <w:rsid w:val="00005A74"/>
    <w:rsid w:val="00006F9B"/>
    <w:rsid w:val="00007FBF"/>
    <w:rsid w:val="000120C4"/>
    <w:rsid w:val="0001372A"/>
    <w:rsid w:val="0002002A"/>
    <w:rsid w:val="000220BE"/>
    <w:rsid w:val="000224D9"/>
    <w:rsid w:val="00024C90"/>
    <w:rsid w:val="00033989"/>
    <w:rsid w:val="00037B13"/>
    <w:rsid w:val="000417EB"/>
    <w:rsid w:val="0004273D"/>
    <w:rsid w:val="00044E62"/>
    <w:rsid w:val="000458BC"/>
    <w:rsid w:val="00045C41"/>
    <w:rsid w:val="00046C03"/>
    <w:rsid w:val="00051B72"/>
    <w:rsid w:val="0006035F"/>
    <w:rsid w:val="00063981"/>
    <w:rsid w:val="00063D2E"/>
    <w:rsid w:val="00064DE9"/>
    <w:rsid w:val="00072DE0"/>
    <w:rsid w:val="0007323E"/>
    <w:rsid w:val="00074F88"/>
    <w:rsid w:val="00075CBD"/>
    <w:rsid w:val="0007614F"/>
    <w:rsid w:val="000807B3"/>
    <w:rsid w:val="000830EC"/>
    <w:rsid w:val="00083497"/>
    <w:rsid w:val="000838AF"/>
    <w:rsid w:val="00083D2D"/>
    <w:rsid w:val="00085EAD"/>
    <w:rsid w:val="00087334"/>
    <w:rsid w:val="00090156"/>
    <w:rsid w:val="0009391A"/>
    <w:rsid w:val="00094D5C"/>
    <w:rsid w:val="000979FB"/>
    <w:rsid w:val="000A1215"/>
    <w:rsid w:val="000A73C7"/>
    <w:rsid w:val="000B1C6B"/>
    <w:rsid w:val="000B3E88"/>
    <w:rsid w:val="000B4FF9"/>
    <w:rsid w:val="000C09AC"/>
    <w:rsid w:val="000C3289"/>
    <w:rsid w:val="000D3814"/>
    <w:rsid w:val="000D5934"/>
    <w:rsid w:val="000D63C0"/>
    <w:rsid w:val="000E00F3"/>
    <w:rsid w:val="000E049A"/>
    <w:rsid w:val="000E084E"/>
    <w:rsid w:val="000E3924"/>
    <w:rsid w:val="000E4683"/>
    <w:rsid w:val="000F0B4E"/>
    <w:rsid w:val="000F158C"/>
    <w:rsid w:val="000F210F"/>
    <w:rsid w:val="000F7FEE"/>
    <w:rsid w:val="00101CBA"/>
    <w:rsid w:val="00101FFD"/>
    <w:rsid w:val="00102B88"/>
    <w:rsid w:val="00102F3D"/>
    <w:rsid w:val="00104120"/>
    <w:rsid w:val="001063BD"/>
    <w:rsid w:val="00117FCE"/>
    <w:rsid w:val="00124E38"/>
    <w:rsid w:val="0012580B"/>
    <w:rsid w:val="001306FE"/>
    <w:rsid w:val="00131F90"/>
    <w:rsid w:val="0013526E"/>
    <w:rsid w:val="00142639"/>
    <w:rsid w:val="00146CBA"/>
    <w:rsid w:val="0015249F"/>
    <w:rsid w:val="00154A25"/>
    <w:rsid w:val="0015685B"/>
    <w:rsid w:val="00167B3C"/>
    <w:rsid w:val="00170205"/>
    <w:rsid w:val="0017062F"/>
    <w:rsid w:val="00171371"/>
    <w:rsid w:val="00172DE7"/>
    <w:rsid w:val="00175A24"/>
    <w:rsid w:val="00183B2F"/>
    <w:rsid w:val="0018468A"/>
    <w:rsid w:val="00184F90"/>
    <w:rsid w:val="00186386"/>
    <w:rsid w:val="0018653E"/>
    <w:rsid w:val="00187E58"/>
    <w:rsid w:val="00191CF7"/>
    <w:rsid w:val="00193F75"/>
    <w:rsid w:val="0019481A"/>
    <w:rsid w:val="00195E42"/>
    <w:rsid w:val="00197207"/>
    <w:rsid w:val="00197322"/>
    <w:rsid w:val="001A153D"/>
    <w:rsid w:val="001A297E"/>
    <w:rsid w:val="001A368E"/>
    <w:rsid w:val="001A3AE6"/>
    <w:rsid w:val="001A3D52"/>
    <w:rsid w:val="001A6A3A"/>
    <w:rsid w:val="001A6E01"/>
    <w:rsid w:val="001A7329"/>
    <w:rsid w:val="001B2AAC"/>
    <w:rsid w:val="001B2E32"/>
    <w:rsid w:val="001B4E28"/>
    <w:rsid w:val="001C3525"/>
    <w:rsid w:val="001C55C3"/>
    <w:rsid w:val="001D1BD2"/>
    <w:rsid w:val="001D4F2A"/>
    <w:rsid w:val="001E02BE"/>
    <w:rsid w:val="001E134E"/>
    <w:rsid w:val="001E3B37"/>
    <w:rsid w:val="001E75F8"/>
    <w:rsid w:val="001E76B0"/>
    <w:rsid w:val="001F0778"/>
    <w:rsid w:val="001F2594"/>
    <w:rsid w:val="001F4D1A"/>
    <w:rsid w:val="001F7550"/>
    <w:rsid w:val="002055A6"/>
    <w:rsid w:val="00206460"/>
    <w:rsid w:val="002069B4"/>
    <w:rsid w:val="002078DA"/>
    <w:rsid w:val="00210A37"/>
    <w:rsid w:val="00211946"/>
    <w:rsid w:val="002119D6"/>
    <w:rsid w:val="00211E83"/>
    <w:rsid w:val="00212A6B"/>
    <w:rsid w:val="002134C7"/>
    <w:rsid w:val="00214176"/>
    <w:rsid w:val="00215DFC"/>
    <w:rsid w:val="00216913"/>
    <w:rsid w:val="00217D64"/>
    <w:rsid w:val="002212DF"/>
    <w:rsid w:val="00222CD4"/>
    <w:rsid w:val="00224BEA"/>
    <w:rsid w:val="002264A6"/>
    <w:rsid w:val="00227BA7"/>
    <w:rsid w:val="00230DC0"/>
    <w:rsid w:val="002318D1"/>
    <w:rsid w:val="00233738"/>
    <w:rsid w:val="0024047E"/>
    <w:rsid w:val="00244063"/>
    <w:rsid w:val="00250B19"/>
    <w:rsid w:val="00254493"/>
    <w:rsid w:val="00263398"/>
    <w:rsid w:val="00265D9E"/>
    <w:rsid w:val="002667C2"/>
    <w:rsid w:val="00266A01"/>
    <w:rsid w:val="00266E4F"/>
    <w:rsid w:val="00270123"/>
    <w:rsid w:val="002732D3"/>
    <w:rsid w:val="002740F4"/>
    <w:rsid w:val="00275BCF"/>
    <w:rsid w:val="00280E83"/>
    <w:rsid w:val="002819A4"/>
    <w:rsid w:val="00283BCE"/>
    <w:rsid w:val="002859D8"/>
    <w:rsid w:val="00285E73"/>
    <w:rsid w:val="002870F7"/>
    <w:rsid w:val="00290129"/>
    <w:rsid w:val="00292257"/>
    <w:rsid w:val="002961BD"/>
    <w:rsid w:val="0029689A"/>
    <w:rsid w:val="00297430"/>
    <w:rsid w:val="002A06C7"/>
    <w:rsid w:val="002A54E0"/>
    <w:rsid w:val="002B1595"/>
    <w:rsid w:val="002B191D"/>
    <w:rsid w:val="002B1A52"/>
    <w:rsid w:val="002B25CF"/>
    <w:rsid w:val="002B4466"/>
    <w:rsid w:val="002B7EA9"/>
    <w:rsid w:val="002C04B9"/>
    <w:rsid w:val="002C0DFE"/>
    <w:rsid w:val="002C1369"/>
    <w:rsid w:val="002C331C"/>
    <w:rsid w:val="002C5BB3"/>
    <w:rsid w:val="002C695A"/>
    <w:rsid w:val="002C6B66"/>
    <w:rsid w:val="002D0AF6"/>
    <w:rsid w:val="002D324A"/>
    <w:rsid w:val="002D3695"/>
    <w:rsid w:val="002E04F0"/>
    <w:rsid w:val="002E1492"/>
    <w:rsid w:val="002E27B4"/>
    <w:rsid w:val="002E725C"/>
    <w:rsid w:val="002F164D"/>
    <w:rsid w:val="002F26F8"/>
    <w:rsid w:val="002F389F"/>
    <w:rsid w:val="002F63F4"/>
    <w:rsid w:val="0030078B"/>
    <w:rsid w:val="00306206"/>
    <w:rsid w:val="0030737B"/>
    <w:rsid w:val="00310DC4"/>
    <w:rsid w:val="00314761"/>
    <w:rsid w:val="00315E45"/>
    <w:rsid w:val="00317D85"/>
    <w:rsid w:val="00322076"/>
    <w:rsid w:val="00323A22"/>
    <w:rsid w:val="00327C56"/>
    <w:rsid w:val="003315A1"/>
    <w:rsid w:val="00334297"/>
    <w:rsid w:val="003362B9"/>
    <w:rsid w:val="003373EC"/>
    <w:rsid w:val="0034069C"/>
    <w:rsid w:val="0034130A"/>
    <w:rsid w:val="00342FF4"/>
    <w:rsid w:val="00345558"/>
    <w:rsid w:val="00366332"/>
    <w:rsid w:val="003706CC"/>
    <w:rsid w:val="00374112"/>
    <w:rsid w:val="00374F1A"/>
    <w:rsid w:val="00375538"/>
    <w:rsid w:val="00377710"/>
    <w:rsid w:val="00385CF1"/>
    <w:rsid w:val="00386730"/>
    <w:rsid w:val="00390899"/>
    <w:rsid w:val="003929F4"/>
    <w:rsid w:val="00394C25"/>
    <w:rsid w:val="00395715"/>
    <w:rsid w:val="0039723A"/>
    <w:rsid w:val="003A2D8E"/>
    <w:rsid w:val="003A5B03"/>
    <w:rsid w:val="003B024A"/>
    <w:rsid w:val="003C20E4"/>
    <w:rsid w:val="003C3B2A"/>
    <w:rsid w:val="003C3FA9"/>
    <w:rsid w:val="003D5220"/>
    <w:rsid w:val="003E07F6"/>
    <w:rsid w:val="003E15A6"/>
    <w:rsid w:val="003E6F06"/>
    <w:rsid w:val="003E6F90"/>
    <w:rsid w:val="003F35F8"/>
    <w:rsid w:val="003F5D0F"/>
    <w:rsid w:val="003F752E"/>
    <w:rsid w:val="00402768"/>
    <w:rsid w:val="004037AB"/>
    <w:rsid w:val="00404A30"/>
    <w:rsid w:val="0040552B"/>
    <w:rsid w:val="00407C60"/>
    <w:rsid w:val="0041153C"/>
    <w:rsid w:val="00414101"/>
    <w:rsid w:val="00433940"/>
    <w:rsid w:val="00433DDB"/>
    <w:rsid w:val="00437550"/>
    <w:rsid w:val="00437619"/>
    <w:rsid w:val="00450F01"/>
    <w:rsid w:val="00455928"/>
    <w:rsid w:val="004622ED"/>
    <w:rsid w:val="0046697C"/>
    <w:rsid w:val="00474409"/>
    <w:rsid w:val="004821D0"/>
    <w:rsid w:val="004832F5"/>
    <w:rsid w:val="004857D0"/>
    <w:rsid w:val="00494CB8"/>
    <w:rsid w:val="0049508A"/>
    <w:rsid w:val="00496072"/>
    <w:rsid w:val="004963E7"/>
    <w:rsid w:val="00497C05"/>
    <w:rsid w:val="00497FBD"/>
    <w:rsid w:val="004A15AA"/>
    <w:rsid w:val="004A2A63"/>
    <w:rsid w:val="004B210C"/>
    <w:rsid w:val="004B3532"/>
    <w:rsid w:val="004B4E86"/>
    <w:rsid w:val="004B79D5"/>
    <w:rsid w:val="004C33D8"/>
    <w:rsid w:val="004C6E54"/>
    <w:rsid w:val="004C7007"/>
    <w:rsid w:val="004C713D"/>
    <w:rsid w:val="004D405F"/>
    <w:rsid w:val="004D5CF5"/>
    <w:rsid w:val="004D7181"/>
    <w:rsid w:val="004E1DE7"/>
    <w:rsid w:val="004E389B"/>
    <w:rsid w:val="004E4F4F"/>
    <w:rsid w:val="004E6789"/>
    <w:rsid w:val="004E7DAD"/>
    <w:rsid w:val="004F0958"/>
    <w:rsid w:val="004F4C60"/>
    <w:rsid w:val="004F61E3"/>
    <w:rsid w:val="00500783"/>
    <w:rsid w:val="005011DF"/>
    <w:rsid w:val="00502E10"/>
    <w:rsid w:val="00503739"/>
    <w:rsid w:val="0051015C"/>
    <w:rsid w:val="00510525"/>
    <w:rsid w:val="00511AD0"/>
    <w:rsid w:val="00511FCC"/>
    <w:rsid w:val="00512E4C"/>
    <w:rsid w:val="005150A5"/>
    <w:rsid w:val="00516598"/>
    <w:rsid w:val="00516CF1"/>
    <w:rsid w:val="00520BC6"/>
    <w:rsid w:val="00522CF4"/>
    <w:rsid w:val="00523AEF"/>
    <w:rsid w:val="005260DC"/>
    <w:rsid w:val="0052780C"/>
    <w:rsid w:val="00531AE9"/>
    <w:rsid w:val="00537AC8"/>
    <w:rsid w:val="00537D50"/>
    <w:rsid w:val="00537E51"/>
    <w:rsid w:val="00541318"/>
    <w:rsid w:val="005447DB"/>
    <w:rsid w:val="005452B6"/>
    <w:rsid w:val="00550A66"/>
    <w:rsid w:val="005510D1"/>
    <w:rsid w:val="00557D2E"/>
    <w:rsid w:val="00560800"/>
    <w:rsid w:val="00561161"/>
    <w:rsid w:val="00565365"/>
    <w:rsid w:val="00567EC7"/>
    <w:rsid w:val="00570013"/>
    <w:rsid w:val="0057247F"/>
    <w:rsid w:val="00577A4B"/>
    <w:rsid w:val="005801A2"/>
    <w:rsid w:val="005811C2"/>
    <w:rsid w:val="00582854"/>
    <w:rsid w:val="00584F77"/>
    <w:rsid w:val="005912AA"/>
    <w:rsid w:val="00593077"/>
    <w:rsid w:val="005937A4"/>
    <w:rsid w:val="00593C41"/>
    <w:rsid w:val="005952A5"/>
    <w:rsid w:val="00596477"/>
    <w:rsid w:val="005A07E1"/>
    <w:rsid w:val="005A2D61"/>
    <w:rsid w:val="005A33A1"/>
    <w:rsid w:val="005A4BBA"/>
    <w:rsid w:val="005A5A67"/>
    <w:rsid w:val="005A68A8"/>
    <w:rsid w:val="005B139C"/>
    <w:rsid w:val="005B217D"/>
    <w:rsid w:val="005B476D"/>
    <w:rsid w:val="005B63E9"/>
    <w:rsid w:val="005B6C89"/>
    <w:rsid w:val="005B7AB8"/>
    <w:rsid w:val="005C18A5"/>
    <w:rsid w:val="005C385F"/>
    <w:rsid w:val="005D12C6"/>
    <w:rsid w:val="005D1D02"/>
    <w:rsid w:val="005D70EF"/>
    <w:rsid w:val="005E1AC6"/>
    <w:rsid w:val="005E1D9D"/>
    <w:rsid w:val="005E4DF5"/>
    <w:rsid w:val="005E5E1D"/>
    <w:rsid w:val="005E62C8"/>
    <w:rsid w:val="005E7B55"/>
    <w:rsid w:val="005E7E7C"/>
    <w:rsid w:val="005F2D82"/>
    <w:rsid w:val="005F5427"/>
    <w:rsid w:val="005F6F1B"/>
    <w:rsid w:val="005F7F05"/>
    <w:rsid w:val="006021FE"/>
    <w:rsid w:val="0060240C"/>
    <w:rsid w:val="00604D44"/>
    <w:rsid w:val="00605147"/>
    <w:rsid w:val="0061375C"/>
    <w:rsid w:val="006149C5"/>
    <w:rsid w:val="006178B5"/>
    <w:rsid w:val="006206CD"/>
    <w:rsid w:val="00621033"/>
    <w:rsid w:val="00624B33"/>
    <w:rsid w:val="00630AA2"/>
    <w:rsid w:val="006311B1"/>
    <w:rsid w:val="00632293"/>
    <w:rsid w:val="0063259F"/>
    <w:rsid w:val="006357D7"/>
    <w:rsid w:val="00643807"/>
    <w:rsid w:val="0064419C"/>
    <w:rsid w:val="006453A0"/>
    <w:rsid w:val="006453E2"/>
    <w:rsid w:val="00646707"/>
    <w:rsid w:val="006541D7"/>
    <w:rsid w:val="006564C4"/>
    <w:rsid w:val="00656831"/>
    <w:rsid w:val="006613E9"/>
    <w:rsid w:val="00662E58"/>
    <w:rsid w:val="006636CB"/>
    <w:rsid w:val="00664DCF"/>
    <w:rsid w:val="00665C30"/>
    <w:rsid w:val="00666572"/>
    <w:rsid w:val="006716D5"/>
    <w:rsid w:val="00671E36"/>
    <w:rsid w:val="00672BE9"/>
    <w:rsid w:val="00675965"/>
    <w:rsid w:val="00675CA4"/>
    <w:rsid w:val="0068238A"/>
    <w:rsid w:val="00682905"/>
    <w:rsid w:val="00685203"/>
    <w:rsid w:val="00687E3C"/>
    <w:rsid w:val="006925F2"/>
    <w:rsid w:val="00694B6B"/>
    <w:rsid w:val="00695A09"/>
    <w:rsid w:val="00696988"/>
    <w:rsid w:val="006A1AF4"/>
    <w:rsid w:val="006A3AB4"/>
    <w:rsid w:val="006A608A"/>
    <w:rsid w:val="006B09B2"/>
    <w:rsid w:val="006B0AA2"/>
    <w:rsid w:val="006B0F88"/>
    <w:rsid w:val="006B3F72"/>
    <w:rsid w:val="006C4DA1"/>
    <w:rsid w:val="006C4E65"/>
    <w:rsid w:val="006C5D39"/>
    <w:rsid w:val="006D08F7"/>
    <w:rsid w:val="006D38B5"/>
    <w:rsid w:val="006D6C6B"/>
    <w:rsid w:val="006D7D1F"/>
    <w:rsid w:val="006E040A"/>
    <w:rsid w:val="006E2810"/>
    <w:rsid w:val="006E5417"/>
    <w:rsid w:val="006E552A"/>
    <w:rsid w:val="006E58B3"/>
    <w:rsid w:val="006E79B0"/>
    <w:rsid w:val="006F5DD0"/>
    <w:rsid w:val="007105DC"/>
    <w:rsid w:val="00712A46"/>
    <w:rsid w:val="00712F60"/>
    <w:rsid w:val="00716E96"/>
    <w:rsid w:val="00720E3B"/>
    <w:rsid w:val="007230CA"/>
    <w:rsid w:val="007309E0"/>
    <w:rsid w:val="00732BF2"/>
    <w:rsid w:val="00733320"/>
    <w:rsid w:val="00736761"/>
    <w:rsid w:val="007374E2"/>
    <w:rsid w:val="00745F6B"/>
    <w:rsid w:val="007471E5"/>
    <w:rsid w:val="00750059"/>
    <w:rsid w:val="00750992"/>
    <w:rsid w:val="0075585E"/>
    <w:rsid w:val="00755875"/>
    <w:rsid w:val="00762CCE"/>
    <w:rsid w:val="00766BB2"/>
    <w:rsid w:val="00770571"/>
    <w:rsid w:val="0077592D"/>
    <w:rsid w:val="00775EB0"/>
    <w:rsid w:val="007768FF"/>
    <w:rsid w:val="00776C71"/>
    <w:rsid w:val="007777AD"/>
    <w:rsid w:val="00781B54"/>
    <w:rsid w:val="007824D3"/>
    <w:rsid w:val="00783F42"/>
    <w:rsid w:val="00790CB5"/>
    <w:rsid w:val="00791CDC"/>
    <w:rsid w:val="00792FFA"/>
    <w:rsid w:val="00793CD1"/>
    <w:rsid w:val="007945D8"/>
    <w:rsid w:val="00796C5C"/>
    <w:rsid w:val="00796EE3"/>
    <w:rsid w:val="007A1960"/>
    <w:rsid w:val="007A5089"/>
    <w:rsid w:val="007A7D29"/>
    <w:rsid w:val="007B4AB8"/>
    <w:rsid w:val="007B6838"/>
    <w:rsid w:val="007B7D3D"/>
    <w:rsid w:val="007C1600"/>
    <w:rsid w:val="007C28F0"/>
    <w:rsid w:val="007C3BB9"/>
    <w:rsid w:val="007C6C48"/>
    <w:rsid w:val="007D3DD9"/>
    <w:rsid w:val="007D4921"/>
    <w:rsid w:val="007D6BC6"/>
    <w:rsid w:val="007E032A"/>
    <w:rsid w:val="007E1E6C"/>
    <w:rsid w:val="007E326B"/>
    <w:rsid w:val="007E3BB1"/>
    <w:rsid w:val="007E6F6A"/>
    <w:rsid w:val="007F0CDE"/>
    <w:rsid w:val="007F1F8B"/>
    <w:rsid w:val="007F43CF"/>
    <w:rsid w:val="007F5B2D"/>
    <w:rsid w:val="007F67A1"/>
    <w:rsid w:val="007F6E13"/>
    <w:rsid w:val="00805387"/>
    <w:rsid w:val="00811C05"/>
    <w:rsid w:val="00817A48"/>
    <w:rsid w:val="008206C8"/>
    <w:rsid w:val="00824695"/>
    <w:rsid w:val="00825FDA"/>
    <w:rsid w:val="00826C7C"/>
    <w:rsid w:val="00827063"/>
    <w:rsid w:val="008338FE"/>
    <w:rsid w:val="00833E1A"/>
    <w:rsid w:val="00837452"/>
    <w:rsid w:val="00840218"/>
    <w:rsid w:val="00840ED0"/>
    <w:rsid w:val="00842398"/>
    <w:rsid w:val="00850BF5"/>
    <w:rsid w:val="00850E0E"/>
    <w:rsid w:val="008521E6"/>
    <w:rsid w:val="0085327F"/>
    <w:rsid w:val="008551F8"/>
    <w:rsid w:val="00860216"/>
    <w:rsid w:val="0086578A"/>
    <w:rsid w:val="008666A6"/>
    <w:rsid w:val="00874A6C"/>
    <w:rsid w:val="00876A7F"/>
    <w:rsid w:val="00876C65"/>
    <w:rsid w:val="00890D6B"/>
    <w:rsid w:val="008976B2"/>
    <w:rsid w:val="008A4B4C"/>
    <w:rsid w:val="008A7CAC"/>
    <w:rsid w:val="008B468B"/>
    <w:rsid w:val="008B5E96"/>
    <w:rsid w:val="008B60A0"/>
    <w:rsid w:val="008C239F"/>
    <w:rsid w:val="008C29AB"/>
    <w:rsid w:val="008C2C62"/>
    <w:rsid w:val="008C3508"/>
    <w:rsid w:val="008C3971"/>
    <w:rsid w:val="008D2243"/>
    <w:rsid w:val="008D467C"/>
    <w:rsid w:val="008D5C25"/>
    <w:rsid w:val="008D5E65"/>
    <w:rsid w:val="008E289E"/>
    <w:rsid w:val="008E44AD"/>
    <w:rsid w:val="008E480C"/>
    <w:rsid w:val="008F3F30"/>
    <w:rsid w:val="0090390D"/>
    <w:rsid w:val="00907757"/>
    <w:rsid w:val="009212B0"/>
    <w:rsid w:val="009234A5"/>
    <w:rsid w:val="00926FBE"/>
    <w:rsid w:val="00932787"/>
    <w:rsid w:val="009336F7"/>
    <w:rsid w:val="00935A10"/>
    <w:rsid w:val="00936BBB"/>
    <w:rsid w:val="0093703A"/>
    <w:rsid w:val="009374A7"/>
    <w:rsid w:val="009449D5"/>
    <w:rsid w:val="00955BEC"/>
    <w:rsid w:val="00962554"/>
    <w:rsid w:val="00962EFB"/>
    <w:rsid w:val="0096480A"/>
    <w:rsid w:val="009650CB"/>
    <w:rsid w:val="00984AB0"/>
    <w:rsid w:val="0098551D"/>
    <w:rsid w:val="009862A6"/>
    <w:rsid w:val="00992D88"/>
    <w:rsid w:val="0099371D"/>
    <w:rsid w:val="0099518F"/>
    <w:rsid w:val="009A1641"/>
    <w:rsid w:val="009A474B"/>
    <w:rsid w:val="009A523D"/>
    <w:rsid w:val="009B11FF"/>
    <w:rsid w:val="009B1563"/>
    <w:rsid w:val="009B409A"/>
    <w:rsid w:val="009B4613"/>
    <w:rsid w:val="009B7272"/>
    <w:rsid w:val="009C22CD"/>
    <w:rsid w:val="009C5688"/>
    <w:rsid w:val="009C6410"/>
    <w:rsid w:val="009D0730"/>
    <w:rsid w:val="009D0F05"/>
    <w:rsid w:val="009D1936"/>
    <w:rsid w:val="009E0A87"/>
    <w:rsid w:val="009E70CF"/>
    <w:rsid w:val="009E720C"/>
    <w:rsid w:val="009F496B"/>
    <w:rsid w:val="009F6D1D"/>
    <w:rsid w:val="00A01439"/>
    <w:rsid w:val="00A02E61"/>
    <w:rsid w:val="00A04165"/>
    <w:rsid w:val="00A05CFF"/>
    <w:rsid w:val="00A10AA4"/>
    <w:rsid w:val="00A129AC"/>
    <w:rsid w:val="00A13BA9"/>
    <w:rsid w:val="00A16BC2"/>
    <w:rsid w:val="00A210EF"/>
    <w:rsid w:val="00A226B1"/>
    <w:rsid w:val="00A23031"/>
    <w:rsid w:val="00A26BAE"/>
    <w:rsid w:val="00A30711"/>
    <w:rsid w:val="00A45F63"/>
    <w:rsid w:val="00A47DBA"/>
    <w:rsid w:val="00A51725"/>
    <w:rsid w:val="00A51F4F"/>
    <w:rsid w:val="00A56B97"/>
    <w:rsid w:val="00A56DE3"/>
    <w:rsid w:val="00A56ED2"/>
    <w:rsid w:val="00A6093D"/>
    <w:rsid w:val="00A61FBA"/>
    <w:rsid w:val="00A66091"/>
    <w:rsid w:val="00A665A7"/>
    <w:rsid w:val="00A725D6"/>
    <w:rsid w:val="00A72743"/>
    <w:rsid w:val="00A76A6D"/>
    <w:rsid w:val="00A812C4"/>
    <w:rsid w:val="00A81F3A"/>
    <w:rsid w:val="00A82A6D"/>
    <w:rsid w:val="00A83253"/>
    <w:rsid w:val="00A83474"/>
    <w:rsid w:val="00A86A0D"/>
    <w:rsid w:val="00A92AAE"/>
    <w:rsid w:val="00A94CBD"/>
    <w:rsid w:val="00A96CE4"/>
    <w:rsid w:val="00AA1DF0"/>
    <w:rsid w:val="00AA211B"/>
    <w:rsid w:val="00AA67A2"/>
    <w:rsid w:val="00AA6E84"/>
    <w:rsid w:val="00AA7F37"/>
    <w:rsid w:val="00AB425F"/>
    <w:rsid w:val="00AB765E"/>
    <w:rsid w:val="00AC1DFA"/>
    <w:rsid w:val="00AC2D7D"/>
    <w:rsid w:val="00AC2EE3"/>
    <w:rsid w:val="00AC4B51"/>
    <w:rsid w:val="00AC4E69"/>
    <w:rsid w:val="00AC593C"/>
    <w:rsid w:val="00AC7A23"/>
    <w:rsid w:val="00AD0019"/>
    <w:rsid w:val="00AD0D4D"/>
    <w:rsid w:val="00AD24A3"/>
    <w:rsid w:val="00AD274C"/>
    <w:rsid w:val="00AD2F1C"/>
    <w:rsid w:val="00AD3B35"/>
    <w:rsid w:val="00AE341B"/>
    <w:rsid w:val="00AE44F6"/>
    <w:rsid w:val="00AE4AF3"/>
    <w:rsid w:val="00AF737F"/>
    <w:rsid w:val="00B01B00"/>
    <w:rsid w:val="00B0258B"/>
    <w:rsid w:val="00B02E28"/>
    <w:rsid w:val="00B05621"/>
    <w:rsid w:val="00B07CA7"/>
    <w:rsid w:val="00B11F46"/>
    <w:rsid w:val="00B1279A"/>
    <w:rsid w:val="00B128E6"/>
    <w:rsid w:val="00B133B0"/>
    <w:rsid w:val="00B1539A"/>
    <w:rsid w:val="00B15D02"/>
    <w:rsid w:val="00B17423"/>
    <w:rsid w:val="00B24F1D"/>
    <w:rsid w:val="00B25DEC"/>
    <w:rsid w:val="00B2721D"/>
    <w:rsid w:val="00B2786F"/>
    <w:rsid w:val="00B27CA1"/>
    <w:rsid w:val="00B301D3"/>
    <w:rsid w:val="00B3663B"/>
    <w:rsid w:val="00B36E84"/>
    <w:rsid w:val="00B379F2"/>
    <w:rsid w:val="00B44CBB"/>
    <w:rsid w:val="00B50210"/>
    <w:rsid w:val="00B5186E"/>
    <w:rsid w:val="00B521E6"/>
    <w:rsid w:val="00B5222E"/>
    <w:rsid w:val="00B55B0C"/>
    <w:rsid w:val="00B60C5D"/>
    <w:rsid w:val="00B61C96"/>
    <w:rsid w:val="00B66418"/>
    <w:rsid w:val="00B71F19"/>
    <w:rsid w:val="00B73A2A"/>
    <w:rsid w:val="00B84D10"/>
    <w:rsid w:val="00B87923"/>
    <w:rsid w:val="00B941CB"/>
    <w:rsid w:val="00B94B06"/>
    <w:rsid w:val="00B94C28"/>
    <w:rsid w:val="00BA2D81"/>
    <w:rsid w:val="00BA504E"/>
    <w:rsid w:val="00BA7B55"/>
    <w:rsid w:val="00BB4500"/>
    <w:rsid w:val="00BC10BA"/>
    <w:rsid w:val="00BC5AFD"/>
    <w:rsid w:val="00BC63F7"/>
    <w:rsid w:val="00BD3446"/>
    <w:rsid w:val="00BD5E1D"/>
    <w:rsid w:val="00BD78F9"/>
    <w:rsid w:val="00BE2441"/>
    <w:rsid w:val="00BE3718"/>
    <w:rsid w:val="00BE4A48"/>
    <w:rsid w:val="00BE69C0"/>
    <w:rsid w:val="00BF2B9C"/>
    <w:rsid w:val="00C00FBC"/>
    <w:rsid w:val="00C04C65"/>
    <w:rsid w:val="00C04F43"/>
    <w:rsid w:val="00C0609D"/>
    <w:rsid w:val="00C0752E"/>
    <w:rsid w:val="00C115AB"/>
    <w:rsid w:val="00C15841"/>
    <w:rsid w:val="00C15B04"/>
    <w:rsid w:val="00C260EC"/>
    <w:rsid w:val="00C2661A"/>
    <w:rsid w:val="00C26E6A"/>
    <w:rsid w:val="00C30249"/>
    <w:rsid w:val="00C31A10"/>
    <w:rsid w:val="00C3723B"/>
    <w:rsid w:val="00C37E2C"/>
    <w:rsid w:val="00C4252D"/>
    <w:rsid w:val="00C45FF0"/>
    <w:rsid w:val="00C53687"/>
    <w:rsid w:val="00C55587"/>
    <w:rsid w:val="00C606C9"/>
    <w:rsid w:val="00C609D5"/>
    <w:rsid w:val="00C614C5"/>
    <w:rsid w:val="00C632F1"/>
    <w:rsid w:val="00C65ACA"/>
    <w:rsid w:val="00C669E0"/>
    <w:rsid w:val="00C7194B"/>
    <w:rsid w:val="00C77E7F"/>
    <w:rsid w:val="00C80288"/>
    <w:rsid w:val="00C80D35"/>
    <w:rsid w:val="00C84003"/>
    <w:rsid w:val="00C87805"/>
    <w:rsid w:val="00C87820"/>
    <w:rsid w:val="00C90650"/>
    <w:rsid w:val="00C93007"/>
    <w:rsid w:val="00C9508A"/>
    <w:rsid w:val="00C96441"/>
    <w:rsid w:val="00C97D78"/>
    <w:rsid w:val="00CA2379"/>
    <w:rsid w:val="00CA36EE"/>
    <w:rsid w:val="00CA79AC"/>
    <w:rsid w:val="00CB4069"/>
    <w:rsid w:val="00CB40F6"/>
    <w:rsid w:val="00CC04D8"/>
    <w:rsid w:val="00CC2AAE"/>
    <w:rsid w:val="00CC3DFB"/>
    <w:rsid w:val="00CC5A42"/>
    <w:rsid w:val="00CC7A7B"/>
    <w:rsid w:val="00CD0EAB"/>
    <w:rsid w:val="00CD1697"/>
    <w:rsid w:val="00CD2E77"/>
    <w:rsid w:val="00CD31A2"/>
    <w:rsid w:val="00CD411F"/>
    <w:rsid w:val="00CD4CAE"/>
    <w:rsid w:val="00CD5D0B"/>
    <w:rsid w:val="00CD62BA"/>
    <w:rsid w:val="00CE0AA3"/>
    <w:rsid w:val="00CE31B8"/>
    <w:rsid w:val="00CE51CD"/>
    <w:rsid w:val="00CE5E3F"/>
    <w:rsid w:val="00CF14DC"/>
    <w:rsid w:val="00CF16BD"/>
    <w:rsid w:val="00CF34DB"/>
    <w:rsid w:val="00CF558F"/>
    <w:rsid w:val="00CF7DE1"/>
    <w:rsid w:val="00D00F02"/>
    <w:rsid w:val="00D02D22"/>
    <w:rsid w:val="00D06271"/>
    <w:rsid w:val="00D073E2"/>
    <w:rsid w:val="00D112A1"/>
    <w:rsid w:val="00D1516E"/>
    <w:rsid w:val="00D15366"/>
    <w:rsid w:val="00D17032"/>
    <w:rsid w:val="00D20945"/>
    <w:rsid w:val="00D22218"/>
    <w:rsid w:val="00D263F8"/>
    <w:rsid w:val="00D32562"/>
    <w:rsid w:val="00D4332D"/>
    <w:rsid w:val="00D43D1A"/>
    <w:rsid w:val="00D446EC"/>
    <w:rsid w:val="00D44C9C"/>
    <w:rsid w:val="00D46350"/>
    <w:rsid w:val="00D500AF"/>
    <w:rsid w:val="00D518D9"/>
    <w:rsid w:val="00D51BF0"/>
    <w:rsid w:val="00D55942"/>
    <w:rsid w:val="00D56438"/>
    <w:rsid w:val="00D636AF"/>
    <w:rsid w:val="00D63C9B"/>
    <w:rsid w:val="00D63D49"/>
    <w:rsid w:val="00D66DF6"/>
    <w:rsid w:val="00D807BF"/>
    <w:rsid w:val="00D82FCC"/>
    <w:rsid w:val="00D908BF"/>
    <w:rsid w:val="00D942F0"/>
    <w:rsid w:val="00D96096"/>
    <w:rsid w:val="00DA17FC"/>
    <w:rsid w:val="00DA3EC1"/>
    <w:rsid w:val="00DA666B"/>
    <w:rsid w:val="00DA7887"/>
    <w:rsid w:val="00DB013B"/>
    <w:rsid w:val="00DB0719"/>
    <w:rsid w:val="00DB12B1"/>
    <w:rsid w:val="00DB2C26"/>
    <w:rsid w:val="00DB701C"/>
    <w:rsid w:val="00DC1EC9"/>
    <w:rsid w:val="00DC2237"/>
    <w:rsid w:val="00DC496F"/>
    <w:rsid w:val="00DC4995"/>
    <w:rsid w:val="00DC6C7A"/>
    <w:rsid w:val="00DD1DFA"/>
    <w:rsid w:val="00DD2BD7"/>
    <w:rsid w:val="00DD35AD"/>
    <w:rsid w:val="00DD6947"/>
    <w:rsid w:val="00DD72E8"/>
    <w:rsid w:val="00DD73FF"/>
    <w:rsid w:val="00DD74F5"/>
    <w:rsid w:val="00DE49B2"/>
    <w:rsid w:val="00DE5013"/>
    <w:rsid w:val="00DE5853"/>
    <w:rsid w:val="00DE6B43"/>
    <w:rsid w:val="00DE78DA"/>
    <w:rsid w:val="00DF593B"/>
    <w:rsid w:val="00DF6E8F"/>
    <w:rsid w:val="00E00A40"/>
    <w:rsid w:val="00E0127E"/>
    <w:rsid w:val="00E024C2"/>
    <w:rsid w:val="00E038A5"/>
    <w:rsid w:val="00E04116"/>
    <w:rsid w:val="00E060AF"/>
    <w:rsid w:val="00E11923"/>
    <w:rsid w:val="00E119D6"/>
    <w:rsid w:val="00E130CB"/>
    <w:rsid w:val="00E13465"/>
    <w:rsid w:val="00E137FA"/>
    <w:rsid w:val="00E20CA6"/>
    <w:rsid w:val="00E262D4"/>
    <w:rsid w:val="00E276EA"/>
    <w:rsid w:val="00E31F70"/>
    <w:rsid w:val="00E36250"/>
    <w:rsid w:val="00E37025"/>
    <w:rsid w:val="00E376D6"/>
    <w:rsid w:val="00E42938"/>
    <w:rsid w:val="00E47A24"/>
    <w:rsid w:val="00E54511"/>
    <w:rsid w:val="00E56588"/>
    <w:rsid w:val="00E56EF9"/>
    <w:rsid w:val="00E57029"/>
    <w:rsid w:val="00E61DAC"/>
    <w:rsid w:val="00E63BE2"/>
    <w:rsid w:val="00E72557"/>
    <w:rsid w:val="00E72B80"/>
    <w:rsid w:val="00E7444D"/>
    <w:rsid w:val="00E75FE3"/>
    <w:rsid w:val="00E81C79"/>
    <w:rsid w:val="00E81E2F"/>
    <w:rsid w:val="00E86C4C"/>
    <w:rsid w:val="00E90E7D"/>
    <w:rsid w:val="00E91C19"/>
    <w:rsid w:val="00E9294B"/>
    <w:rsid w:val="00E961CD"/>
    <w:rsid w:val="00EA2337"/>
    <w:rsid w:val="00EA7740"/>
    <w:rsid w:val="00EA7C96"/>
    <w:rsid w:val="00EA7FAF"/>
    <w:rsid w:val="00EB1A62"/>
    <w:rsid w:val="00EB76BC"/>
    <w:rsid w:val="00EB7AB1"/>
    <w:rsid w:val="00EC1821"/>
    <w:rsid w:val="00EC7259"/>
    <w:rsid w:val="00ED1AC2"/>
    <w:rsid w:val="00ED31AB"/>
    <w:rsid w:val="00ED7022"/>
    <w:rsid w:val="00ED747A"/>
    <w:rsid w:val="00ED75DA"/>
    <w:rsid w:val="00EE38C5"/>
    <w:rsid w:val="00EF181C"/>
    <w:rsid w:val="00EF2B5A"/>
    <w:rsid w:val="00EF4054"/>
    <w:rsid w:val="00EF48CC"/>
    <w:rsid w:val="00EF4DB3"/>
    <w:rsid w:val="00EF521E"/>
    <w:rsid w:val="00F0162C"/>
    <w:rsid w:val="00F019A0"/>
    <w:rsid w:val="00F10B8B"/>
    <w:rsid w:val="00F115B4"/>
    <w:rsid w:val="00F12C65"/>
    <w:rsid w:val="00F22EBE"/>
    <w:rsid w:val="00F25030"/>
    <w:rsid w:val="00F2545B"/>
    <w:rsid w:val="00F33BB7"/>
    <w:rsid w:val="00F33D86"/>
    <w:rsid w:val="00F35F15"/>
    <w:rsid w:val="00F36C44"/>
    <w:rsid w:val="00F371FA"/>
    <w:rsid w:val="00F530CD"/>
    <w:rsid w:val="00F53849"/>
    <w:rsid w:val="00F53B7B"/>
    <w:rsid w:val="00F70C62"/>
    <w:rsid w:val="00F70D62"/>
    <w:rsid w:val="00F7256D"/>
    <w:rsid w:val="00F73032"/>
    <w:rsid w:val="00F760C1"/>
    <w:rsid w:val="00F765E2"/>
    <w:rsid w:val="00F81855"/>
    <w:rsid w:val="00F848FC"/>
    <w:rsid w:val="00F85767"/>
    <w:rsid w:val="00F85F63"/>
    <w:rsid w:val="00F90E00"/>
    <w:rsid w:val="00F91548"/>
    <w:rsid w:val="00F9282A"/>
    <w:rsid w:val="00F948FA"/>
    <w:rsid w:val="00F96067"/>
    <w:rsid w:val="00F96BAD"/>
    <w:rsid w:val="00FA0D1B"/>
    <w:rsid w:val="00FA40EF"/>
    <w:rsid w:val="00FA6AC8"/>
    <w:rsid w:val="00FA6C14"/>
    <w:rsid w:val="00FB0E84"/>
    <w:rsid w:val="00FB15AD"/>
    <w:rsid w:val="00FB33D7"/>
    <w:rsid w:val="00FB47F4"/>
    <w:rsid w:val="00FB5915"/>
    <w:rsid w:val="00FB6354"/>
    <w:rsid w:val="00FB6A41"/>
    <w:rsid w:val="00FB72F6"/>
    <w:rsid w:val="00FC0112"/>
    <w:rsid w:val="00FC1EEC"/>
    <w:rsid w:val="00FC6CB4"/>
    <w:rsid w:val="00FD01C2"/>
    <w:rsid w:val="00FD7A72"/>
    <w:rsid w:val="00FE0AA7"/>
    <w:rsid w:val="00FE403B"/>
    <w:rsid w:val="00FE7145"/>
    <w:rsid w:val="00FE72D7"/>
    <w:rsid w:val="00FF0CE3"/>
    <w:rsid w:val="00FF38B3"/>
    <w:rsid w:val="00FF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E725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E725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E725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link w:val="ac"/>
    <w:unhideWhenUsed/>
    <w:qFormat/>
    <w:rsid w:val="005A2D61"/>
    <w:rPr>
      <w:b/>
      <w:bCs/>
      <w:sz w:val="21"/>
      <w:szCs w:val="21"/>
    </w:rPr>
  </w:style>
  <w:style w:type="paragraph" w:styleId="Web">
    <w:name w:val="Normal (Web)"/>
    <w:basedOn w:val="a"/>
    <w:uiPriority w:val="99"/>
    <w:unhideWhenUsed/>
    <w:rsid w:val="0010412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character" w:customStyle="1" w:styleId="ac">
    <w:name w:val="図表番号 (文字)"/>
    <w:link w:val="ab"/>
    <w:locked/>
    <w:rsid w:val="00C31A10"/>
    <w:rPr>
      <w:b/>
      <w:bCs/>
      <w:sz w:val="21"/>
      <w:szCs w:val="21"/>
      <w:lang w:eastAsia="en-US"/>
    </w:rPr>
  </w:style>
  <w:style w:type="paragraph" w:customStyle="1" w:styleId="3N">
    <w:name w:val="3N"/>
    <w:basedOn w:val="a"/>
    <w:link w:val="3NChar"/>
    <w:qFormat/>
    <w:rsid w:val="00C31A10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C31A10"/>
    <w:rPr>
      <w:rFonts w:eastAsia="Malgun Gothic"/>
      <w:lang w:val="en-GB" w:eastAsia="en-US"/>
    </w:rPr>
  </w:style>
  <w:style w:type="character" w:styleId="ad">
    <w:name w:val="annotation reference"/>
    <w:basedOn w:val="a0"/>
    <w:rsid w:val="00CF16BD"/>
    <w:rPr>
      <w:sz w:val="18"/>
      <w:szCs w:val="18"/>
    </w:rPr>
  </w:style>
  <w:style w:type="paragraph" w:styleId="ae">
    <w:name w:val="annotation text"/>
    <w:basedOn w:val="a"/>
    <w:link w:val="af"/>
    <w:rsid w:val="00CF16BD"/>
  </w:style>
  <w:style w:type="character" w:customStyle="1" w:styleId="af">
    <w:name w:val="コメント文字列 (文字)"/>
    <w:basedOn w:val="a0"/>
    <w:link w:val="ae"/>
    <w:rsid w:val="00CF16BD"/>
    <w:rPr>
      <w:sz w:val="22"/>
      <w:lang w:eastAsia="en-US"/>
    </w:rPr>
  </w:style>
  <w:style w:type="paragraph" w:styleId="af0">
    <w:name w:val="annotation subject"/>
    <w:basedOn w:val="ae"/>
    <w:next w:val="ae"/>
    <w:link w:val="af1"/>
    <w:rsid w:val="00CF16BD"/>
    <w:rPr>
      <w:b/>
      <w:bCs/>
    </w:rPr>
  </w:style>
  <w:style w:type="character" w:customStyle="1" w:styleId="af1">
    <w:name w:val="コメント内容 (文字)"/>
    <w:basedOn w:val="af"/>
    <w:link w:val="af0"/>
    <w:rsid w:val="00CF16BD"/>
    <w:rPr>
      <w:b/>
      <w:bCs/>
    </w:rPr>
  </w:style>
  <w:style w:type="paragraph" w:styleId="af2">
    <w:name w:val="Revision"/>
    <w:hidden/>
    <w:uiPriority w:val="99"/>
    <w:semiHidden/>
    <w:rsid w:val="003A5B03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yamamoto.tomoyuki@sharp.co.jp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4739</CharactersWithSpaces>
  <SharedDoc>false</SharedDoc>
  <HLinks>
    <vt:vector size="72" baseType="variant">
      <vt:variant>
        <vt:i4>2097173</vt:i4>
      </vt:variant>
      <vt:variant>
        <vt:i4>33</vt:i4>
      </vt:variant>
      <vt:variant>
        <vt:i4>0</vt:i4>
      </vt:variant>
      <vt:variant>
        <vt:i4>5</vt:i4>
      </vt:variant>
      <vt:variant>
        <vt:lpwstr>mailto:eric.nassor@crf.canon.fr</vt:lpwstr>
      </vt:variant>
      <vt:variant>
        <vt:lpwstr/>
      </vt:variant>
      <vt:variant>
        <vt:i4>393251</vt:i4>
      </vt:variant>
      <vt:variant>
        <vt:i4>30</vt:i4>
      </vt:variant>
      <vt:variant>
        <vt:i4>0</vt:i4>
      </vt:variant>
      <vt:variant>
        <vt:i4>5</vt:i4>
      </vt:variant>
      <vt:variant>
        <vt:lpwstr>mailto:fabrice.leleannec@crf.canon.fr</vt:lpwstr>
      </vt:variant>
      <vt:variant>
        <vt:lpwstr/>
      </vt:variant>
      <vt:variant>
        <vt:i4>4259956</vt:i4>
      </vt:variant>
      <vt:variant>
        <vt:i4>27</vt:i4>
      </vt:variant>
      <vt:variant>
        <vt:i4>0</vt:i4>
      </vt:variant>
      <vt:variant>
        <vt:i4>5</vt:i4>
      </vt:variant>
      <vt:variant>
        <vt:lpwstr>mailto:sebastien.lasserre@crf.canon.fr</vt:lpwstr>
      </vt:variant>
      <vt:variant>
        <vt:lpwstr/>
      </vt:variant>
      <vt:variant>
        <vt:i4>1245299</vt:i4>
      </vt:variant>
      <vt:variant>
        <vt:i4>24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2031718</vt:i4>
      </vt:variant>
      <vt:variant>
        <vt:i4>21</vt:i4>
      </vt:variant>
      <vt:variant>
        <vt:i4>0</vt:i4>
      </vt:variant>
      <vt:variant>
        <vt:i4>5</vt:i4>
      </vt:variant>
      <vt:variant>
        <vt:lpwstr>mailto:liweig@qti.qualcomm.com</vt:lpwstr>
      </vt:variant>
      <vt:variant>
        <vt:lpwstr/>
      </vt:variant>
      <vt:variant>
        <vt:i4>7471109</vt:i4>
      </vt:variant>
      <vt:variant>
        <vt:i4>18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393331</vt:i4>
      </vt:variant>
      <vt:variant>
        <vt:i4>15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  <vt:variant>
        <vt:i4>3080257</vt:i4>
      </vt:variant>
      <vt:variant>
        <vt:i4>12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9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1179701</vt:i4>
      </vt:variant>
      <vt:variant>
        <vt:i4>6</vt:i4>
      </vt:variant>
      <vt:variant>
        <vt:i4>0</vt:i4>
      </vt:variant>
      <vt:variant>
        <vt:i4>5</vt:i4>
      </vt:variant>
      <vt:variant>
        <vt:lpwstr>mailto:tomohiro.ikai@sharp.co.jp</vt:lpwstr>
      </vt:variant>
      <vt:variant>
        <vt:lpwstr/>
      </vt:variant>
      <vt:variant>
        <vt:i4>131120</vt:i4>
      </vt:variant>
      <vt:variant>
        <vt:i4>3</vt:i4>
      </vt:variant>
      <vt:variant>
        <vt:i4>0</vt:i4>
      </vt:variant>
      <vt:variant>
        <vt:i4>5</vt:i4>
      </vt:variant>
      <vt:variant>
        <vt:lpwstr>mailto:yamamoto.tomoyuki@sharp.co.jp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tyamamoto</cp:lastModifiedBy>
  <cp:revision>141</cp:revision>
  <cp:lastPrinted>2013-03-22T06:17:00Z</cp:lastPrinted>
  <dcterms:created xsi:type="dcterms:W3CDTF">2013-03-07T02:29:00Z</dcterms:created>
  <dcterms:modified xsi:type="dcterms:W3CDTF">2013-04-08T02:07:00Z</dcterms:modified>
</cp:coreProperties>
</file>