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C104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C104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2396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396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58117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A82D43">
              <w:rPr>
                <w:u w:val="single"/>
                <w:lang w:val="en-CA"/>
              </w:rPr>
              <w:t>0</w:t>
            </w:r>
            <w:r w:rsidR="0058117B">
              <w:rPr>
                <w:u w:val="single"/>
                <w:lang w:val="en-CA"/>
              </w:rPr>
              <w:t>364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26AFD" w:rsidP="00A5162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Cross-check of </w:t>
            </w:r>
            <w:r w:rsidR="0058117B">
              <w:rPr>
                <w:b/>
                <w:szCs w:val="22"/>
                <w:lang w:val="en-CA"/>
              </w:rPr>
              <w:t>JCT-VC L0</w:t>
            </w:r>
            <w:r w:rsidR="00A5162D">
              <w:rPr>
                <w:b/>
                <w:szCs w:val="22"/>
                <w:lang w:val="en-CA"/>
              </w:rPr>
              <w:t>336</w:t>
            </w:r>
            <w:r w:rsidR="0058117B">
              <w:rPr>
                <w:b/>
                <w:szCs w:val="22"/>
                <w:lang w:val="en-CA"/>
              </w:rPr>
              <w:t xml:space="preserve"> </w:t>
            </w:r>
            <w:r w:rsidR="00A5162D">
              <w:rPr>
                <w:b/>
                <w:szCs w:val="22"/>
                <w:lang w:val="en-CA"/>
              </w:rPr>
              <w:t>on motion mapping in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87EF0" w:rsidP="00A82D4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Input document to </w:t>
            </w:r>
            <w:r w:rsidR="00A82D43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626AFD" w:rsidP="00626AF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626AFD" w:rsidP="00626AF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A5162D">
              <w:rPr>
                <w:szCs w:val="22"/>
                <w:lang w:val="en-CA"/>
              </w:rPr>
              <w:t>, Xiaoyu Xiu</w:t>
            </w:r>
            <w:r w:rsidR="00E61DAC" w:rsidRPr="005B217D">
              <w:rPr>
                <w:szCs w:val="22"/>
                <w:lang w:val="en-CA"/>
              </w:rPr>
              <w:br/>
            </w:r>
            <w:r w:rsidR="00B87EF0">
              <w:rPr>
                <w:rFonts w:hint="eastAsia"/>
                <w:szCs w:val="22"/>
                <w:lang w:eastAsia="ko-KR"/>
              </w:rPr>
              <w:t>9</w:t>
            </w:r>
            <w:r w:rsidR="00B87EF0">
              <w:rPr>
                <w:szCs w:val="22"/>
              </w:rPr>
              <w:t>710 Scranton Rd, Suite 250</w:t>
            </w:r>
            <w:r w:rsidR="00B87EF0"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</w:rPr>
              <w:t>San Diego, CA 92121</w:t>
            </w:r>
            <w:r w:rsidR="00B87EF0">
              <w:rPr>
                <w:rFonts w:hint="eastAsia"/>
                <w:szCs w:val="22"/>
                <w:lang w:eastAsia="ko-KR"/>
              </w:rPr>
              <w:t>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B87EF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  <w:lang w:val="en-CA"/>
              </w:rPr>
              <w:t>+1-858-210-4807</w:t>
            </w:r>
            <w:r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87EF0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</w:rPr>
              <w:t>InterDigital</w:t>
            </w:r>
            <w:proofErr w:type="spellEnd"/>
            <w:r>
              <w:rPr>
                <w:szCs w:val="22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26AFD" w:rsidRPr="005B217D" w:rsidRDefault="00626AFD" w:rsidP="00626AFD">
      <w:pPr>
        <w:jc w:val="both"/>
        <w:rPr>
          <w:szCs w:val="22"/>
          <w:lang w:val="en-CA"/>
        </w:rPr>
      </w:pPr>
      <w:r>
        <w:rPr>
          <w:lang w:val="en-CA"/>
        </w:rPr>
        <w:t>This contribution reports the cross-check results of</w:t>
      </w:r>
      <w:r w:rsidR="0058669D">
        <w:rPr>
          <w:lang w:val="en-CA"/>
        </w:rPr>
        <w:t xml:space="preserve"> </w:t>
      </w:r>
      <w:r w:rsidR="0058117B" w:rsidRPr="0058117B">
        <w:rPr>
          <w:szCs w:val="22"/>
          <w:lang w:val="en-CA"/>
        </w:rPr>
        <w:t>JCT-VC L0</w:t>
      </w:r>
      <w:r w:rsidR="00A5162D">
        <w:rPr>
          <w:szCs w:val="22"/>
          <w:lang w:val="en-CA"/>
        </w:rPr>
        <w:t>336</w:t>
      </w:r>
      <w:r w:rsidR="0058117B">
        <w:rPr>
          <w:szCs w:val="22"/>
          <w:lang w:val="en-CA"/>
        </w:rPr>
        <w:t>,</w:t>
      </w:r>
      <w:r w:rsidR="0058117B" w:rsidRPr="0058117B">
        <w:rPr>
          <w:szCs w:val="22"/>
          <w:lang w:val="en-CA"/>
        </w:rPr>
        <w:t xml:space="preserve"> </w:t>
      </w:r>
      <w:r w:rsidR="00A5162D">
        <w:rPr>
          <w:szCs w:val="22"/>
          <w:lang w:val="en-CA"/>
        </w:rPr>
        <w:t>on motion mapping in SHVC</w:t>
      </w:r>
      <w:r w:rsidR="0058117B">
        <w:rPr>
          <w:szCs w:val="22"/>
          <w:lang w:val="en-CA"/>
        </w:rPr>
        <w:t>,</w:t>
      </w:r>
      <w:r w:rsidR="0058117B" w:rsidRPr="0058117B">
        <w:rPr>
          <w:lang w:val="en-CA"/>
        </w:rPr>
        <w:t xml:space="preserve"> </w:t>
      </w:r>
      <w:r>
        <w:rPr>
          <w:lang w:val="en-CA"/>
        </w:rPr>
        <w:t xml:space="preserve">from </w:t>
      </w:r>
      <w:r w:rsidR="00A5162D">
        <w:rPr>
          <w:lang w:val="en-CA"/>
        </w:rPr>
        <w:t>Qualcomm</w:t>
      </w:r>
      <w:r>
        <w:rPr>
          <w:lang w:val="en-CA"/>
        </w:rPr>
        <w:t xml:space="preserve">. The cross check results match the </w:t>
      </w:r>
      <w:r w:rsidR="0058117B">
        <w:rPr>
          <w:lang w:val="en-CA"/>
        </w:rPr>
        <w:t>results</w:t>
      </w:r>
      <w:r>
        <w:rPr>
          <w:lang w:val="en-CA"/>
        </w:rPr>
        <w:t xml:space="preserve"> </w:t>
      </w:r>
      <w:r w:rsidR="00BE50B4">
        <w:rPr>
          <w:lang w:val="en-CA"/>
        </w:rPr>
        <w:t>provided</w:t>
      </w:r>
      <w:r>
        <w:rPr>
          <w:lang w:val="en-CA"/>
        </w:rPr>
        <w:t xml:space="preserve"> by </w:t>
      </w:r>
      <w:r w:rsidR="00A5162D">
        <w:rPr>
          <w:lang w:val="en-CA"/>
        </w:rPr>
        <w:t>Qualcomm</w:t>
      </w:r>
      <w:r>
        <w:rPr>
          <w:lang w:val="en-CA"/>
        </w:rPr>
        <w:t>.</w:t>
      </w:r>
    </w:p>
    <w:p w:rsidR="007B7063" w:rsidRDefault="00626AFD" w:rsidP="006C48EF">
      <w:pPr>
        <w:pStyle w:val="Heading1"/>
      </w:pPr>
      <w:r>
        <w:t>Introduction</w:t>
      </w:r>
    </w:p>
    <w:p w:rsidR="00E61DAC" w:rsidRPr="00A5162D" w:rsidRDefault="00626AFD" w:rsidP="009234A5">
      <w:pPr>
        <w:jc w:val="both"/>
        <w:rPr>
          <w:b/>
          <w:szCs w:val="22"/>
          <w:lang w:val="en-CA"/>
        </w:rPr>
      </w:pPr>
      <w:r>
        <w:rPr>
          <w:szCs w:val="22"/>
          <w:lang w:val="en-CA"/>
        </w:rPr>
        <w:t>In JCTVC-</w:t>
      </w:r>
      <w:proofErr w:type="gramStart"/>
      <w:r w:rsidR="0058117B">
        <w:rPr>
          <w:szCs w:val="22"/>
          <w:lang w:val="en-CA"/>
        </w:rPr>
        <w:t>L0</w:t>
      </w:r>
      <w:r w:rsidR="00A5162D">
        <w:rPr>
          <w:szCs w:val="22"/>
          <w:lang w:val="en-CA"/>
        </w:rPr>
        <w:t>336</w:t>
      </w:r>
      <w:proofErr w:type="gramEnd"/>
      <w:r w:rsidR="001C1049">
        <w:rPr>
          <w:szCs w:val="22"/>
          <w:lang w:val="en-CA"/>
        </w:rPr>
        <w:fldChar w:fldCharType="begin"/>
      </w:r>
      <w:r w:rsidR="0058669D">
        <w:rPr>
          <w:szCs w:val="22"/>
          <w:lang w:val="en-CA"/>
        </w:rPr>
        <w:instrText xml:space="preserve"> REF _Ref295304050 \r \h </w:instrText>
      </w:r>
      <w:r w:rsidR="001C1049">
        <w:rPr>
          <w:szCs w:val="22"/>
          <w:lang w:val="en-CA"/>
        </w:rPr>
      </w:r>
      <w:r w:rsidR="001C1049">
        <w:rPr>
          <w:szCs w:val="22"/>
          <w:lang w:val="en-CA"/>
        </w:rPr>
        <w:fldChar w:fldCharType="separate"/>
      </w:r>
      <w:r w:rsidR="0058669D">
        <w:rPr>
          <w:szCs w:val="22"/>
          <w:lang w:val="en-CA"/>
        </w:rPr>
        <w:t>[1]</w:t>
      </w:r>
      <w:r w:rsidR="001C1049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</w:t>
      </w:r>
      <w:r w:rsidR="00A5162D">
        <w:rPr>
          <w:szCs w:val="22"/>
          <w:lang w:val="en-CA"/>
        </w:rPr>
        <w:t xml:space="preserve">a simplified motion mapping scheme is proposed. The motion parameters and prediction mode for each 16x16 block of up-sampled inter-layer reference picture is copied from its collocated base layer block. </w:t>
      </w:r>
      <w:r w:rsidR="00A5162D">
        <w:rPr>
          <w:lang w:val="en-CA"/>
        </w:rPr>
        <w:t>The picture level information which is used in TMVP derivation process is also copied from the base layer picture to avoid low level modification.</w:t>
      </w:r>
    </w:p>
    <w:p w:rsidR="00DC06DE" w:rsidRDefault="00DC06DE" w:rsidP="00E11923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A82D43" w:rsidRDefault="00DC06DE" w:rsidP="00A82D43">
      <w:pPr>
        <w:rPr>
          <w:lang w:val="en-GB"/>
        </w:rPr>
      </w:pPr>
      <w:r>
        <w:rPr>
          <w:lang w:val="en-CA"/>
        </w:rPr>
        <w:t xml:space="preserve">The proposed scheme is </w:t>
      </w:r>
      <w:r w:rsidR="00626AFD">
        <w:rPr>
          <w:lang w:val="en-CA"/>
        </w:rPr>
        <w:t xml:space="preserve">verified. </w:t>
      </w:r>
      <w:r w:rsidR="00F012F7">
        <w:rPr>
          <w:lang w:val="en-CA"/>
        </w:rPr>
        <w:t xml:space="preserve">The anchor in </w:t>
      </w:r>
      <w:r w:rsidR="001C1049">
        <w:rPr>
          <w:lang w:val="en-CA"/>
        </w:rPr>
        <w:fldChar w:fldCharType="begin"/>
      </w:r>
      <w:r w:rsidR="00F012F7">
        <w:rPr>
          <w:lang w:val="en-CA"/>
        </w:rPr>
        <w:instrText xml:space="preserve"> REF _Ref345506491 \r \h </w:instrText>
      </w:r>
      <w:r w:rsidR="001C1049">
        <w:rPr>
          <w:lang w:val="en-CA"/>
        </w:rPr>
      </w:r>
      <w:r w:rsidR="001C1049">
        <w:rPr>
          <w:lang w:val="en-CA"/>
        </w:rPr>
        <w:fldChar w:fldCharType="separate"/>
      </w:r>
      <w:r w:rsidR="00F012F7">
        <w:rPr>
          <w:lang w:val="en-CA"/>
        </w:rPr>
        <w:t>Table 1</w:t>
      </w:r>
      <w:r w:rsidR="001C1049">
        <w:rPr>
          <w:lang w:val="en-CA"/>
        </w:rPr>
        <w:fldChar w:fldCharType="end"/>
      </w:r>
      <w:r w:rsidR="00F012F7">
        <w:rPr>
          <w:lang w:val="en-CA"/>
        </w:rPr>
        <w:t xml:space="preserve"> is the results of </w:t>
      </w:r>
      <w:proofErr w:type="spellStart"/>
      <w:r w:rsidR="00A5162D">
        <w:rPr>
          <w:lang w:val="en-CA"/>
        </w:rPr>
        <w:t>SMuC</w:t>
      </w:r>
      <w:proofErr w:type="spellEnd"/>
      <w:r w:rsidR="00A5162D">
        <w:rPr>
          <w:lang w:val="en-CA"/>
        </w:rPr>
        <w:t xml:space="preserve"> 0.1.1</w:t>
      </w:r>
      <w:r w:rsidR="00F012F7">
        <w:rPr>
          <w:lang w:val="en-CA"/>
        </w:rPr>
        <w:t xml:space="preserve"> </w:t>
      </w:r>
      <w:proofErr w:type="spellStart"/>
      <w:r w:rsidR="00A5162D">
        <w:rPr>
          <w:lang w:val="en-CA"/>
        </w:rPr>
        <w:t>ref_idx</w:t>
      </w:r>
      <w:proofErr w:type="spellEnd"/>
      <w:r w:rsidR="00A5162D">
        <w:rPr>
          <w:lang w:val="en-CA"/>
        </w:rPr>
        <w:t xml:space="preserve"> </w:t>
      </w:r>
      <w:r w:rsidR="00F012F7">
        <w:rPr>
          <w:lang w:val="en-CA"/>
        </w:rPr>
        <w:t xml:space="preserve">framework. </w:t>
      </w:r>
      <w:r w:rsidR="00626AFD">
        <w:rPr>
          <w:lang w:val="en-CA"/>
        </w:rPr>
        <w:t>Please note encode/decode times are not reliable because of the inhomogeneous computer clusters</w:t>
      </w:r>
      <w:r>
        <w:rPr>
          <w:lang w:val="en-CA"/>
        </w:rPr>
        <w:t>.</w:t>
      </w:r>
      <w:r w:rsidR="00626AFD">
        <w:rPr>
          <w:lang w:val="en-CA"/>
        </w:rPr>
        <w:t xml:space="preserve"> </w:t>
      </w:r>
      <w:r w:rsidR="00A82D43">
        <w:rPr>
          <w:lang w:val="en-GB"/>
        </w:rPr>
        <w:t>Full simulation results are provided i</w:t>
      </w:r>
      <w:r w:rsidR="0014514B">
        <w:rPr>
          <w:lang w:val="en-GB"/>
        </w:rPr>
        <w:t>n the attached Excel sheets.</w:t>
      </w:r>
      <w:r w:rsidR="009077E4">
        <w:rPr>
          <w:lang w:val="en-GB"/>
        </w:rPr>
        <w:t xml:space="preserve"> </w:t>
      </w:r>
      <w:r w:rsidR="00626AFD">
        <w:rPr>
          <w:lang w:val="en-GB"/>
        </w:rPr>
        <w:t xml:space="preserve">The results match the simulation results provided by </w:t>
      </w:r>
      <w:r w:rsidR="00A5162D">
        <w:rPr>
          <w:lang w:val="en-GB"/>
        </w:rPr>
        <w:t>Qualcomm</w:t>
      </w:r>
      <w:r w:rsidR="00626AFD">
        <w:rPr>
          <w:lang w:val="en-GB"/>
        </w:rPr>
        <w:t>.</w:t>
      </w:r>
    </w:p>
    <w:p w:rsidR="00790528" w:rsidRPr="00626AFD" w:rsidRDefault="00790528" w:rsidP="00A82D43">
      <w:pPr>
        <w:rPr>
          <w:lang w:val="en-CA"/>
        </w:rPr>
      </w:pPr>
    </w:p>
    <w:p w:rsidR="00DC06DE" w:rsidRDefault="00626AFD" w:rsidP="00DC06DE">
      <w:pPr>
        <w:pStyle w:val="Caption"/>
        <w:numPr>
          <w:ilvl w:val="0"/>
          <w:numId w:val="12"/>
        </w:numPr>
        <w:jc w:val="center"/>
      </w:pPr>
      <w:bookmarkStart w:id="0" w:name="_Ref345506491"/>
      <w:r>
        <w:t>Cross-check Results</w:t>
      </w:r>
      <w:r w:rsidR="00790528">
        <w:t xml:space="preserve"> (</w:t>
      </w:r>
      <w:proofErr w:type="spellStart"/>
      <w:r w:rsidR="00790528">
        <w:t>refidx</w:t>
      </w:r>
      <w:proofErr w:type="spellEnd"/>
      <w:r w:rsidR="00790528">
        <w:t xml:space="preserve"> vs. </w:t>
      </w:r>
      <w:r w:rsidR="00A5162D">
        <w:t>L0336</w:t>
      </w:r>
      <w:r w:rsidR="00790528">
        <w:t>)</w:t>
      </w:r>
      <w:bookmarkEnd w:id="0"/>
    </w:p>
    <w:tbl>
      <w:tblPr>
        <w:tblW w:w="8620" w:type="dxa"/>
        <w:tblInd w:w="97" w:type="dxa"/>
        <w:tblLook w:val="04A0"/>
      </w:tblPr>
      <w:tblGrid>
        <w:gridCol w:w="142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A5162D" w:rsidRPr="00A5162D" w:rsidTr="00A5162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162D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-2.1%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-4.7%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-5.3%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-4.4%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-7.1%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-8.2%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-3.8%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-7.2%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-8.1%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99.5%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101.8%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97.8%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104.0%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107.5%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104.2%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2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-1.0%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-1.0%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-1.6%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-1.3%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-2.0%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7F7F7F"/>
                <w:sz w:val="18"/>
                <w:szCs w:val="18"/>
              </w:rPr>
              <w:t>-2.2%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101.6%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101.8%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97.0%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105.0%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109.2%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100.2%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2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A5162D" w:rsidRPr="00A5162D" w:rsidTr="00A5162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162D" w:rsidRPr="00A5162D" w:rsidRDefault="00A5162D" w:rsidP="00A51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162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A5162D" w:rsidRPr="00A5162D" w:rsidRDefault="00A5162D" w:rsidP="00A5162D"/>
    <w:tbl>
      <w:tblPr>
        <w:tblW w:w="9362" w:type="dxa"/>
        <w:tblInd w:w="97" w:type="dxa"/>
        <w:tblLook w:val="04A0"/>
      </w:tblPr>
      <w:tblGrid>
        <w:gridCol w:w="1420"/>
        <w:gridCol w:w="927"/>
        <w:gridCol w:w="927"/>
        <w:gridCol w:w="927"/>
        <w:gridCol w:w="871"/>
        <w:gridCol w:w="765"/>
        <w:gridCol w:w="765"/>
        <w:gridCol w:w="820"/>
        <w:gridCol w:w="900"/>
        <w:gridCol w:w="1040"/>
      </w:tblGrid>
      <w:tr w:rsidR="00790528" w:rsidRPr="00790528" w:rsidTr="00A5162D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A04054" w:rsidRDefault="00A04054" w:rsidP="00A04054">
      <w:pPr>
        <w:jc w:val="both"/>
        <w:rPr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LLC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/>
        </w:rPr>
      </w:pPr>
    </w:p>
    <w:p w:rsidR="00A04054" w:rsidRPr="00855F5E" w:rsidRDefault="00A04054" w:rsidP="00A04054">
      <w:pPr>
        <w:pStyle w:val="Heading1"/>
        <w:numPr>
          <w:ilvl w:val="0"/>
          <w:numId w:val="0"/>
        </w:numPr>
        <w:jc w:val="both"/>
      </w:pPr>
      <w:bookmarkStart w:id="1" w:name="_Toc258950902"/>
      <w:bookmarkStart w:id="2" w:name="_Toc336854407"/>
      <w:r w:rsidRPr="00855F5E">
        <w:rPr>
          <w:rFonts w:hint="eastAsia"/>
        </w:rPr>
        <w:t>References</w:t>
      </w:r>
      <w:bookmarkEnd w:id="1"/>
      <w:bookmarkEnd w:id="2"/>
    </w:p>
    <w:bookmarkStart w:id="3" w:name="_Ref305686033"/>
    <w:bookmarkStart w:id="4" w:name="_Ref295304050"/>
    <w:bookmarkStart w:id="5" w:name="_Ref211137291"/>
    <w:p w:rsidR="00A04054" w:rsidRPr="006311C0" w:rsidRDefault="001C1049" w:rsidP="00A04054">
      <w:pPr>
        <w:pStyle w:val="SPIEreferencelisting"/>
        <w:rPr>
          <w:sz w:val="22"/>
          <w:szCs w:val="22"/>
        </w:rPr>
      </w:pPr>
      <w:r w:rsidRPr="006311C0">
        <w:rPr>
          <w:sz w:val="22"/>
          <w:szCs w:val="22"/>
        </w:rPr>
        <w:fldChar w:fldCharType="begin"/>
      </w:r>
      <w:r w:rsidR="00A5162D" w:rsidRPr="006311C0">
        <w:rPr>
          <w:sz w:val="22"/>
          <w:szCs w:val="22"/>
        </w:rPr>
        <w:instrText xml:space="preserve"> HYPERLINK "mailto:cjianle@qti.qualcomm.com%20" </w:instrText>
      </w:r>
      <w:r w:rsidRPr="006311C0">
        <w:rPr>
          <w:sz w:val="22"/>
          <w:szCs w:val="22"/>
        </w:rPr>
        <w:fldChar w:fldCharType="separate"/>
      </w:r>
      <w:r w:rsidR="00A5162D" w:rsidRPr="006311C0">
        <w:rPr>
          <w:rStyle w:val="Hyperlink"/>
          <w:sz w:val="22"/>
          <w:szCs w:val="22"/>
        </w:rPr>
        <w:t>J. Chen</w:t>
      </w:r>
      <w:r w:rsidRPr="006311C0">
        <w:rPr>
          <w:sz w:val="22"/>
          <w:szCs w:val="22"/>
        </w:rPr>
        <w:fldChar w:fldCharType="end"/>
      </w:r>
      <w:r w:rsidR="00A5162D" w:rsidRPr="006311C0">
        <w:rPr>
          <w:sz w:val="22"/>
          <w:szCs w:val="22"/>
        </w:rPr>
        <w:t xml:space="preserve">, </w:t>
      </w:r>
      <w:hyperlink r:id="rId9" w:history="1">
        <w:r w:rsidR="00A5162D" w:rsidRPr="006311C0">
          <w:rPr>
            <w:rStyle w:val="Hyperlink"/>
            <w:sz w:val="22"/>
            <w:szCs w:val="22"/>
          </w:rPr>
          <w:t>V. Seregin</w:t>
        </w:r>
      </w:hyperlink>
      <w:r w:rsidR="00A5162D" w:rsidRPr="006311C0">
        <w:rPr>
          <w:sz w:val="22"/>
          <w:szCs w:val="22"/>
        </w:rPr>
        <w:t xml:space="preserve">, </w:t>
      </w:r>
      <w:hyperlink r:id="rId10" w:history="1">
        <w:r w:rsidR="00A5162D" w:rsidRPr="006311C0">
          <w:rPr>
            <w:rStyle w:val="Hyperlink"/>
            <w:sz w:val="22"/>
            <w:szCs w:val="22"/>
          </w:rPr>
          <w:t>L. Guo</w:t>
        </w:r>
      </w:hyperlink>
      <w:r w:rsidR="00A5162D" w:rsidRPr="006311C0">
        <w:rPr>
          <w:sz w:val="22"/>
          <w:szCs w:val="22"/>
        </w:rPr>
        <w:t xml:space="preserve">, </w:t>
      </w:r>
      <w:hyperlink r:id="rId11" w:history="1">
        <w:r w:rsidR="00A5162D" w:rsidRPr="006311C0">
          <w:rPr>
            <w:rStyle w:val="Hyperlink"/>
            <w:sz w:val="22"/>
            <w:szCs w:val="22"/>
          </w:rPr>
          <w:t xml:space="preserve">M. </w:t>
        </w:r>
        <w:proofErr w:type="spellStart"/>
        <w:proofErr w:type="gramStart"/>
        <w:r w:rsidR="00A5162D" w:rsidRPr="006311C0">
          <w:rPr>
            <w:rStyle w:val="Hyperlink"/>
            <w:sz w:val="22"/>
            <w:szCs w:val="22"/>
          </w:rPr>
          <w:t>Karczewicz</w:t>
        </w:r>
        <w:proofErr w:type="spellEnd"/>
        <w:r w:rsidR="00A5162D" w:rsidRPr="006311C0">
          <w:rPr>
            <w:rStyle w:val="Hyperlink"/>
            <w:sz w:val="22"/>
            <w:szCs w:val="22"/>
          </w:rPr>
          <w:t xml:space="preserve"> </w:t>
        </w:r>
        <w:proofErr w:type="gramEnd"/>
      </w:hyperlink>
      <w:r w:rsidR="00A5162D" w:rsidRPr="006311C0">
        <w:rPr>
          <w:sz w:val="22"/>
          <w:szCs w:val="22"/>
        </w:rPr>
        <w:t>, Non-TE5: on motion mapping in SHVC</w:t>
      </w:r>
      <w:r w:rsidR="00472F83" w:rsidRPr="006311C0">
        <w:rPr>
          <w:sz w:val="22"/>
          <w:szCs w:val="22"/>
        </w:rPr>
        <w:t>. Document no JCTVC-</w:t>
      </w:r>
      <w:r w:rsidR="0058117B" w:rsidRPr="006311C0">
        <w:rPr>
          <w:sz w:val="22"/>
          <w:szCs w:val="22"/>
        </w:rPr>
        <w:t>L0</w:t>
      </w:r>
      <w:r w:rsidR="00A5162D" w:rsidRPr="006311C0">
        <w:rPr>
          <w:sz w:val="22"/>
          <w:szCs w:val="22"/>
        </w:rPr>
        <w:t>336</w:t>
      </w:r>
      <w:r w:rsidR="00A04054" w:rsidRPr="006311C0">
        <w:rPr>
          <w:sz w:val="22"/>
          <w:szCs w:val="22"/>
        </w:rPr>
        <w:t xml:space="preserve">. </w:t>
      </w:r>
      <w:r w:rsidR="0058117B" w:rsidRPr="006311C0">
        <w:rPr>
          <w:sz w:val="22"/>
          <w:szCs w:val="22"/>
        </w:rPr>
        <w:t>Jan</w:t>
      </w:r>
      <w:r w:rsidR="00A04054" w:rsidRPr="006311C0">
        <w:rPr>
          <w:sz w:val="22"/>
          <w:szCs w:val="22"/>
        </w:rPr>
        <w:t>. 201</w:t>
      </w:r>
      <w:bookmarkEnd w:id="3"/>
      <w:r w:rsidR="0058117B" w:rsidRPr="006311C0">
        <w:rPr>
          <w:sz w:val="22"/>
          <w:szCs w:val="22"/>
        </w:rPr>
        <w:t>3</w:t>
      </w:r>
      <w:r w:rsidR="00A04054" w:rsidRPr="006311C0">
        <w:rPr>
          <w:sz w:val="22"/>
          <w:szCs w:val="22"/>
        </w:rPr>
        <w:t>.</w:t>
      </w:r>
      <w:bookmarkEnd w:id="4"/>
    </w:p>
    <w:bookmarkEnd w:id="5"/>
    <w:p w:rsidR="00A04054" w:rsidRPr="005B217D" w:rsidRDefault="00A04054" w:rsidP="009234A5">
      <w:pPr>
        <w:jc w:val="both"/>
        <w:rPr>
          <w:szCs w:val="22"/>
          <w:lang w:val="en-CA"/>
        </w:rPr>
      </w:pPr>
    </w:p>
    <w:sectPr w:rsidR="00A04054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42B" w:rsidRDefault="00E7242B">
      <w:r>
        <w:separator/>
      </w:r>
    </w:p>
  </w:endnote>
  <w:endnote w:type="continuationSeparator" w:id="0">
    <w:p w:rsidR="00E7242B" w:rsidRDefault="00E72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43" w:rsidRDefault="00A82D4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C104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C1049">
      <w:rPr>
        <w:rStyle w:val="PageNumber"/>
      </w:rPr>
      <w:fldChar w:fldCharType="separate"/>
    </w:r>
    <w:r w:rsidR="006311C0">
      <w:rPr>
        <w:rStyle w:val="PageNumber"/>
        <w:noProof/>
      </w:rPr>
      <w:t>2</w:t>
    </w:r>
    <w:r w:rsidR="001C104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C104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C1049">
      <w:rPr>
        <w:rStyle w:val="PageNumber"/>
      </w:rPr>
      <w:fldChar w:fldCharType="separate"/>
    </w:r>
    <w:r w:rsidR="00BE50B4">
      <w:rPr>
        <w:rStyle w:val="PageNumber"/>
        <w:noProof/>
      </w:rPr>
      <w:t>2013-01-10</w:t>
    </w:r>
    <w:r w:rsidR="001C104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42B" w:rsidRDefault="00E7242B">
      <w:r>
        <w:separator/>
      </w:r>
    </w:p>
  </w:footnote>
  <w:footnote w:type="continuationSeparator" w:id="0">
    <w:p w:rsidR="00E7242B" w:rsidRDefault="00E724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85BA0"/>
    <w:multiLevelType w:val="hybridMultilevel"/>
    <w:tmpl w:val="929C0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A1B0312"/>
    <w:multiLevelType w:val="hybridMultilevel"/>
    <w:tmpl w:val="73E0C89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01A5B"/>
    <w:multiLevelType w:val="hybridMultilevel"/>
    <w:tmpl w:val="2C181BE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94FF6"/>
    <w:multiLevelType w:val="hybridMultilevel"/>
    <w:tmpl w:val="9E6C192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61D99"/>
    <w:multiLevelType w:val="hybridMultilevel"/>
    <w:tmpl w:val="7DC4424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  <w:num w:numId="14">
    <w:abstractNumId w:val="7"/>
  </w:num>
  <w:num w:numId="15">
    <w:abstractNumId w:val="8"/>
  </w:num>
  <w:num w:numId="16">
    <w:abstractNumId w:val="9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B1C6B"/>
    <w:rsid w:val="000B3AA6"/>
    <w:rsid w:val="000B4FF9"/>
    <w:rsid w:val="000C09AC"/>
    <w:rsid w:val="000E00F3"/>
    <w:rsid w:val="000F158C"/>
    <w:rsid w:val="00102F3D"/>
    <w:rsid w:val="00124E38"/>
    <w:rsid w:val="0012580B"/>
    <w:rsid w:val="00131F90"/>
    <w:rsid w:val="001342BA"/>
    <w:rsid w:val="0013526E"/>
    <w:rsid w:val="0014514B"/>
    <w:rsid w:val="00171371"/>
    <w:rsid w:val="00175A24"/>
    <w:rsid w:val="00187E58"/>
    <w:rsid w:val="001A297E"/>
    <w:rsid w:val="001A368E"/>
    <w:rsid w:val="001A7329"/>
    <w:rsid w:val="001B4E28"/>
    <w:rsid w:val="001C1049"/>
    <w:rsid w:val="001C3525"/>
    <w:rsid w:val="001D1BD2"/>
    <w:rsid w:val="001E02BE"/>
    <w:rsid w:val="001E3B37"/>
    <w:rsid w:val="001F06B4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841F4"/>
    <w:rsid w:val="00292257"/>
    <w:rsid w:val="002A54E0"/>
    <w:rsid w:val="002B1595"/>
    <w:rsid w:val="002B191D"/>
    <w:rsid w:val="002C75D2"/>
    <w:rsid w:val="002D0AF6"/>
    <w:rsid w:val="002D3AD9"/>
    <w:rsid w:val="002D5891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255DB"/>
    <w:rsid w:val="00433DDB"/>
    <w:rsid w:val="00437619"/>
    <w:rsid w:val="0044140F"/>
    <w:rsid w:val="00472F8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117B"/>
    <w:rsid w:val="0058669D"/>
    <w:rsid w:val="005952A5"/>
    <w:rsid w:val="005A33A1"/>
    <w:rsid w:val="005B217D"/>
    <w:rsid w:val="005C385F"/>
    <w:rsid w:val="005E1AC6"/>
    <w:rsid w:val="005F6F1B"/>
    <w:rsid w:val="00624B33"/>
    <w:rsid w:val="00626AFD"/>
    <w:rsid w:val="00626EE2"/>
    <w:rsid w:val="00630AA2"/>
    <w:rsid w:val="006311C0"/>
    <w:rsid w:val="00646707"/>
    <w:rsid w:val="00662E58"/>
    <w:rsid w:val="00664DCF"/>
    <w:rsid w:val="006C48E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0528"/>
    <w:rsid w:val="00796EE3"/>
    <w:rsid w:val="007A7D29"/>
    <w:rsid w:val="007B3B1E"/>
    <w:rsid w:val="007B4AB8"/>
    <w:rsid w:val="007B7063"/>
    <w:rsid w:val="007E5DA6"/>
    <w:rsid w:val="007F1F8B"/>
    <w:rsid w:val="007F67A1"/>
    <w:rsid w:val="00811C05"/>
    <w:rsid w:val="008206C8"/>
    <w:rsid w:val="00874A6C"/>
    <w:rsid w:val="00876C65"/>
    <w:rsid w:val="008808B9"/>
    <w:rsid w:val="008A4B4C"/>
    <w:rsid w:val="008C0428"/>
    <w:rsid w:val="008C239F"/>
    <w:rsid w:val="008E480C"/>
    <w:rsid w:val="00907757"/>
    <w:rsid w:val="009077E4"/>
    <w:rsid w:val="009212B0"/>
    <w:rsid w:val="009234A5"/>
    <w:rsid w:val="009336F7"/>
    <w:rsid w:val="009374A7"/>
    <w:rsid w:val="00961DCA"/>
    <w:rsid w:val="0098551D"/>
    <w:rsid w:val="0099518F"/>
    <w:rsid w:val="009A523D"/>
    <w:rsid w:val="009F362C"/>
    <w:rsid w:val="009F496B"/>
    <w:rsid w:val="00A01439"/>
    <w:rsid w:val="00A02E61"/>
    <w:rsid w:val="00A04054"/>
    <w:rsid w:val="00A05CFF"/>
    <w:rsid w:val="00A2396D"/>
    <w:rsid w:val="00A41F89"/>
    <w:rsid w:val="00A5162D"/>
    <w:rsid w:val="00A56B97"/>
    <w:rsid w:val="00A6093D"/>
    <w:rsid w:val="00A7258A"/>
    <w:rsid w:val="00A76A6D"/>
    <w:rsid w:val="00A82D43"/>
    <w:rsid w:val="00A83253"/>
    <w:rsid w:val="00AA6E84"/>
    <w:rsid w:val="00AD705D"/>
    <w:rsid w:val="00AE341B"/>
    <w:rsid w:val="00AF74DF"/>
    <w:rsid w:val="00B07CA7"/>
    <w:rsid w:val="00B1279A"/>
    <w:rsid w:val="00B1329B"/>
    <w:rsid w:val="00B5222E"/>
    <w:rsid w:val="00B61C96"/>
    <w:rsid w:val="00B73A2A"/>
    <w:rsid w:val="00B87EF0"/>
    <w:rsid w:val="00B94B06"/>
    <w:rsid w:val="00B94C28"/>
    <w:rsid w:val="00BC10BA"/>
    <w:rsid w:val="00BC5AFD"/>
    <w:rsid w:val="00BE50B4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8318A"/>
    <w:rsid w:val="00DA17FC"/>
    <w:rsid w:val="00DA7887"/>
    <w:rsid w:val="00DB2C26"/>
    <w:rsid w:val="00DC06DE"/>
    <w:rsid w:val="00DE6B43"/>
    <w:rsid w:val="00E10453"/>
    <w:rsid w:val="00E11923"/>
    <w:rsid w:val="00E262D4"/>
    <w:rsid w:val="00E36250"/>
    <w:rsid w:val="00E54511"/>
    <w:rsid w:val="00E61DAC"/>
    <w:rsid w:val="00E7242B"/>
    <w:rsid w:val="00E72B80"/>
    <w:rsid w:val="00E75FE3"/>
    <w:rsid w:val="00E82DE9"/>
    <w:rsid w:val="00E86C4C"/>
    <w:rsid w:val="00EB7AB1"/>
    <w:rsid w:val="00EF48CC"/>
    <w:rsid w:val="00F012F7"/>
    <w:rsid w:val="00F6373D"/>
    <w:rsid w:val="00F73032"/>
    <w:rsid w:val="00F848FC"/>
    <w:rsid w:val="00F9282A"/>
    <w:rsid w:val="00F94C63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2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32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329B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6C48EF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rsid w:val="006C48EF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8EF"/>
  </w:style>
  <w:style w:type="paragraph" w:customStyle="1" w:styleId="ColorfulShading-Accent12">
    <w:name w:val="Colorful Shading - Accent 12"/>
    <w:hidden/>
    <w:uiPriority w:val="99"/>
    <w:semiHidden/>
    <w:rsid w:val="006C48EF"/>
    <w:rPr>
      <w:rFonts w:eastAsia="Malgun Gothic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6C48EF"/>
    <w:rPr>
      <w:b/>
      <w:bCs/>
    </w:rPr>
  </w:style>
  <w:style w:type="paragraph" w:customStyle="1" w:styleId="SPIEreferencelisting">
    <w:name w:val="SPIE reference listing"/>
    <w:basedOn w:val="Normal"/>
    <w:rsid w:val="00A04054"/>
    <w:pPr>
      <w:numPr>
        <w:numId w:val="13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table" w:styleId="TableGrid">
    <w:name w:val="Table Grid"/>
    <w:basedOn w:val="TableNormal"/>
    <w:rsid w:val="00AD7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tak@qti.qualcom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iweig@qti.qualcomm.com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seregin@qti.qualcom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3200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10</cp:revision>
  <cp:lastPrinted>2012-11-29T20:43:00Z</cp:lastPrinted>
  <dcterms:created xsi:type="dcterms:W3CDTF">2013-01-07T19:27:00Z</dcterms:created>
  <dcterms:modified xsi:type="dcterms:W3CDTF">2013-01-10T18:27:00Z</dcterms:modified>
</cp:coreProperties>
</file>