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4F3CDC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F3CDC">
              <w:rPr>
                <w:b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val="en-SG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val="en-SG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0B4FF9" w:rsidP="005B3FF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2</w:t>
            </w:r>
            <w:r w:rsidR="00630AA2" w:rsidRPr="00DA7406">
              <w:rPr>
                <w:szCs w:val="22"/>
              </w:rPr>
              <w:t>th</w:t>
            </w:r>
            <w:r w:rsidR="00E61DAC" w:rsidRPr="00DA7406">
              <w:rPr>
                <w:szCs w:val="22"/>
              </w:rPr>
              <w:t xml:space="preserve"> Meeting: </w:t>
            </w:r>
            <w:r w:rsidR="005B3FFE">
              <w:rPr>
                <w:szCs w:val="22"/>
              </w:rPr>
              <w:t>Geneva</w:t>
            </w:r>
            <w:r w:rsidR="005E1AC6" w:rsidRPr="00DA7406">
              <w:rPr>
                <w:szCs w:val="22"/>
              </w:rPr>
              <w:t xml:space="preserve">, </w:t>
            </w:r>
            <w:r w:rsidR="005B3FFE">
              <w:rPr>
                <w:szCs w:val="22"/>
              </w:rPr>
              <w:t>CH</w:t>
            </w:r>
            <w:r w:rsidR="005E1AC6" w:rsidRPr="00DA7406">
              <w:rPr>
                <w:szCs w:val="22"/>
              </w:rPr>
              <w:t xml:space="preserve">, </w:t>
            </w: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4</w:t>
            </w:r>
            <w:r w:rsidR="005E1AC6" w:rsidRPr="00DA7406">
              <w:rPr>
                <w:szCs w:val="22"/>
              </w:rPr>
              <w:t>–</w:t>
            </w:r>
            <w:r w:rsidR="005B3FFE">
              <w:rPr>
                <w:szCs w:val="22"/>
              </w:rPr>
              <w:t>23</w:t>
            </w:r>
            <w:r w:rsidR="005E1AC6" w:rsidRPr="00DA7406">
              <w:rPr>
                <w:szCs w:val="22"/>
              </w:rPr>
              <w:t xml:space="preserve"> </w:t>
            </w:r>
            <w:r w:rsidR="005B3FFE">
              <w:rPr>
                <w:szCs w:val="22"/>
              </w:rPr>
              <w:t>Jan</w:t>
            </w:r>
            <w:r w:rsidR="00811C05" w:rsidRPr="00DA7406">
              <w:rPr>
                <w:szCs w:val="22"/>
              </w:rPr>
              <w:t>.</w:t>
            </w:r>
            <w:r w:rsidR="005E1AC6" w:rsidRPr="00DA7406">
              <w:rPr>
                <w:szCs w:val="22"/>
              </w:rPr>
              <w:t xml:space="preserve"> 201</w:t>
            </w:r>
            <w:r w:rsidR="005B3FFE">
              <w:rPr>
                <w:szCs w:val="22"/>
              </w:rPr>
              <w:t>3</w:t>
            </w:r>
          </w:p>
        </w:tc>
        <w:tc>
          <w:tcPr>
            <w:tcW w:w="3168" w:type="dxa"/>
          </w:tcPr>
          <w:p w:rsidR="008A4B4C" w:rsidRPr="00DA7406" w:rsidRDefault="00E61DAC" w:rsidP="0098431B">
            <w:pPr>
              <w:tabs>
                <w:tab w:val="left" w:pos="7200"/>
              </w:tabs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5B3FFE">
              <w:t>L</w:t>
            </w:r>
            <w:r w:rsidR="0098431B">
              <w:rPr>
                <w:u w:val="single"/>
              </w:rPr>
              <w:t>0327</w:t>
            </w:r>
          </w:p>
        </w:tc>
      </w:tr>
    </w:tbl>
    <w:p w:rsidR="00E61DAC" w:rsidRPr="00DA7406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A7406" w:rsidRDefault="00504116" w:rsidP="00D03AAC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Non-TE3: Cross-check of JCTVC-L0190 on extension of generalized residual prediction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6932C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5B3FFE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Chuohao</w:t>
            </w:r>
            <w:proofErr w:type="spellEnd"/>
            <w:r>
              <w:rPr>
                <w:szCs w:val="22"/>
              </w:rPr>
              <w:t xml:space="preserve"> Yeo</w:t>
            </w:r>
          </w:p>
          <w:p w:rsidR="00E61DAC" w:rsidRPr="00DA7406" w:rsidRDefault="006932C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1 </w:t>
            </w:r>
            <w:proofErr w:type="spellStart"/>
            <w:r w:rsidRPr="00DA7406">
              <w:rPr>
                <w:szCs w:val="22"/>
              </w:rPr>
              <w:t>Fusionopolis</w:t>
            </w:r>
            <w:proofErr w:type="spellEnd"/>
            <w:r w:rsidRPr="00DA7406">
              <w:rPr>
                <w:szCs w:val="22"/>
              </w:rPr>
              <w:t xml:space="preserve"> Way</w:t>
            </w:r>
            <w:r w:rsidRPr="00DA7406">
              <w:rPr>
                <w:szCs w:val="22"/>
              </w:rPr>
              <w:br/>
              <w:t xml:space="preserve">#21-01 </w:t>
            </w:r>
            <w:proofErr w:type="spellStart"/>
            <w:r w:rsidRPr="00DA7406">
              <w:rPr>
                <w:szCs w:val="22"/>
              </w:rPr>
              <w:t>Connexis</w:t>
            </w:r>
            <w:proofErr w:type="spellEnd"/>
            <w:r w:rsidRPr="00DA7406">
              <w:rPr>
                <w:szCs w:val="22"/>
              </w:rPr>
              <w:t xml:space="preserve"> (South Tower)</w:t>
            </w:r>
            <w:r w:rsidRPr="00DA7406">
              <w:rPr>
                <w:szCs w:val="22"/>
              </w:rPr>
              <w:br/>
              <w:t>Singapore 138632</w:t>
            </w:r>
          </w:p>
        </w:tc>
        <w:tc>
          <w:tcPr>
            <w:tcW w:w="900" w:type="dxa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5B3FFE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+65 6408 2000</w:t>
            </w:r>
            <w:r w:rsidR="00E61DAC" w:rsidRPr="00DA7406">
              <w:rPr>
                <w:szCs w:val="22"/>
              </w:rPr>
              <w:br/>
            </w:r>
            <w:r w:rsidR="005B3FFE">
              <w:rPr>
                <w:szCs w:val="22"/>
              </w:rPr>
              <w:t>chyeo</w:t>
            </w:r>
            <w:r w:rsidRPr="00DA7406">
              <w:rPr>
                <w:szCs w:val="22"/>
              </w:rPr>
              <w:t>@i2r.a-star.edu.sg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6932C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Institute for </w:t>
            </w:r>
            <w:proofErr w:type="spellStart"/>
            <w:r w:rsidRPr="00DA7406">
              <w:rPr>
                <w:szCs w:val="22"/>
              </w:rPr>
              <w:t>Infocomm</w:t>
            </w:r>
            <w:proofErr w:type="spellEnd"/>
            <w:r w:rsidRPr="00DA7406">
              <w:rPr>
                <w:szCs w:val="22"/>
              </w:rPr>
              <w:t xml:space="preserve"> Research</w:t>
            </w:r>
          </w:p>
        </w:tc>
      </w:tr>
    </w:tbl>
    <w:p w:rsidR="00E61DAC" w:rsidRPr="00DA7406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DA7406">
        <w:t>Abstract</w:t>
      </w:r>
    </w:p>
    <w:p w:rsidR="00903EF5" w:rsidRPr="00DA7406" w:rsidRDefault="001709E8" w:rsidP="005C2E14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the results of a cross-check of JCTVC-L0190 on </w:t>
      </w:r>
      <w:r w:rsidR="00391554">
        <w:rPr>
          <w:szCs w:val="22"/>
        </w:rPr>
        <w:t xml:space="preserve">an </w:t>
      </w:r>
      <w:r w:rsidR="00B43C72">
        <w:rPr>
          <w:szCs w:val="22"/>
        </w:rPr>
        <w:t xml:space="preserve">extension of generalized residual prediction.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5C2E14" w:rsidRPr="00DA7406" w:rsidRDefault="005C2E14" w:rsidP="009234A5">
      <w:pPr>
        <w:jc w:val="both"/>
        <w:rPr>
          <w:szCs w:val="22"/>
        </w:rPr>
      </w:pPr>
    </w:p>
    <w:p w:rsidR="001A7887" w:rsidRPr="00DA7406" w:rsidRDefault="00745F6B" w:rsidP="004F7485">
      <w:pPr>
        <w:pStyle w:val="Heading1"/>
      </w:pPr>
      <w:r w:rsidRPr="00DA7406">
        <w:t>Introduction</w:t>
      </w:r>
    </w:p>
    <w:p w:rsidR="00E310F3" w:rsidRDefault="00B43C72" w:rsidP="009234A5">
      <w:pPr>
        <w:jc w:val="both"/>
        <w:rPr>
          <w:szCs w:val="22"/>
        </w:rPr>
      </w:pPr>
      <w:r>
        <w:rPr>
          <w:szCs w:val="22"/>
        </w:rPr>
        <w:t>In TE B3, Qualcomm proposed a generalized residual prediction in Test 4.6.2.1. The conventional inter motion compensated predictor is augmented by adding a weighted version of the base layer prediction residual (using the same motion vector as the enhancement layer)</w:t>
      </w:r>
      <w:r w:rsidR="00C36813">
        <w:rPr>
          <w:szCs w:val="22"/>
        </w:rPr>
        <w:t xml:space="preserve">. For example, for </w:t>
      </w:r>
      <w:proofErr w:type="spellStart"/>
      <w:r w:rsidR="00C36813">
        <w:rPr>
          <w:szCs w:val="22"/>
        </w:rPr>
        <w:t>uni</w:t>
      </w:r>
      <w:proofErr w:type="spellEnd"/>
      <w:r w:rsidR="00C36813">
        <w:rPr>
          <w:szCs w:val="22"/>
        </w:rPr>
        <w:t>-directional prediction,</w:t>
      </w:r>
    </w:p>
    <w:p w:rsidR="00B43C72" w:rsidRDefault="00C36813" w:rsidP="009234A5">
      <w:pPr>
        <w:jc w:val="both"/>
        <w:rPr>
          <w:szCs w:val="22"/>
        </w:rPr>
      </w:pPr>
      <m:oMathPara>
        <m:oMath>
          <m:r>
            <w:rPr>
              <w:rFonts w:ascii="Cambria Math" w:hAnsi="Cambria Math"/>
              <w:szCs w:val="22"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  <w:szCs w:val="22"/>
                </w:rPr>
                <m:t>P</m:t>
              </m:r>
            </m:e>
            <m:sub>
              <m:r>
                <w:rPr>
                  <w:rFonts w:ascii="Cambria Math" w:hAnsi="Cambria Math"/>
                  <w:szCs w:val="22"/>
                </w:rPr>
                <m:t>e0</m:t>
              </m:r>
            </m:sub>
          </m:sSub>
          <m:r>
            <w:rPr>
              <w:rFonts w:ascii="Cambria Math" w:hAnsi="Cambria Math"/>
              <w:szCs w:val="22"/>
            </w:rPr>
            <m:t>+w</m:t>
          </m:r>
          <m:d>
            <m:dPr>
              <m:ctrlPr>
                <w:rPr>
                  <w:rFonts w:ascii="Cambria Math" w:hAnsi="Cambria Math"/>
                  <w:i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b0</m:t>
                  </m:r>
                </m:sub>
              </m:sSub>
            </m:e>
          </m:d>
        </m:oMath>
      </m:oMathPara>
    </w:p>
    <w:p w:rsidR="00F3209B" w:rsidRDefault="00C36813" w:rsidP="009234A5">
      <w:pPr>
        <w:jc w:val="both"/>
        <w:rPr>
          <w:szCs w:val="22"/>
        </w:rPr>
      </w:pPr>
      <w:proofErr w:type="gramStart"/>
      <w:r>
        <w:rPr>
          <w:szCs w:val="22"/>
        </w:rPr>
        <w:t>where</w:t>
      </w:r>
      <w:proofErr w:type="gramEnd"/>
      <w:r>
        <w:rPr>
          <w:szCs w:val="22"/>
        </w:rPr>
        <w:t xml:space="preserve"> </w:t>
      </w:r>
      <w:r>
        <w:rPr>
          <w:i/>
          <w:szCs w:val="22"/>
        </w:rPr>
        <w:t>P</w:t>
      </w:r>
      <w:r>
        <w:rPr>
          <w:szCs w:val="22"/>
        </w:rPr>
        <w:t xml:space="preserve"> is the final predictor, </w:t>
      </w:r>
      <w:r w:rsidRPr="00C36813">
        <w:rPr>
          <w:i/>
          <w:szCs w:val="22"/>
        </w:rPr>
        <w:t>P</w:t>
      </w:r>
      <w:r w:rsidRPr="00C36813">
        <w:rPr>
          <w:i/>
          <w:szCs w:val="22"/>
          <w:vertAlign w:val="subscript"/>
        </w:rPr>
        <w:t>e0</w:t>
      </w:r>
      <w:r>
        <w:rPr>
          <w:szCs w:val="22"/>
        </w:rPr>
        <w:t xml:space="preserve"> is the conventional motion compensated predictor, </w:t>
      </w:r>
      <w:r w:rsidRPr="00C36813">
        <w:rPr>
          <w:i/>
          <w:szCs w:val="22"/>
        </w:rPr>
        <w:t>w</w:t>
      </w:r>
      <w:r>
        <w:rPr>
          <w:szCs w:val="22"/>
        </w:rPr>
        <w:t xml:space="preserve"> is a weight </w:t>
      </w:r>
      <w:r w:rsidR="00F3209B">
        <w:rPr>
          <w:szCs w:val="22"/>
        </w:rPr>
        <w:t xml:space="preserve">signaled at the CU level </w:t>
      </w:r>
      <w:r>
        <w:rPr>
          <w:szCs w:val="22"/>
        </w:rPr>
        <w:t xml:space="preserve">that takes on values of 0, 0.5 or 1, </w:t>
      </w:r>
      <w:r w:rsidRPr="00C36813">
        <w:rPr>
          <w:i/>
          <w:szCs w:val="22"/>
        </w:rPr>
        <w:t>B</w:t>
      </w:r>
      <w:r w:rsidRPr="00C36813">
        <w:rPr>
          <w:i/>
          <w:szCs w:val="22"/>
          <w:vertAlign w:val="subscript"/>
        </w:rPr>
        <w:t>b</w:t>
      </w:r>
      <w:r>
        <w:rPr>
          <w:szCs w:val="22"/>
        </w:rPr>
        <w:t xml:space="preserve"> is the co-located base layer block, and </w:t>
      </w:r>
      <w:r w:rsidRPr="00C36813">
        <w:rPr>
          <w:i/>
          <w:szCs w:val="22"/>
        </w:rPr>
        <w:t>P</w:t>
      </w:r>
      <w:r w:rsidRPr="00C36813">
        <w:rPr>
          <w:i/>
          <w:szCs w:val="22"/>
          <w:vertAlign w:val="subscript"/>
        </w:rPr>
        <w:t>b0</w:t>
      </w:r>
      <w:r>
        <w:rPr>
          <w:szCs w:val="22"/>
        </w:rPr>
        <w:t xml:space="preserve"> is the conventional motion compensated prediction for the base layer using the same motion vector. </w:t>
      </w:r>
      <w:r w:rsidR="00F3209B">
        <w:rPr>
          <w:szCs w:val="22"/>
        </w:rPr>
        <w:t>Therefore, there can be up to 3 different Inter predictors:</w:t>
      </w:r>
    </w:p>
    <w:p w:rsidR="00F3209B" w:rsidRPr="00F3209B" w:rsidRDefault="00F3209B" w:rsidP="00F3209B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</w:rPr>
      </w:pPr>
      <m:oMath>
        <m:r>
          <w:rPr>
            <w:rFonts w:ascii="Cambria Math" w:hAnsi="Cambria Math"/>
          </w:rPr>
          <m:t>P=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e0</m:t>
            </m:r>
          </m:sub>
        </m:sSub>
      </m:oMath>
    </w:p>
    <w:p w:rsidR="00F3209B" w:rsidRPr="00F3209B" w:rsidRDefault="00F3209B" w:rsidP="00F3209B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</w:rPr>
      </w:pPr>
      <m:oMath>
        <m:r>
          <w:rPr>
            <w:rFonts w:ascii="Cambria Math" w:hAnsi="Cambria Math"/>
          </w:rPr>
          <m:t>P=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e0</m:t>
            </m:r>
          </m:sub>
        </m:sSub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b0</m:t>
                </m:r>
              </m:sub>
            </m:sSub>
          </m:e>
        </m:d>
        <m:r>
          <w:rPr>
            <w:rFonts w:ascii="Cambria Math" w:hAnsi="Cambria Math"/>
            <w:lang w:val="en-US" w:eastAsia="en-US"/>
          </w:rPr>
          <m:t>/2</m:t>
        </m:r>
      </m:oMath>
    </w:p>
    <w:p w:rsidR="00F3209B" w:rsidRPr="00F3209B" w:rsidRDefault="00F3209B" w:rsidP="00F3209B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</w:rPr>
      </w:pPr>
      <m:oMath>
        <m:r>
          <w:rPr>
            <w:rFonts w:ascii="Cambria Math" w:hAnsi="Cambria Math"/>
          </w:rPr>
          <m:t>P=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e0</m:t>
            </m:r>
          </m:sub>
        </m:sSub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b0</m:t>
                </m:r>
              </m:sub>
            </m:sSub>
          </m:e>
        </m:d>
      </m:oMath>
    </w:p>
    <w:p w:rsidR="00C36813" w:rsidRDefault="00C36813" w:rsidP="009234A5">
      <w:pPr>
        <w:jc w:val="both"/>
        <w:rPr>
          <w:szCs w:val="22"/>
        </w:rPr>
      </w:pPr>
      <w:r>
        <w:rPr>
          <w:szCs w:val="22"/>
        </w:rPr>
        <w:t>A similar approach can be taken for bi-directional prediction.</w:t>
      </w:r>
    </w:p>
    <w:p w:rsidR="00F3209B" w:rsidRDefault="00B06333" w:rsidP="009234A5">
      <w:pPr>
        <w:jc w:val="both"/>
        <w:rPr>
          <w:szCs w:val="22"/>
        </w:rPr>
      </w:pPr>
      <w:r>
        <w:rPr>
          <w:szCs w:val="22"/>
        </w:rPr>
        <w:t xml:space="preserve">In the extension proposed in JCTVC-L0190, </w:t>
      </w:r>
      <w:r w:rsidR="00F3209B">
        <w:rPr>
          <w:szCs w:val="22"/>
        </w:rPr>
        <w:t>another Inter predictor is added, i.e</w:t>
      </w:r>
      <w:proofErr w:type="gramStart"/>
      <w:r w:rsidR="00F3209B">
        <w:rPr>
          <w:szCs w:val="22"/>
        </w:rPr>
        <w:t>.,</w:t>
      </w:r>
      <w:proofErr w:type="gramEnd"/>
      <w:r w:rsidR="00F3209B">
        <w:rPr>
          <w:szCs w:val="22"/>
        </w:rPr>
        <w:t xml:space="preserve"> </w:t>
      </w:r>
    </w:p>
    <w:p w:rsidR="00F3209B" w:rsidRDefault="00F3209B" w:rsidP="009234A5">
      <w:pPr>
        <w:jc w:val="both"/>
        <w:rPr>
          <w:szCs w:val="22"/>
        </w:rPr>
      </w:pPr>
      <m:oMathPara>
        <m:oMath>
          <m:r>
            <w:rPr>
              <w:rFonts w:ascii="Cambria Math" w:hAnsi="Cambria Math"/>
              <w:szCs w:val="22"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  <w:szCs w:val="22"/>
                </w:rPr>
                <m:t>B</m:t>
              </m:r>
            </m:e>
            <m:sub>
              <m:r>
                <w:rPr>
                  <w:rFonts w:ascii="Cambria Math" w:hAnsi="Cambria Math"/>
                  <w:szCs w:val="22"/>
                </w:rPr>
                <m:t>b</m:t>
              </m:r>
            </m:sub>
          </m:sSub>
          <m:r>
            <w:rPr>
              <w:rFonts w:ascii="Cambria Math" w:hAnsi="Cambria Math"/>
              <w:szCs w:val="22"/>
            </w:rPr>
            <m:t>+</m:t>
          </m:r>
          <m:d>
            <m:dPr>
              <m:ctrlPr>
                <w:rPr>
                  <w:rFonts w:ascii="Cambria Math" w:hAnsi="Cambria Math"/>
                  <w:i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e0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b0</m:t>
                  </m:r>
                </m:sub>
              </m:sSub>
            </m:e>
          </m:d>
          <m:r>
            <w:rPr>
              <w:rFonts w:ascii="Cambria Math" w:hAnsi="Cambria Math"/>
            </w:rPr>
            <m:t>/2</m:t>
          </m:r>
        </m:oMath>
      </m:oMathPara>
    </w:p>
    <w:p w:rsidR="00F3209B" w:rsidRDefault="00F3209B" w:rsidP="009234A5">
      <w:pPr>
        <w:jc w:val="both"/>
        <w:rPr>
          <w:szCs w:val="22"/>
        </w:rPr>
      </w:pPr>
      <w:r>
        <w:rPr>
          <w:szCs w:val="22"/>
        </w:rPr>
        <w:t xml:space="preserve">This can be thought of as adding a weighted difference term to the </w:t>
      </w:r>
      <w:proofErr w:type="spellStart"/>
      <w:r>
        <w:rPr>
          <w:szCs w:val="22"/>
        </w:rPr>
        <w:t>IntraBL</w:t>
      </w:r>
      <w:proofErr w:type="spellEnd"/>
      <w:r>
        <w:rPr>
          <w:szCs w:val="22"/>
        </w:rPr>
        <w:t xml:space="preserve"> predictor. </w:t>
      </w:r>
      <w:r w:rsidR="00391554">
        <w:rPr>
          <w:szCs w:val="22"/>
        </w:rPr>
        <w:t>The use of this predictor is also signaled through the same unary-</w:t>
      </w:r>
      <w:proofErr w:type="spellStart"/>
      <w:r w:rsidR="00391554">
        <w:rPr>
          <w:szCs w:val="22"/>
        </w:rPr>
        <w:t>binarized</w:t>
      </w:r>
      <w:proofErr w:type="spellEnd"/>
      <w:r w:rsidR="00391554">
        <w:rPr>
          <w:szCs w:val="22"/>
        </w:rPr>
        <w:t xml:space="preserve"> index as before.</w:t>
      </w:r>
    </w:p>
    <w:p w:rsidR="00B44166" w:rsidRPr="00C36813" w:rsidRDefault="00F3209B" w:rsidP="009234A5">
      <w:pPr>
        <w:jc w:val="both"/>
        <w:rPr>
          <w:szCs w:val="22"/>
        </w:rPr>
      </w:pPr>
      <w:r>
        <w:rPr>
          <w:szCs w:val="22"/>
        </w:rPr>
        <w:t>In addition to the above mode, a f</w:t>
      </w:r>
      <w:r w:rsidR="00B44166">
        <w:rPr>
          <w:szCs w:val="22"/>
        </w:rPr>
        <w:t xml:space="preserve">ast </w:t>
      </w:r>
      <w:r>
        <w:rPr>
          <w:szCs w:val="22"/>
        </w:rPr>
        <w:t xml:space="preserve">GRP </w:t>
      </w:r>
      <w:r w:rsidR="00B44166">
        <w:rPr>
          <w:szCs w:val="22"/>
        </w:rPr>
        <w:t xml:space="preserve">encoder algorithm and difference domain </w:t>
      </w:r>
      <w:r>
        <w:rPr>
          <w:szCs w:val="22"/>
        </w:rPr>
        <w:t>motion estimation was also used, as was tested in TE B3 Test 4.6.2.1.</w:t>
      </w:r>
    </w:p>
    <w:p w:rsidR="001F2594" w:rsidRPr="00DA7406" w:rsidRDefault="001F2594" w:rsidP="009234A5">
      <w:pPr>
        <w:jc w:val="both"/>
        <w:rPr>
          <w:szCs w:val="22"/>
        </w:rPr>
      </w:pPr>
    </w:p>
    <w:p w:rsidR="004F7485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lastRenderedPageBreak/>
        <w:t>Experimental results</w:t>
      </w:r>
    </w:p>
    <w:p w:rsidR="00E310F3" w:rsidRDefault="00E310F3" w:rsidP="00E310F3">
      <w:r>
        <w:t xml:space="preserve">We </w:t>
      </w:r>
      <w:r w:rsidR="00F3209B">
        <w:t>received the source code from the proponents</w:t>
      </w:r>
      <w:r w:rsidR="007B6548">
        <w:t xml:space="preserve"> (with </w:t>
      </w:r>
      <w:r w:rsidR="007B6548" w:rsidRPr="007B6548">
        <w:rPr>
          <w:rFonts w:ascii="Courier New" w:hAnsi="Courier New" w:cs="Courier New"/>
        </w:rPr>
        <w:t>GRP_NonTE3_3W</w:t>
      </w:r>
      <w:r w:rsidR="007B6548">
        <w:t xml:space="preserve"> set to 1)</w:t>
      </w:r>
      <w:r w:rsidR="00F3209B">
        <w:t xml:space="preserve">, implemented in </w:t>
      </w:r>
      <w:r>
        <w:t>SMUC 0.1.1</w:t>
      </w:r>
      <w:r w:rsidR="00F3209B">
        <w:t xml:space="preserve">, and did a code study to verify that the proposed method is implemented as described. We </w:t>
      </w:r>
      <w:r>
        <w:t>used the common conditions generate</w:t>
      </w:r>
      <w:r w:rsidR="00F3209B">
        <w:t>d from AHG10 in our experiments and ran simulations for the cases of RA and LDP.</w:t>
      </w:r>
    </w:p>
    <w:p w:rsidR="00E310F3" w:rsidRDefault="00F3209B" w:rsidP="00E310F3">
      <w:r>
        <w:t>The results match what was provided by the proponents and is as follows:</w:t>
      </w:r>
    </w:p>
    <w:p w:rsidR="00F3209B" w:rsidRDefault="007B6548" w:rsidP="00E310F3">
      <w:r w:rsidRPr="007B6548">
        <w:drawing>
          <wp:inline distT="0" distB="0" distL="0" distR="0">
            <wp:extent cx="5943600" cy="227674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6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85" w:rsidRPr="00DA7406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t>Conclusion</w:t>
      </w:r>
    </w:p>
    <w:p w:rsidR="00C13EE1" w:rsidRDefault="00C13EE1" w:rsidP="00C13EE1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JCTVC-L0190. The implemented algorithm agrees with the proponent’s description, and the simulation results also match that provided by the proponents.</w:t>
      </w:r>
    </w:p>
    <w:p w:rsidR="00D9144A" w:rsidRDefault="00D9144A" w:rsidP="00C13EE1">
      <w:pPr>
        <w:jc w:val="both"/>
        <w:rPr>
          <w:bCs/>
        </w:rPr>
      </w:pPr>
    </w:p>
    <w:sectPr w:rsidR="00D9144A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5F9" w:rsidRDefault="00EC35F9">
      <w:r>
        <w:separator/>
      </w:r>
    </w:p>
  </w:endnote>
  <w:endnote w:type="continuationSeparator" w:id="0">
    <w:p w:rsidR="00EC35F9" w:rsidRDefault="00EC3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7B6548">
      <w:rPr>
        <w:rStyle w:val="PageNumber"/>
        <w:noProof/>
      </w:rPr>
      <w:t>1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7B6548">
      <w:rPr>
        <w:rStyle w:val="PageNumber"/>
        <w:noProof/>
      </w:rPr>
      <w:t>2013-01-08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5F9" w:rsidRDefault="00EC35F9">
      <w:r>
        <w:separator/>
      </w:r>
    </w:p>
  </w:footnote>
  <w:footnote w:type="continuationSeparator" w:id="0">
    <w:p w:rsidR="00EC35F9" w:rsidRDefault="00EC35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  <w:num w:numId="13">
    <w:abstractNumId w:val="4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A166A"/>
    <w:rsid w:val="000B1C6B"/>
    <w:rsid w:val="000B4FF9"/>
    <w:rsid w:val="000C09AC"/>
    <w:rsid w:val="000C133C"/>
    <w:rsid w:val="000E00F3"/>
    <w:rsid w:val="000F158C"/>
    <w:rsid w:val="00102F3D"/>
    <w:rsid w:val="0012141F"/>
    <w:rsid w:val="00124E38"/>
    <w:rsid w:val="0012580B"/>
    <w:rsid w:val="00125B1E"/>
    <w:rsid w:val="00131F90"/>
    <w:rsid w:val="0013526E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14101"/>
    <w:rsid w:val="00433DDB"/>
    <w:rsid w:val="00437619"/>
    <w:rsid w:val="00471BAA"/>
    <w:rsid w:val="004A2A63"/>
    <w:rsid w:val="004B210C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1015C"/>
    <w:rsid w:val="00516CF1"/>
    <w:rsid w:val="00531AE9"/>
    <w:rsid w:val="00550A66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F5100"/>
    <w:rsid w:val="005F6F1B"/>
    <w:rsid w:val="00624B33"/>
    <w:rsid w:val="00630AA2"/>
    <w:rsid w:val="00641FAA"/>
    <w:rsid w:val="00646707"/>
    <w:rsid w:val="00662E58"/>
    <w:rsid w:val="00664DCF"/>
    <w:rsid w:val="006932CC"/>
    <w:rsid w:val="006C5D39"/>
    <w:rsid w:val="006E2810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96EE3"/>
    <w:rsid w:val="007A4C0F"/>
    <w:rsid w:val="007A7D29"/>
    <w:rsid w:val="007B4AB8"/>
    <w:rsid w:val="007B6548"/>
    <w:rsid w:val="007D22AB"/>
    <w:rsid w:val="007D6656"/>
    <w:rsid w:val="007F1F8B"/>
    <w:rsid w:val="007F67A1"/>
    <w:rsid w:val="00807BA7"/>
    <w:rsid w:val="00811C05"/>
    <w:rsid w:val="008206C8"/>
    <w:rsid w:val="00874A6C"/>
    <w:rsid w:val="00876C65"/>
    <w:rsid w:val="00883C51"/>
    <w:rsid w:val="008A4B4C"/>
    <w:rsid w:val="008C239F"/>
    <w:rsid w:val="008C64EA"/>
    <w:rsid w:val="008E480C"/>
    <w:rsid w:val="008F4DEA"/>
    <w:rsid w:val="008F6FCC"/>
    <w:rsid w:val="008F7C01"/>
    <w:rsid w:val="00903EF5"/>
    <w:rsid w:val="00907757"/>
    <w:rsid w:val="009212B0"/>
    <w:rsid w:val="009234A5"/>
    <w:rsid w:val="009336F7"/>
    <w:rsid w:val="009374A7"/>
    <w:rsid w:val="00943C28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56B97"/>
    <w:rsid w:val="00A6093D"/>
    <w:rsid w:val="00A76A6D"/>
    <w:rsid w:val="00A7791A"/>
    <w:rsid w:val="00A83253"/>
    <w:rsid w:val="00A95D5D"/>
    <w:rsid w:val="00AA0F51"/>
    <w:rsid w:val="00AA6E84"/>
    <w:rsid w:val="00AE341B"/>
    <w:rsid w:val="00AE4B90"/>
    <w:rsid w:val="00B06333"/>
    <w:rsid w:val="00B07CA7"/>
    <w:rsid w:val="00B11F0D"/>
    <w:rsid w:val="00B1279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C10BA"/>
    <w:rsid w:val="00BC5AFD"/>
    <w:rsid w:val="00BD58A2"/>
    <w:rsid w:val="00C04F43"/>
    <w:rsid w:val="00C0609D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11923"/>
    <w:rsid w:val="00E26176"/>
    <w:rsid w:val="00E262D4"/>
    <w:rsid w:val="00E310F3"/>
    <w:rsid w:val="00E36250"/>
    <w:rsid w:val="00E5451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71D98"/>
    <w:rsid w:val="00F73032"/>
    <w:rsid w:val="00F75DE6"/>
    <w:rsid w:val="00F848FC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Corporate License MGLP LEVEL D</cp:lastModifiedBy>
  <cp:revision>7</cp:revision>
  <cp:lastPrinted>1601-01-01T00:00:00Z</cp:lastPrinted>
  <dcterms:created xsi:type="dcterms:W3CDTF">2013-01-08T06:48:00Z</dcterms:created>
  <dcterms:modified xsi:type="dcterms:W3CDTF">2013-01-09T00:54:00Z</dcterms:modified>
</cp:coreProperties>
</file>