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04140D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C31E2B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31E2B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840E03" w:rsidP="00403ECD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12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Geneva, CH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14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630AA2" w:rsidRDefault="00E61DAC" w:rsidP="009062AF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840E03">
              <w:t>L</w:t>
            </w:r>
            <w:r w:rsidR="009062AF">
              <w:t>0026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9062AF" w:rsidP="00963BAC">
            <w:pPr>
              <w:spacing w:before="60" w:after="60"/>
              <w:rPr>
                <w:b/>
                <w:szCs w:val="22"/>
              </w:rPr>
            </w:pPr>
            <w:r w:rsidRPr="009D0050">
              <w:rPr>
                <w:b/>
                <w:szCs w:val="22"/>
                <w:lang w:val="en-CA"/>
              </w:rPr>
              <w:t>TE</w:t>
            </w:r>
            <w:r>
              <w:rPr>
                <w:b/>
                <w:szCs w:val="22"/>
                <w:lang w:val="en-CA"/>
              </w:rPr>
              <w:t>6</w:t>
            </w:r>
            <w:r w:rsidRPr="009D0050">
              <w:rPr>
                <w:b/>
                <w:szCs w:val="22"/>
                <w:lang w:val="en-CA"/>
              </w:rPr>
              <w:t xml:space="preserve">: Summary report of tool experiment on inter-layer syntax prediction using </w:t>
            </w:r>
            <w:r>
              <w:rPr>
                <w:b/>
                <w:szCs w:val="22"/>
                <w:lang w:val="en-CA"/>
              </w:rPr>
              <w:t>AVC base layer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2A6BE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Input Document to</w:t>
            </w:r>
            <w:r w:rsidR="00E61DAC" w:rsidRPr="00AE341B">
              <w:rPr>
                <w:szCs w:val="22"/>
              </w:rPr>
              <w:t xml:space="preserve">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9062AF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Report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8855C3" w:rsidRDefault="008855C3" w:rsidP="008855C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Jill Boyce</w:t>
            </w:r>
          </w:p>
          <w:p w:rsidR="008855C3" w:rsidRDefault="00151BE7" w:rsidP="008855C3">
            <w:pPr>
              <w:spacing w:before="60" w:after="6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Kei </w:t>
            </w:r>
            <w:r w:rsidR="008855C3">
              <w:t>Kawamura</w:t>
            </w:r>
          </w:p>
          <w:p w:rsidR="00963BAC" w:rsidRPr="00AE341B" w:rsidRDefault="008855C3" w:rsidP="008855C3">
            <w:pPr>
              <w:spacing w:before="60" w:after="60"/>
              <w:rPr>
                <w:szCs w:val="22"/>
              </w:rPr>
            </w:pPr>
            <w:proofErr w:type="spellStart"/>
            <w:r w:rsidRPr="007C31BE">
              <w:t>Haricharan</w:t>
            </w:r>
            <w:proofErr w:type="spellEnd"/>
            <w:r w:rsidRPr="007C31BE">
              <w:t xml:space="preserve"> </w:t>
            </w:r>
            <w:proofErr w:type="spellStart"/>
            <w:r w:rsidRPr="007C31BE">
              <w:t>Lakshman</w:t>
            </w:r>
            <w:proofErr w:type="spellEnd"/>
            <w:r w:rsidRPr="007C31BE">
              <w:t xml:space="preserve"> </w:t>
            </w:r>
          </w:p>
        </w:tc>
        <w:tc>
          <w:tcPr>
            <w:tcW w:w="900" w:type="dxa"/>
          </w:tcPr>
          <w:p w:rsidR="00E61DAC" w:rsidRPr="00AE341B" w:rsidRDefault="00E61DAC" w:rsidP="008855C3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8855C3" w:rsidRDefault="001D1236" w:rsidP="008855C3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8855C3" w:rsidRPr="0021356A">
                <w:rPr>
                  <w:rStyle w:val="Hyperlink"/>
                  <w:szCs w:val="22"/>
                  <w:lang w:val="en-CA"/>
                </w:rPr>
                <w:t>jill@vidyo.com</w:t>
              </w:r>
            </w:hyperlink>
          </w:p>
          <w:p w:rsidR="008855C3" w:rsidRDefault="001D1236" w:rsidP="008855C3">
            <w:pPr>
              <w:spacing w:before="60" w:after="60"/>
            </w:pPr>
            <w:hyperlink r:id="rId12" w:history="1">
              <w:r w:rsidR="008855C3">
                <w:rPr>
                  <w:rStyle w:val="Hyperlink"/>
                </w:rPr>
                <w:t>ki-kawamura@kddi.com</w:t>
              </w:r>
            </w:hyperlink>
          </w:p>
          <w:p w:rsidR="00E61DAC" w:rsidRPr="00AE341B" w:rsidRDefault="001D1236" w:rsidP="008855C3">
            <w:pPr>
              <w:spacing w:before="60" w:after="60"/>
              <w:rPr>
                <w:szCs w:val="22"/>
              </w:rPr>
            </w:pPr>
            <w:hyperlink r:id="rId13" w:history="1">
              <w:proofErr w:type="spellStart"/>
              <w:r w:rsidR="008855C3" w:rsidRPr="0021356A">
                <w:rPr>
                  <w:rStyle w:val="Hyperlink"/>
                  <w:szCs w:val="22"/>
                  <w:lang w:val="en-CA"/>
                </w:rPr>
                <w:t>haricharan.lakshman</w:t>
              </w:r>
              <w:proofErr w:type="spellEnd"/>
              <w:r w:rsidR="008855C3">
                <w:rPr>
                  <w:rStyle w:val="Hyperlink"/>
                  <w:szCs w:val="22"/>
                  <w:lang w:val="en-CA"/>
                </w:rPr>
                <w:t xml:space="preserve"> </w:t>
              </w:r>
              <w:r w:rsidR="008855C3" w:rsidRPr="0021356A">
                <w:rPr>
                  <w:rStyle w:val="Hyperlink"/>
                  <w:szCs w:val="22"/>
                  <w:lang w:val="en-CA"/>
                </w:rPr>
                <w:t>@hhi.fraunhofer.de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9062AF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 coordinators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9062AF" w:rsidRPr="009062AF" w:rsidRDefault="002B656E" w:rsidP="009062AF">
      <w:r>
        <w:t>The results of TE6 experiments are summarized, for inter-layer syntax prediction using an AVC base layer</w:t>
      </w:r>
      <w:r w:rsidR="00D90402">
        <w:t>, for AMVP and Merge</w:t>
      </w:r>
      <w:r>
        <w:t xml:space="preserve">.  Experimental results are compared for the same techniques using HEVC base layer.  </w:t>
      </w:r>
      <w:r w:rsidR="00086F9F">
        <w:t xml:space="preserve">The </w:t>
      </w:r>
      <w:r w:rsidR="0050585F">
        <w:t>g</w:t>
      </w:r>
      <w:r w:rsidR="00086F9F">
        <w:t>ains for an AVC base layer were higher than those for a HEVC base layer.</w:t>
      </w:r>
    </w:p>
    <w:p w:rsidR="00745F6B" w:rsidRPr="00AE341B" w:rsidRDefault="00745F6B" w:rsidP="00E11923">
      <w:pPr>
        <w:pStyle w:val="Heading1"/>
      </w:pPr>
      <w:r w:rsidRPr="00AE341B">
        <w:t xml:space="preserve">Introduction </w:t>
      </w:r>
    </w:p>
    <w:p w:rsidR="00963BAC" w:rsidRDefault="00963BAC" w:rsidP="00963BAC">
      <w:pPr>
        <w:jc w:val="both"/>
        <w:rPr>
          <w:lang w:val="en-CA"/>
        </w:rPr>
      </w:pPr>
      <w:r>
        <w:rPr>
          <w:lang w:val="en-CA"/>
        </w:rPr>
        <w:t xml:space="preserve">This contribution summarizes the activities and test results performed in TE6 on </w:t>
      </w:r>
      <w:r w:rsidRPr="00F21854">
        <w:rPr>
          <w:lang w:val="en-CA"/>
        </w:rPr>
        <w:t>inter-</w:t>
      </w:r>
      <w:r>
        <w:rPr>
          <w:lang w:val="en-CA"/>
        </w:rPr>
        <w:t>layer syntax prediction using A</w:t>
      </w:r>
      <w:r w:rsidRPr="00F21854">
        <w:rPr>
          <w:lang w:val="en-CA"/>
        </w:rPr>
        <w:t>VC base layer</w:t>
      </w:r>
      <w:r>
        <w:rPr>
          <w:lang w:val="en-CA"/>
        </w:rPr>
        <w:t>. The tools in TE</w:t>
      </w:r>
      <w:r w:rsidR="009B7640">
        <w:rPr>
          <w:lang w:val="en-CA"/>
        </w:rPr>
        <w:t>6</w:t>
      </w:r>
      <w:r>
        <w:rPr>
          <w:lang w:val="en-CA"/>
        </w:rPr>
        <w:t xml:space="preserve"> were classified into </w:t>
      </w:r>
      <w:r w:rsidR="009B7640">
        <w:rPr>
          <w:lang w:val="en-CA"/>
        </w:rPr>
        <w:t>two</w:t>
      </w:r>
      <w:r>
        <w:rPr>
          <w:lang w:val="en-CA"/>
        </w:rPr>
        <w:t xml:space="preserve"> categories:</w:t>
      </w:r>
    </w:p>
    <w:p w:rsidR="009B7640" w:rsidRDefault="009B7640" w:rsidP="009B7640">
      <w:pPr>
        <w:numPr>
          <w:ilvl w:val="0"/>
          <w:numId w:val="11"/>
        </w:numPr>
        <w:jc w:val="both"/>
        <w:rPr>
          <w:szCs w:val="22"/>
          <w:lang w:val="en-GB"/>
        </w:rPr>
      </w:pPr>
      <w:r>
        <w:rPr>
          <w:szCs w:val="22"/>
          <w:lang w:val="en-GB"/>
        </w:rPr>
        <w:t>TE6.1 Inter-layer motion prediction for AMVP</w:t>
      </w:r>
    </w:p>
    <w:p w:rsidR="009B7640" w:rsidRDefault="009B7640" w:rsidP="009B7640">
      <w:pPr>
        <w:numPr>
          <w:ilvl w:val="0"/>
          <w:numId w:val="11"/>
        </w:numPr>
        <w:jc w:val="both"/>
        <w:rPr>
          <w:szCs w:val="22"/>
          <w:lang w:val="en-GB"/>
        </w:rPr>
      </w:pPr>
      <w:r>
        <w:rPr>
          <w:szCs w:val="22"/>
          <w:lang w:val="en-GB"/>
        </w:rPr>
        <w:t>TE6.2 Inter-layer motion prediction for Merge</w:t>
      </w:r>
    </w:p>
    <w:p w:rsidR="009B7640" w:rsidRDefault="009B7640" w:rsidP="009B7640">
      <w:pPr>
        <w:jc w:val="both"/>
        <w:rPr>
          <w:szCs w:val="22"/>
          <w:lang w:val="en-GB"/>
        </w:rPr>
      </w:pPr>
      <w:r>
        <w:rPr>
          <w:szCs w:val="22"/>
          <w:lang w:val="en-GB"/>
        </w:rPr>
        <w:t xml:space="preserve">The TE6 contributions were tested using the </w:t>
      </w:r>
      <w:proofErr w:type="spellStart"/>
      <w:r>
        <w:rPr>
          <w:szCs w:val="22"/>
          <w:lang w:val="en-GB"/>
        </w:rPr>
        <w:t>SMuC</w:t>
      </w:r>
      <w:proofErr w:type="spellEnd"/>
      <w:r>
        <w:rPr>
          <w:szCs w:val="22"/>
          <w:lang w:val="en-GB"/>
        </w:rPr>
        <w:t xml:space="preserve"> software, which was modified to support an AVC base layer.   There were a number of software issues which delayed the </w:t>
      </w:r>
      <w:r w:rsidR="00673421">
        <w:rPr>
          <w:szCs w:val="22"/>
          <w:lang w:val="en-GB"/>
        </w:rPr>
        <w:t>TE6 schedule.  One of the issues involved m</w:t>
      </w:r>
      <w:r>
        <w:rPr>
          <w:szCs w:val="22"/>
          <w:lang w:val="en-GB"/>
        </w:rPr>
        <w:t xml:space="preserve">ismatch </w:t>
      </w:r>
      <w:r w:rsidR="00673421">
        <w:rPr>
          <w:szCs w:val="22"/>
          <w:lang w:val="en-GB"/>
        </w:rPr>
        <w:t xml:space="preserve">related to different cropping </w:t>
      </w:r>
      <w:r>
        <w:rPr>
          <w:szCs w:val="22"/>
          <w:lang w:val="en-GB"/>
        </w:rPr>
        <w:t xml:space="preserve">padding in encoder </w:t>
      </w:r>
      <w:proofErr w:type="spellStart"/>
      <w:r>
        <w:rPr>
          <w:szCs w:val="22"/>
          <w:lang w:val="en-GB"/>
        </w:rPr>
        <w:t>vs</w:t>
      </w:r>
      <w:proofErr w:type="spellEnd"/>
      <w:r>
        <w:rPr>
          <w:szCs w:val="22"/>
          <w:lang w:val="en-GB"/>
        </w:rPr>
        <w:t xml:space="preserve"> decoder</w:t>
      </w:r>
      <w:r w:rsidR="00673421">
        <w:rPr>
          <w:szCs w:val="22"/>
          <w:lang w:val="en-GB"/>
        </w:rPr>
        <w:t xml:space="preserve"> when output cropping of the base layer was used</w:t>
      </w:r>
      <w:r>
        <w:rPr>
          <w:szCs w:val="22"/>
          <w:lang w:val="en-GB"/>
        </w:rPr>
        <w:t xml:space="preserve">.   </w:t>
      </w:r>
    </w:p>
    <w:p w:rsidR="00963BAC" w:rsidRPr="00AE341B" w:rsidRDefault="009B7640" w:rsidP="00963BAC">
      <w:pPr>
        <w:pStyle w:val="Heading1"/>
      </w:pPr>
      <w:r>
        <w:t>Input Contributions</w:t>
      </w:r>
    </w:p>
    <w:p w:rsidR="00E61DAC" w:rsidRDefault="007578F3" w:rsidP="009234A5">
      <w:pPr>
        <w:jc w:val="both"/>
        <w:rPr>
          <w:szCs w:val="22"/>
        </w:rPr>
      </w:pPr>
      <w:r>
        <w:rPr>
          <w:szCs w:val="22"/>
        </w:rPr>
        <w:t>The two contributions listed below both addressed both 6.1 and 6.2.  Both contributions also had related contributions in TE5 for an HEVC base layer.</w:t>
      </w:r>
    </w:p>
    <w:p w:rsidR="009B7640" w:rsidRPr="007D2903" w:rsidRDefault="001D1236" w:rsidP="009B7640">
      <w:pPr>
        <w:pStyle w:val="Heading9"/>
        <w:keepNext w:val="0"/>
        <w:rPr>
          <w:szCs w:val="24"/>
          <w:lang w:val="en-CA" w:eastAsia="de-DE"/>
        </w:rPr>
      </w:pPr>
      <w:hyperlink r:id="rId14" w:history="1">
        <w:r w:rsidR="009B7640" w:rsidRPr="007D2903">
          <w:rPr>
            <w:color w:val="0000FF"/>
            <w:szCs w:val="24"/>
            <w:u w:val="single"/>
            <w:lang w:val="en-CA" w:eastAsia="de-DE"/>
          </w:rPr>
          <w:t>JCTVC-L0377</w:t>
        </w:r>
      </w:hyperlink>
      <w:r w:rsidR="009B7640" w:rsidRPr="007D2903">
        <w:rPr>
          <w:szCs w:val="24"/>
          <w:lang w:val="en-CA" w:eastAsia="de-DE"/>
        </w:rPr>
        <w:t xml:space="preserve"> TE6: Inter-layer motion-vector prediction by the base-layer MV up-scaling and refinement from AVC base layer [K. Kawamura, T. Yoshino, S. Naito (KDDI)] </w:t>
      </w:r>
    </w:p>
    <w:p w:rsidR="009B7640" w:rsidRDefault="00673421" w:rsidP="009B7640">
      <w:r>
        <w:rPr>
          <w:rFonts w:hint="eastAsia"/>
          <w:szCs w:val="22"/>
          <w:lang w:val="en-CA" w:eastAsia="ja-JP"/>
        </w:rPr>
        <w:t xml:space="preserve">A generated motion-vector is inserted as the third candidate for both merge mode and AMVP mode in the HEVC architecture. The number of motion vector candidates also increases to </w:t>
      </w:r>
      <w:r w:rsidR="002575A0">
        <w:rPr>
          <w:rFonts w:hint="eastAsia"/>
          <w:szCs w:val="22"/>
          <w:lang w:val="en-CA" w:eastAsia="ja-JP"/>
        </w:rPr>
        <w:t xml:space="preserve">6 </w:t>
      </w:r>
      <w:bookmarkStart w:id="0" w:name="_GoBack"/>
      <w:bookmarkEnd w:id="0"/>
      <w:r>
        <w:rPr>
          <w:rFonts w:hint="eastAsia"/>
          <w:szCs w:val="22"/>
          <w:lang w:val="en-CA" w:eastAsia="ja-JP"/>
        </w:rPr>
        <w:t>and 3 for merge mode and AMVP mode, respectively.</w:t>
      </w:r>
    </w:p>
    <w:p w:rsidR="009B7640" w:rsidRPr="007D2903" w:rsidRDefault="001D1236" w:rsidP="009B7640">
      <w:pPr>
        <w:pStyle w:val="Heading9"/>
        <w:keepNext w:val="0"/>
        <w:rPr>
          <w:szCs w:val="24"/>
          <w:lang w:val="en-CA" w:eastAsia="de-DE"/>
        </w:rPr>
      </w:pPr>
      <w:hyperlink r:id="rId15" w:history="1">
        <w:r w:rsidR="009B7640" w:rsidRPr="007D2903">
          <w:rPr>
            <w:color w:val="0000FF"/>
            <w:szCs w:val="24"/>
            <w:u w:val="single"/>
            <w:lang w:val="en-CA" w:eastAsia="de-DE"/>
          </w:rPr>
          <w:t>JCTVC-L0385</w:t>
        </w:r>
      </w:hyperlink>
      <w:r w:rsidR="009B7640" w:rsidRPr="007D2903">
        <w:rPr>
          <w:szCs w:val="24"/>
          <w:lang w:val="en-CA" w:eastAsia="de-DE"/>
        </w:rPr>
        <w:t xml:space="preserve"> TE6 [W. Jang, J</w:t>
      </w:r>
      <w:r w:rsidR="009B7640" w:rsidRPr="00793DD9">
        <w:rPr>
          <w:b w:val="0"/>
          <w:szCs w:val="24"/>
          <w:lang w:val="en-CA" w:eastAsia="de-DE"/>
        </w:rPr>
        <w:t>.</w:t>
      </w:r>
      <w:r w:rsidR="009B7640" w:rsidRPr="007D2903">
        <w:rPr>
          <w:szCs w:val="24"/>
          <w:lang w:val="en-CA" w:eastAsia="de-DE"/>
        </w:rPr>
        <w:t xml:space="preserve"> Boyce, A. Abbas (</w:t>
      </w:r>
      <w:proofErr w:type="spellStart"/>
      <w:r w:rsidR="009B7640" w:rsidRPr="007D2903">
        <w:rPr>
          <w:szCs w:val="24"/>
          <w:lang w:val="en-CA" w:eastAsia="de-DE"/>
        </w:rPr>
        <w:t>Vidyo</w:t>
      </w:r>
      <w:proofErr w:type="spellEnd"/>
      <w:r w:rsidR="009B7640" w:rsidRPr="007D2903">
        <w:rPr>
          <w:szCs w:val="24"/>
          <w:lang w:val="en-CA" w:eastAsia="de-DE"/>
        </w:rPr>
        <w:t xml:space="preserve">), E. </w:t>
      </w:r>
      <w:proofErr w:type="spellStart"/>
      <w:r w:rsidR="009B7640" w:rsidRPr="007D2903">
        <w:rPr>
          <w:szCs w:val="24"/>
          <w:lang w:val="en-CA" w:eastAsia="de-DE"/>
        </w:rPr>
        <w:t>Alshina</w:t>
      </w:r>
      <w:proofErr w:type="spellEnd"/>
      <w:r w:rsidR="009B7640" w:rsidRPr="007D2903">
        <w:rPr>
          <w:szCs w:val="24"/>
          <w:lang w:val="en-CA" w:eastAsia="de-DE"/>
        </w:rPr>
        <w:t xml:space="preserve">, C. Kim (Samsung)] </w:t>
      </w:r>
    </w:p>
    <w:p w:rsidR="00963BAC" w:rsidRDefault="00673421" w:rsidP="009234A5">
      <w:pPr>
        <w:jc w:val="both"/>
        <w:rPr>
          <w:szCs w:val="22"/>
        </w:rPr>
      </w:pPr>
      <w:r>
        <w:rPr>
          <w:szCs w:val="22"/>
          <w:lang w:val="en-CA"/>
        </w:rPr>
        <w:t xml:space="preserve">The proposed algorithm has two parts. One modifies the merge list construction of the enhancement layer such that the </w:t>
      </w:r>
      <w:proofErr w:type="spellStart"/>
      <w:r>
        <w:rPr>
          <w:szCs w:val="22"/>
          <w:lang w:val="en-CA"/>
        </w:rPr>
        <w:t>upsampled</w:t>
      </w:r>
      <w:proofErr w:type="spellEnd"/>
      <w:r>
        <w:rPr>
          <w:szCs w:val="22"/>
          <w:lang w:val="en-CA"/>
        </w:rPr>
        <w:t xml:space="preserve"> motion vector from the co-located block in the base layer is added as the last candidate in the list while increasing the maximum number of merge candidate from 5 to 6. Another part adds the </w:t>
      </w:r>
      <w:proofErr w:type="spellStart"/>
      <w:r>
        <w:rPr>
          <w:szCs w:val="22"/>
          <w:lang w:val="en-CA"/>
        </w:rPr>
        <w:t>upsampled</w:t>
      </w:r>
      <w:proofErr w:type="spellEnd"/>
      <w:r>
        <w:rPr>
          <w:szCs w:val="22"/>
          <w:lang w:val="en-CA"/>
        </w:rPr>
        <w:t xml:space="preserve"> base motion vector to the AMVP candidate list while increasing the maximum number of AMVP candidate from 2 to 3.</w:t>
      </w:r>
    </w:p>
    <w:p w:rsidR="007578F3" w:rsidRDefault="007578F3" w:rsidP="009234A5">
      <w:pPr>
        <w:jc w:val="both"/>
        <w:rPr>
          <w:szCs w:val="22"/>
        </w:rPr>
      </w:pPr>
    </w:p>
    <w:p w:rsidR="009B7640" w:rsidRDefault="005B0DED" w:rsidP="009B7640">
      <w:pPr>
        <w:pStyle w:val="Heading1"/>
      </w:pPr>
      <w:r>
        <w:t>Experimental results</w:t>
      </w:r>
    </w:p>
    <w:p w:rsidR="001C36E7" w:rsidRDefault="009369C9" w:rsidP="007578F3">
      <w:r>
        <w:t>E</w:t>
      </w:r>
      <w:r w:rsidR="005B0DED">
        <w:t>xp</w:t>
      </w:r>
      <w:r w:rsidR="009849EA">
        <w:t xml:space="preserve">erimental results are summarized in the table below.  More details can be found in the Excel spreadsheet. </w:t>
      </w:r>
    </w:p>
    <w:p w:rsidR="009849EA" w:rsidRDefault="006720EB" w:rsidP="007578F3">
      <w:r>
        <w:t xml:space="preserve">In the below table, the </w:t>
      </w:r>
      <w:r w:rsidR="007A0B20">
        <w:t xml:space="preserve">EL results of the same techniques between the AVC base layer and HEVC base layer are compared.  </w:t>
      </w:r>
      <w:r w:rsidR="00E2289B">
        <w:t xml:space="preserve">  EL only results are considered a more appropriate comparison in this case vs. EL+BL, because the base layers are different.</w:t>
      </w:r>
    </w:p>
    <w:p w:rsidR="004B31BF" w:rsidRPr="007578F3" w:rsidRDefault="004B31BF" w:rsidP="007578F3">
      <w:r>
        <w:t>The gains for the proposed techniques for AVC base layers are consistently higher than for HEVC base layers.</w:t>
      </w:r>
    </w:p>
    <w:p w:rsidR="00963BAC" w:rsidRDefault="00963BAC" w:rsidP="009234A5">
      <w:pPr>
        <w:jc w:val="both"/>
        <w:rPr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9"/>
        <w:gridCol w:w="968"/>
        <w:gridCol w:w="1086"/>
        <w:gridCol w:w="1094"/>
        <w:gridCol w:w="1172"/>
        <w:gridCol w:w="938"/>
        <w:gridCol w:w="1053"/>
        <w:gridCol w:w="1060"/>
        <w:gridCol w:w="1136"/>
      </w:tblGrid>
      <w:tr w:rsidR="007578F3" w:rsidRPr="007578F3" w:rsidTr="007578F3">
        <w:trPr>
          <w:trHeight w:val="315"/>
        </w:trPr>
        <w:tc>
          <w:tcPr>
            <w:tcW w:w="1380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</w:p>
        </w:tc>
        <w:tc>
          <w:tcPr>
            <w:tcW w:w="5580" w:type="dxa"/>
            <w:gridSpan w:val="4"/>
            <w:noWrap/>
            <w:hideMark/>
          </w:tcPr>
          <w:p w:rsidR="007578F3" w:rsidRPr="007578F3" w:rsidRDefault="007578F3" w:rsidP="001C36E7">
            <w:pPr>
              <w:jc w:val="center"/>
              <w:rPr>
                <w:szCs w:val="22"/>
              </w:rPr>
            </w:pPr>
            <w:r w:rsidRPr="007578F3">
              <w:rPr>
                <w:szCs w:val="22"/>
              </w:rPr>
              <w:t>L0377</w:t>
            </w:r>
            <w:r w:rsidR="006720EB">
              <w:rPr>
                <w:szCs w:val="22"/>
              </w:rPr>
              <w:t>, L0376</w:t>
            </w:r>
          </w:p>
        </w:tc>
        <w:tc>
          <w:tcPr>
            <w:tcW w:w="5400" w:type="dxa"/>
            <w:gridSpan w:val="4"/>
            <w:noWrap/>
            <w:hideMark/>
          </w:tcPr>
          <w:p w:rsidR="007578F3" w:rsidRPr="007578F3" w:rsidRDefault="007578F3" w:rsidP="001C36E7">
            <w:pPr>
              <w:jc w:val="center"/>
              <w:rPr>
                <w:szCs w:val="22"/>
              </w:rPr>
            </w:pPr>
            <w:r w:rsidRPr="007578F3">
              <w:rPr>
                <w:szCs w:val="22"/>
              </w:rPr>
              <w:t>L0385</w:t>
            </w:r>
            <w:r w:rsidR="006720EB">
              <w:rPr>
                <w:szCs w:val="22"/>
              </w:rPr>
              <w:t>, L0185</w:t>
            </w:r>
          </w:p>
        </w:tc>
      </w:tr>
      <w:tr w:rsidR="007578F3" w:rsidRPr="007578F3" w:rsidTr="007578F3">
        <w:trPr>
          <w:trHeight w:val="315"/>
        </w:trPr>
        <w:tc>
          <w:tcPr>
            <w:tcW w:w="1380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Overall</w:t>
            </w:r>
            <w:r w:rsidR="001C36E7">
              <w:rPr>
                <w:b/>
                <w:bCs/>
                <w:szCs w:val="22"/>
              </w:rPr>
              <w:t xml:space="preserve"> </w:t>
            </w:r>
            <w:r w:rsidRPr="007578F3">
              <w:rPr>
                <w:b/>
                <w:bCs/>
                <w:szCs w:val="22"/>
              </w:rPr>
              <w:t>(EL)</w:t>
            </w:r>
          </w:p>
        </w:tc>
        <w:tc>
          <w:tcPr>
            <w:tcW w:w="124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RA Hybrid 2x</w:t>
            </w:r>
          </w:p>
        </w:tc>
        <w:tc>
          <w:tcPr>
            <w:tcW w:w="1403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RA Hybrid 1.5x</w:t>
            </w:r>
          </w:p>
        </w:tc>
        <w:tc>
          <w:tcPr>
            <w:tcW w:w="1414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LD-P Hybrid 2x</w:t>
            </w:r>
          </w:p>
        </w:tc>
        <w:tc>
          <w:tcPr>
            <w:tcW w:w="1521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LD-P Hybrid</w:t>
            </w:r>
            <w:r>
              <w:rPr>
                <w:b/>
                <w:bCs/>
                <w:szCs w:val="22"/>
              </w:rPr>
              <w:t xml:space="preserve"> </w:t>
            </w:r>
            <w:r w:rsidRPr="007578F3">
              <w:rPr>
                <w:b/>
                <w:bCs/>
                <w:szCs w:val="22"/>
              </w:rPr>
              <w:t>1.5x</w:t>
            </w:r>
          </w:p>
        </w:tc>
        <w:tc>
          <w:tcPr>
            <w:tcW w:w="120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RA Hybrid 2x</w:t>
            </w:r>
          </w:p>
        </w:tc>
        <w:tc>
          <w:tcPr>
            <w:tcW w:w="135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RA Hybrid 1.5x</w:t>
            </w:r>
          </w:p>
        </w:tc>
        <w:tc>
          <w:tcPr>
            <w:tcW w:w="136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LD-P Hybrid 2x</w:t>
            </w:r>
          </w:p>
        </w:tc>
        <w:tc>
          <w:tcPr>
            <w:tcW w:w="147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LD-P Hybrid</w:t>
            </w:r>
            <w:r>
              <w:rPr>
                <w:b/>
                <w:bCs/>
                <w:szCs w:val="22"/>
              </w:rPr>
              <w:t xml:space="preserve"> </w:t>
            </w:r>
            <w:r w:rsidRPr="007578F3">
              <w:rPr>
                <w:b/>
                <w:bCs/>
                <w:szCs w:val="22"/>
              </w:rPr>
              <w:t>1.5x</w:t>
            </w:r>
          </w:p>
        </w:tc>
      </w:tr>
      <w:tr w:rsidR="007578F3" w:rsidRPr="007578F3" w:rsidTr="007578F3">
        <w:trPr>
          <w:trHeight w:val="315"/>
        </w:trPr>
        <w:tc>
          <w:tcPr>
            <w:tcW w:w="1380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AVC AMVP</w:t>
            </w:r>
          </w:p>
        </w:tc>
        <w:tc>
          <w:tcPr>
            <w:tcW w:w="124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-1.9%</w:t>
            </w:r>
          </w:p>
        </w:tc>
        <w:tc>
          <w:tcPr>
            <w:tcW w:w="1403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-2.5%</w:t>
            </w:r>
          </w:p>
        </w:tc>
        <w:tc>
          <w:tcPr>
            <w:tcW w:w="1414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-1.1%</w:t>
            </w:r>
          </w:p>
        </w:tc>
        <w:tc>
          <w:tcPr>
            <w:tcW w:w="1521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-1.0%</w:t>
            </w:r>
          </w:p>
        </w:tc>
        <w:tc>
          <w:tcPr>
            <w:tcW w:w="120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-3.9%</w:t>
            </w:r>
          </w:p>
        </w:tc>
        <w:tc>
          <w:tcPr>
            <w:tcW w:w="135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-2.5%</w:t>
            </w:r>
          </w:p>
        </w:tc>
        <w:tc>
          <w:tcPr>
            <w:tcW w:w="136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-0.6%</w:t>
            </w:r>
          </w:p>
        </w:tc>
        <w:tc>
          <w:tcPr>
            <w:tcW w:w="147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-0.6%</w:t>
            </w:r>
          </w:p>
        </w:tc>
      </w:tr>
      <w:tr w:rsidR="007578F3" w:rsidRPr="007578F3" w:rsidTr="007578F3">
        <w:trPr>
          <w:trHeight w:val="315"/>
        </w:trPr>
        <w:tc>
          <w:tcPr>
            <w:tcW w:w="1380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HEVC AMVP</w:t>
            </w:r>
          </w:p>
        </w:tc>
        <w:tc>
          <w:tcPr>
            <w:tcW w:w="124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-1.4%</w:t>
            </w:r>
          </w:p>
        </w:tc>
        <w:tc>
          <w:tcPr>
            <w:tcW w:w="1403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-2.6%</w:t>
            </w:r>
          </w:p>
        </w:tc>
        <w:tc>
          <w:tcPr>
            <w:tcW w:w="1414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-0.5%</w:t>
            </w:r>
          </w:p>
        </w:tc>
        <w:tc>
          <w:tcPr>
            <w:tcW w:w="1521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-1.0%</w:t>
            </w:r>
          </w:p>
        </w:tc>
        <w:tc>
          <w:tcPr>
            <w:tcW w:w="120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-1.2%</w:t>
            </w:r>
          </w:p>
        </w:tc>
        <w:tc>
          <w:tcPr>
            <w:tcW w:w="135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-2.4%</w:t>
            </w:r>
          </w:p>
        </w:tc>
        <w:tc>
          <w:tcPr>
            <w:tcW w:w="136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-0.3%</w:t>
            </w:r>
          </w:p>
        </w:tc>
        <w:tc>
          <w:tcPr>
            <w:tcW w:w="147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-0.6%</w:t>
            </w:r>
          </w:p>
        </w:tc>
      </w:tr>
      <w:tr w:rsidR="007578F3" w:rsidRPr="007578F3" w:rsidTr="007578F3">
        <w:trPr>
          <w:trHeight w:val="315"/>
        </w:trPr>
        <w:tc>
          <w:tcPr>
            <w:tcW w:w="1380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Diff</w:t>
            </w:r>
          </w:p>
        </w:tc>
        <w:tc>
          <w:tcPr>
            <w:tcW w:w="124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-0.5%</w:t>
            </w:r>
          </w:p>
        </w:tc>
        <w:tc>
          <w:tcPr>
            <w:tcW w:w="1403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0.1%</w:t>
            </w:r>
          </w:p>
        </w:tc>
        <w:tc>
          <w:tcPr>
            <w:tcW w:w="1414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-0.5%</w:t>
            </w:r>
          </w:p>
        </w:tc>
        <w:tc>
          <w:tcPr>
            <w:tcW w:w="1521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0.1%</w:t>
            </w:r>
          </w:p>
        </w:tc>
        <w:tc>
          <w:tcPr>
            <w:tcW w:w="120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-2.7%</w:t>
            </w:r>
          </w:p>
        </w:tc>
        <w:tc>
          <w:tcPr>
            <w:tcW w:w="135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-0.1%</w:t>
            </w:r>
          </w:p>
        </w:tc>
        <w:tc>
          <w:tcPr>
            <w:tcW w:w="136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-0.3%</w:t>
            </w:r>
          </w:p>
        </w:tc>
        <w:tc>
          <w:tcPr>
            <w:tcW w:w="147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0.0%</w:t>
            </w:r>
          </w:p>
        </w:tc>
      </w:tr>
      <w:tr w:rsidR="007578F3" w:rsidRPr="007578F3" w:rsidTr="007578F3">
        <w:trPr>
          <w:trHeight w:val="315"/>
        </w:trPr>
        <w:tc>
          <w:tcPr>
            <w:tcW w:w="1380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</w:p>
        </w:tc>
        <w:tc>
          <w:tcPr>
            <w:tcW w:w="124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</w:p>
        </w:tc>
        <w:tc>
          <w:tcPr>
            <w:tcW w:w="1403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</w:p>
        </w:tc>
        <w:tc>
          <w:tcPr>
            <w:tcW w:w="1414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</w:p>
        </w:tc>
        <w:tc>
          <w:tcPr>
            <w:tcW w:w="1521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</w:p>
        </w:tc>
        <w:tc>
          <w:tcPr>
            <w:tcW w:w="120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</w:p>
        </w:tc>
        <w:tc>
          <w:tcPr>
            <w:tcW w:w="135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</w:p>
        </w:tc>
        <w:tc>
          <w:tcPr>
            <w:tcW w:w="136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</w:p>
        </w:tc>
        <w:tc>
          <w:tcPr>
            <w:tcW w:w="147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</w:p>
        </w:tc>
      </w:tr>
      <w:tr w:rsidR="007578F3" w:rsidRPr="007578F3" w:rsidTr="007578F3">
        <w:trPr>
          <w:trHeight w:val="315"/>
        </w:trPr>
        <w:tc>
          <w:tcPr>
            <w:tcW w:w="1380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Overall</w:t>
            </w:r>
            <w:r w:rsidR="001C36E7">
              <w:rPr>
                <w:b/>
                <w:bCs/>
                <w:szCs w:val="22"/>
              </w:rPr>
              <w:t xml:space="preserve"> </w:t>
            </w:r>
            <w:r w:rsidRPr="007578F3">
              <w:rPr>
                <w:b/>
                <w:bCs/>
                <w:szCs w:val="22"/>
              </w:rPr>
              <w:t>(EL)</w:t>
            </w:r>
          </w:p>
        </w:tc>
        <w:tc>
          <w:tcPr>
            <w:tcW w:w="124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RA Hybrid 2x</w:t>
            </w:r>
          </w:p>
        </w:tc>
        <w:tc>
          <w:tcPr>
            <w:tcW w:w="1403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RA Hybrid 1.5x</w:t>
            </w:r>
          </w:p>
        </w:tc>
        <w:tc>
          <w:tcPr>
            <w:tcW w:w="1414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LD-P Hybrid 2x</w:t>
            </w:r>
          </w:p>
        </w:tc>
        <w:tc>
          <w:tcPr>
            <w:tcW w:w="1521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LD-P Hybrid1.5x</w:t>
            </w:r>
          </w:p>
        </w:tc>
        <w:tc>
          <w:tcPr>
            <w:tcW w:w="120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RA Hybrid 2x</w:t>
            </w:r>
          </w:p>
        </w:tc>
        <w:tc>
          <w:tcPr>
            <w:tcW w:w="135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RA Hybrid 1.5x</w:t>
            </w:r>
          </w:p>
        </w:tc>
        <w:tc>
          <w:tcPr>
            <w:tcW w:w="136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LD-P Hybrid 2x</w:t>
            </w:r>
          </w:p>
        </w:tc>
        <w:tc>
          <w:tcPr>
            <w:tcW w:w="147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LD-P Hybrid1.5x</w:t>
            </w:r>
          </w:p>
        </w:tc>
      </w:tr>
      <w:tr w:rsidR="007578F3" w:rsidRPr="007578F3" w:rsidTr="007578F3">
        <w:trPr>
          <w:trHeight w:val="300"/>
        </w:trPr>
        <w:tc>
          <w:tcPr>
            <w:tcW w:w="1380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AVC Merge</w:t>
            </w:r>
          </w:p>
        </w:tc>
        <w:tc>
          <w:tcPr>
            <w:tcW w:w="124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-4.0%</w:t>
            </w:r>
          </w:p>
        </w:tc>
        <w:tc>
          <w:tcPr>
            <w:tcW w:w="1403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-4.8%</w:t>
            </w:r>
          </w:p>
        </w:tc>
        <w:tc>
          <w:tcPr>
            <w:tcW w:w="1414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-2.5%</w:t>
            </w:r>
          </w:p>
        </w:tc>
        <w:tc>
          <w:tcPr>
            <w:tcW w:w="1521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-2.7%</w:t>
            </w:r>
          </w:p>
        </w:tc>
        <w:tc>
          <w:tcPr>
            <w:tcW w:w="120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-3.6%</w:t>
            </w:r>
          </w:p>
        </w:tc>
        <w:tc>
          <w:tcPr>
            <w:tcW w:w="135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-4.8%</w:t>
            </w:r>
          </w:p>
        </w:tc>
        <w:tc>
          <w:tcPr>
            <w:tcW w:w="136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-2.0%</w:t>
            </w:r>
          </w:p>
        </w:tc>
        <w:tc>
          <w:tcPr>
            <w:tcW w:w="147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-2.3%</w:t>
            </w:r>
          </w:p>
        </w:tc>
      </w:tr>
      <w:tr w:rsidR="007578F3" w:rsidRPr="007578F3" w:rsidTr="007578F3">
        <w:trPr>
          <w:trHeight w:val="315"/>
        </w:trPr>
        <w:tc>
          <w:tcPr>
            <w:tcW w:w="1380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HEVC Merge</w:t>
            </w:r>
          </w:p>
        </w:tc>
        <w:tc>
          <w:tcPr>
            <w:tcW w:w="124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-2.6%</w:t>
            </w:r>
          </w:p>
        </w:tc>
        <w:tc>
          <w:tcPr>
            <w:tcW w:w="1403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-4.5%</w:t>
            </w:r>
          </w:p>
        </w:tc>
        <w:tc>
          <w:tcPr>
            <w:tcW w:w="1414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-1.3%</w:t>
            </w:r>
          </w:p>
        </w:tc>
        <w:tc>
          <w:tcPr>
            <w:tcW w:w="1521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-2.3%</w:t>
            </w:r>
          </w:p>
        </w:tc>
        <w:tc>
          <w:tcPr>
            <w:tcW w:w="120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-2.3%</w:t>
            </w:r>
          </w:p>
        </w:tc>
        <w:tc>
          <w:tcPr>
            <w:tcW w:w="135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-4.4%</w:t>
            </w:r>
          </w:p>
        </w:tc>
        <w:tc>
          <w:tcPr>
            <w:tcW w:w="136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-1.1%</w:t>
            </w:r>
          </w:p>
        </w:tc>
        <w:tc>
          <w:tcPr>
            <w:tcW w:w="147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-2.0%</w:t>
            </w:r>
          </w:p>
        </w:tc>
      </w:tr>
      <w:tr w:rsidR="007578F3" w:rsidRPr="007578F3" w:rsidTr="007578F3">
        <w:trPr>
          <w:trHeight w:val="315"/>
        </w:trPr>
        <w:tc>
          <w:tcPr>
            <w:tcW w:w="1380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b/>
                <w:bCs/>
                <w:szCs w:val="22"/>
              </w:rPr>
            </w:pPr>
            <w:r w:rsidRPr="007578F3">
              <w:rPr>
                <w:b/>
                <w:bCs/>
                <w:szCs w:val="22"/>
              </w:rPr>
              <w:t>Diff</w:t>
            </w:r>
          </w:p>
        </w:tc>
        <w:tc>
          <w:tcPr>
            <w:tcW w:w="124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-1.4%</w:t>
            </w:r>
          </w:p>
        </w:tc>
        <w:tc>
          <w:tcPr>
            <w:tcW w:w="1403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-0.4%</w:t>
            </w:r>
          </w:p>
        </w:tc>
        <w:tc>
          <w:tcPr>
            <w:tcW w:w="1414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-1.2%</w:t>
            </w:r>
          </w:p>
        </w:tc>
        <w:tc>
          <w:tcPr>
            <w:tcW w:w="1521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-0.4%</w:t>
            </w:r>
          </w:p>
        </w:tc>
        <w:tc>
          <w:tcPr>
            <w:tcW w:w="120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-1.3%</w:t>
            </w:r>
          </w:p>
        </w:tc>
        <w:tc>
          <w:tcPr>
            <w:tcW w:w="135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-0.4%</w:t>
            </w:r>
          </w:p>
        </w:tc>
        <w:tc>
          <w:tcPr>
            <w:tcW w:w="1368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-0.9%</w:t>
            </w:r>
          </w:p>
        </w:tc>
        <w:tc>
          <w:tcPr>
            <w:tcW w:w="1472" w:type="dxa"/>
            <w:noWrap/>
            <w:hideMark/>
          </w:tcPr>
          <w:p w:rsidR="007578F3" w:rsidRPr="007578F3" w:rsidRDefault="007578F3" w:rsidP="007578F3">
            <w:pPr>
              <w:jc w:val="both"/>
              <w:rPr>
                <w:szCs w:val="22"/>
              </w:rPr>
            </w:pPr>
            <w:r w:rsidRPr="007578F3">
              <w:rPr>
                <w:szCs w:val="22"/>
              </w:rPr>
              <w:t>-0.4%</w:t>
            </w:r>
          </w:p>
        </w:tc>
      </w:tr>
    </w:tbl>
    <w:p w:rsidR="001F2594" w:rsidRPr="0002595F" w:rsidRDefault="001F2594" w:rsidP="0002595F">
      <w:pPr>
        <w:jc w:val="both"/>
        <w:rPr>
          <w:szCs w:val="22"/>
        </w:rPr>
      </w:pPr>
    </w:p>
    <w:sectPr w:rsidR="001F2594" w:rsidRPr="0002595F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955" w:rsidRDefault="00985955">
      <w:r>
        <w:separator/>
      </w:r>
    </w:p>
  </w:endnote>
  <w:endnote w:type="continuationSeparator" w:id="0">
    <w:p w:rsidR="00985955" w:rsidRDefault="0098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946E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946E4">
      <w:rPr>
        <w:rStyle w:val="PageNumber"/>
      </w:rPr>
      <w:fldChar w:fldCharType="separate"/>
    </w:r>
    <w:r w:rsidR="001D1236">
      <w:rPr>
        <w:rStyle w:val="PageNumber"/>
        <w:noProof/>
      </w:rPr>
      <w:t>1</w:t>
    </w:r>
    <w:r w:rsidR="00B946E4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946E4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946E4">
      <w:rPr>
        <w:rStyle w:val="PageNumber"/>
      </w:rPr>
      <w:fldChar w:fldCharType="separate"/>
    </w:r>
    <w:r w:rsidR="0004140D">
      <w:rPr>
        <w:rStyle w:val="PageNumber"/>
        <w:noProof/>
      </w:rPr>
      <w:t>2013-01-14</w:t>
    </w:r>
    <w:r w:rsidR="00B946E4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955" w:rsidRDefault="00985955">
      <w:r>
        <w:separator/>
      </w:r>
    </w:p>
  </w:footnote>
  <w:footnote w:type="continuationSeparator" w:id="0">
    <w:p w:rsidR="00985955" w:rsidRDefault="00985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9">
    <w:nsid w:val="7F2761F4"/>
    <w:multiLevelType w:val="hybridMultilevel"/>
    <w:tmpl w:val="1F266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ECD"/>
    <w:rsid w:val="0002595F"/>
    <w:rsid w:val="0004140D"/>
    <w:rsid w:val="000458BC"/>
    <w:rsid w:val="00045C41"/>
    <w:rsid w:val="00046C03"/>
    <w:rsid w:val="0007614F"/>
    <w:rsid w:val="00086F9F"/>
    <w:rsid w:val="000B1C6B"/>
    <w:rsid w:val="000C09AC"/>
    <w:rsid w:val="000E00F3"/>
    <w:rsid w:val="000F158C"/>
    <w:rsid w:val="00124E38"/>
    <w:rsid w:val="0012580B"/>
    <w:rsid w:val="0013526E"/>
    <w:rsid w:val="00151BE7"/>
    <w:rsid w:val="00171371"/>
    <w:rsid w:val="00175A24"/>
    <w:rsid w:val="00187E58"/>
    <w:rsid w:val="001A297E"/>
    <w:rsid w:val="001A368E"/>
    <w:rsid w:val="001A7329"/>
    <w:rsid w:val="001B4E28"/>
    <w:rsid w:val="001C3525"/>
    <w:rsid w:val="001C36E7"/>
    <w:rsid w:val="001D1236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575A0"/>
    <w:rsid w:val="00275BCF"/>
    <w:rsid w:val="00292257"/>
    <w:rsid w:val="002A54E0"/>
    <w:rsid w:val="002A6BE9"/>
    <w:rsid w:val="002A7302"/>
    <w:rsid w:val="002B1595"/>
    <w:rsid w:val="002B191D"/>
    <w:rsid w:val="002B656E"/>
    <w:rsid w:val="002D0AF6"/>
    <w:rsid w:val="002F164D"/>
    <w:rsid w:val="00306206"/>
    <w:rsid w:val="00312786"/>
    <w:rsid w:val="00327C56"/>
    <w:rsid w:val="003315A1"/>
    <w:rsid w:val="003373EC"/>
    <w:rsid w:val="003706CC"/>
    <w:rsid w:val="003A2D8E"/>
    <w:rsid w:val="003C20E4"/>
    <w:rsid w:val="003E6F90"/>
    <w:rsid w:val="003F5D0F"/>
    <w:rsid w:val="00403ECD"/>
    <w:rsid w:val="00414101"/>
    <w:rsid w:val="00433DDB"/>
    <w:rsid w:val="00437619"/>
    <w:rsid w:val="004B210C"/>
    <w:rsid w:val="004B31BF"/>
    <w:rsid w:val="004D405F"/>
    <w:rsid w:val="004F61E3"/>
    <w:rsid w:val="0050585F"/>
    <w:rsid w:val="0051015C"/>
    <w:rsid w:val="00531AE9"/>
    <w:rsid w:val="005623FC"/>
    <w:rsid w:val="00567EC7"/>
    <w:rsid w:val="00570013"/>
    <w:rsid w:val="0058724E"/>
    <w:rsid w:val="005A33A1"/>
    <w:rsid w:val="005B0DED"/>
    <w:rsid w:val="005C385F"/>
    <w:rsid w:val="005F6F1B"/>
    <w:rsid w:val="00624B33"/>
    <w:rsid w:val="00630AA2"/>
    <w:rsid w:val="00646707"/>
    <w:rsid w:val="00664DCF"/>
    <w:rsid w:val="006720EB"/>
    <w:rsid w:val="00673421"/>
    <w:rsid w:val="006C5D39"/>
    <w:rsid w:val="006D738E"/>
    <w:rsid w:val="006E2810"/>
    <w:rsid w:val="006E5417"/>
    <w:rsid w:val="00712F60"/>
    <w:rsid w:val="00720E3B"/>
    <w:rsid w:val="00745F6B"/>
    <w:rsid w:val="0075585E"/>
    <w:rsid w:val="007578F3"/>
    <w:rsid w:val="00772782"/>
    <w:rsid w:val="007768FF"/>
    <w:rsid w:val="007824D3"/>
    <w:rsid w:val="007956FF"/>
    <w:rsid w:val="00796EE3"/>
    <w:rsid w:val="007A0B20"/>
    <w:rsid w:val="007A7D29"/>
    <w:rsid w:val="007F1F8B"/>
    <w:rsid w:val="008206C8"/>
    <w:rsid w:val="00840E03"/>
    <w:rsid w:val="0087486F"/>
    <w:rsid w:val="00874A6C"/>
    <w:rsid w:val="00876C65"/>
    <w:rsid w:val="008855C3"/>
    <w:rsid w:val="008A4B4C"/>
    <w:rsid w:val="008C239F"/>
    <w:rsid w:val="009062AF"/>
    <w:rsid w:val="00907757"/>
    <w:rsid w:val="009212B0"/>
    <w:rsid w:val="009234A5"/>
    <w:rsid w:val="009336F7"/>
    <w:rsid w:val="009369C9"/>
    <w:rsid w:val="009374A7"/>
    <w:rsid w:val="00963BAC"/>
    <w:rsid w:val="009849EA"/>
    <w:rsid w:val="00985955"/>
    <w:rsid w:val="0099518F"/>
    <w:rsid w:val="009A523D"/>
    <w:rsid w:val="009B7640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6E4"/>
    <w:rsid w:val="00B94B06"/>
    <w:rsid w:val="00B94C28"/>
    <w:rsid w:val="00BC10BA"/>
    <w:rsid w:val="00BC5AFD"/>
    <w:rsid w:val="00C0609D"/>
    <w:rsid w:val="00C115AB"/>
    <w:rsid w:val="00C30249"/>
    <w:rsid w:val="00C31E2B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31B"/>
    <w:rsid w:val="00D807BF"/>
    <w:rsid w:val="00D90402"/>
    <w:rsid w:val="00DA7887"/>
    <w:rsid w:val="00DB2C26"/>
    <w:rsid w:val="00DE6B43"/>
    <w:rsid w:val="00E11923"/>
    <w:rsid w:val="00E2289B"/>
    <w:rsid w:val="00E262D4"/>
    <w:rsid w:val="00E36250"/>
    <w:rsid w:val="00E54511"/>
    <w:rsid w:val="00E61DAC"/>
    <w:rsid w:val="00E75529"/>
    <w:rsid w:val="00E75FE3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7578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575A0"/>
    <w:rPr>
      <w:sz w:val="18"/>
      <w:szCs w:val="18"/>
    </w:rPr>
  </w:style>
  <w:style w:type="paragraph" w:styleId="CommentText">
    <w:name w:val="annotation text"/>
    <w:basedOn w:val="Normal"/>
    <w:link w:val="CommentTextChar"/>
    <w:rsid w:val="002575A0"/>
  </w:style>
  <w:style w:type="character" w:customStyle="1" w:styleId="CommentTextChar">
    <w:name w:val="Comment Text Char"/>
    <w:basedOn w:val="DefaultParagraphFont"/>
    <w:link w:val="CommentText"/>
    <w:rsid w:val="002575A0"/>
    <w:rPr>
      <w:sz w:val="22"/>
    </w:rPr>
  </w:style>
  <w:style w:type="paragraph" w:styleId="CommentSubject">
    <w:name w:val="annotation subject"/>
    <w:basedOn w:val="CommentText"/>
    <w:next w:val="CommentText"/>
    <w:link w:val="CommentSubjectChar"/>
    <w:rsid w:val="002575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5A0"/>
    <w:rPr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7578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575A0"/>
    <w:rPr>
      <w:sz w:val="18"/>
      <w:szCs w:val="18"/>
    </w:rPr>
  </w:style>
  <w:style w:type="paragraph" w:styleId="CommentText">
    <w:name w:val="annotation text"/>
    <w:basedOn w:val="Normal"/>
    <w:link w:val="CommentTextChar"/>
    <w:rsid w:val="002575A0"/>
  </w:style>
  <w:style w:type="character" w:customStyle="1" w:styleId="CommentTextChar">
    <w:name w:val="Comment Text Char"/>
    <w:basedOn w:val="DefaultParagraphFont"/>
    <w:link w:val="CommentText"/>
    <w:rsid w:val="002575A0"/>
    <w:rPr>
      <w:sz w:val="22"/>
    </w:rPr>
  </w:style>
  <w:style w:type="paragraph" w:styleId="CommentSubject">
    <w:name w:val="annotation subject"/>
    <w:basedOn w:val="CommentText"/>
    <w:next w:val="CommentText"/>
    <w:link w:val="CommentSubjectChar"/>
    <w:rsid w:val="002575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5A0"/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0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aricharan.lakshman@hhi.fraunhofer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i-kawamura@kddi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ill@vidyo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henix.it-sudparis.eu/jct/doc_end_user/current_document.php?id=7172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phenix.it-sudparis.eu/jct/doc_end_user/current_document.php?id=716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\AppData\Local\Temp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BDAC5-C535-4C5A-BD85-0B934BF91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3</TotalTime>
  <Pages>2</Pages>
  <Words>580</Words>
  <Characters>3414</Characters>
  <Application>Microsoft Office Word</Application>
  <DocSecurity>0</DocSecurity>
  <Lines>28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3987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Jill</dc:creator>
  <cp:keywords>JCT-VC, MPEG, VCEG</cp:keywords>
  <cp:lastModifiedBy>Jill Boyce</cp:lastModifiedBy>
  <cp:revision>4</cp:revision>
  <cp:lastPrinted>2011-10-26T14:40:00Z</cp:lastPrinted>
  <dcterms:created xsi:type="dcterms:W3CDTF">2013-01-14T09:46:00Z</dcterms:created>
  <dcterms:modified xsi:type="dcterms:W3CDTF">2013-01-14T09:49:00Z</dcterms:modified>
</cp:coreProperties>
</file>