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B11D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B11D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811C0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E97473">
              <w:rPr>
                <w:rFonts w:hint="eastAsia"/>
                <w:lang w:val="en-CA" w:eastAsia="ja-JP"/>
              </w:rPr>
              <w:t>0</w:t>
            </w:r>
            <w:r w:rsidR="00404439">
              <w:rPr>
                <w:rFonts w:hint="eastAsia"/>
                <w:lang w:val="en-CA" w:eastAsia="ja-JP"/>
              </w:rPr>
              <w:t>3</w:t>
            </w:r>
            <w:r w:rsidR="00F12536">
              <w:rPr>
                <w:rFonts w:hint="eastAsia"/>
                <w:lang w:val="en-CA" w:eastAsia="ja-JP"/>
              </w:rPr>
              <w:t>33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C147B5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86007" w:rsidP="00404439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Cross-check of </w:t>
            </w:r>
            <w:r w:rsidR="00404439" w:rsidRPr="00404439">
              <w:rPr>
                <w:b/>
                <w:szCs w:val="22"/>
                <w:lang w:val="en-CA" w:eastAsia="ja-JP"/>
              </w:rPr>
              <w:t>extended chroma mode for non 4:2:0 format</w:t>
            </w:r>
            <w:r w:rsidR="00933D0A">
              <w:rPr>
                <w:rFonts w:hint="eastAsia"/>
                <w:b/>
                <w:szCs w:val="22"/>
                <w:lang w:val="en-CA" w:eastAsia="ja-JP"/>
              </w:rPr>
              <w:t xml:space="preserve"> (JCTVC-K0</w:t>
            </w:r>
            <w:r w:rsidR="00404439">
              <w:rPr>
                <w:rFonts w:hint="eastAsia"/>
                <w:b/>
                <w:szCs w:val="22"/>
                <w:lang w:val="en-CA" w:eastAsia="ja-JP"/>
              </w:rPr>
              <w:t>253</w:t>
            </w:r>
            <w:r>
              <w:rPr>
                <w:rFonts w:hint="eastAsia"/>
                <w:b/>
                <w:szCs w:val="22"/>
                <w:lang w:val="en-CA" w:eastAsia="ja-JP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86007" w:rsidP="00C147B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Tomonobu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Sei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Naito</w:t>
            </w:r>
          </w:p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 xml:space="preserve">2-1-15, </w:t>
            </w:r>
            <w:proofErr w:type="spellStart"/>
            <w:r w:rsidRPr="00C30D7C">
              <w:rPr>
                <w:rFonts w:eastAsia="ＭＳ 明朝"/>
                <w:szCs w:val="22"/>
              </w:rPr>
              <w:t>Ohara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, </w:t>
            </w:r>
            <w:proofErr w:type="spellStart"/>
            <w:r w:rsidRPr="00C30D7C">
              <w:rPr>
                <w:rFonts w:eastAsia="ＭＳ 明朝"/>
                <w:szCs w:val="22"/>
              </w:rPr>
              <w:t>Fujimino-shi</w:t>
            </w:r>
            <w:proofErr w:type="spellEnd"/>
            <w:r w:rsidRPr="00C30D7C">
              <w:rPr>
                <w:rFonts w:eastAsia="ＭＳ 明朝"/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  <w:t>Tel:</w:t>
            </w:r>
            <w:r w:rsidRPr="00C30D7C">
              <w:rPr>
                <w:rFonts w:eastAsia="ＭＳ 明朝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KDDI Corp. (KDDI R&amp;D Laboratories</w:t>
            </w:r>
            <w:r>
              <w:rPr>
                <w:rFonts w:hint="eastAsia"/>
                <w:szCs w:val="22"/>
                <w:lang w:eastAsia="ja-JP"/>
              </w:rPr>
              <w:t>, Inc.</w:t>
            </w:r>
            <w:r w:rsidRPr="00C30D7C">
              <w:rPr>
                <w:rFonts w:eastAsia="ＭＳ 明朝"/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07C4" w:rsidRDefault="00275BCF" w:rsidP="00CB07C4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5E5C4A" w:rsidRPr="005E5C4A" w:rsidRDefault="005E5C4A" w:rsidP="005E5C4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the </w:t>
      </w:r>
      <w:r w:rsidR="00886007">
        <w:rPr>
          <w:rFonts w:hint="eastAsia"/>
          <w:lang w:val="en-CA" w:eastAsia="ja-JP"/>
        </w:rPr>
        <w:t xml:space="preserve">cross-check </w:t>
      </w:r>
      <w:r>
        <w:rPr>
          <w:rFonts w:hint="eastAsia"/>
          <w:lang w:val="en-CA" w:eastAsia="ja-JP"/>
        </w:rPr>
        <w:t>result</w:t>
      </w:r>
      <w:r w:rsidR="00886007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of </w:t>
      </w:r>
      <w:r w:rsidR="00404439" w:rsidRPr="00404439">
        <w:rPr>
          <w:lang w:val="en-CA" w:eastAsia="ja-JP"/>
        </w:rPr>
        <w:t xml:space="preserve">extended chroma mode for non 4:2:0 </w:t>
      </w:r>
      <w:proofErr w:type="gramStart"/>
      <w:r w:rsidR="00404439" w:rsidRPr="00404439">
        <w:rPr>
          <w:lang w:val="en-CA" w:eastAsia="ja-JP"/>
        </w:rPr>
        <w:t>format</w:t>
      </w:r>
      <w:proofErr w:type="gramEnd"/>
      <w:r w:rsidR="00404439" w:rsidRPr="00404439">
        <w:rPr>
          <w:lang w:val="en-CA" w:eastAsia="ja-JP"/>
        </w:rPr>
        <w:t xml:space="preserve"> </w:t>
      </w:r>
      <w:r w:rsidR="00933D0A">
        <w:rPr>
          <w:rFonts w:hint="eastAsia"/>
          <w:lang w:val="en-CA" w:eastAsia="ja-JP"/>
        </w:rPr>
        <w:t>in JCTVC-K0</w:t>
      </w:r>
      <w:r w:rsidR="00404439">
        <w:rPr>
          <w:rFonts w:hint="eastAsia"/>
          <w:lang w:val="en-CA" w:eastAsia="ja-JP"/>
        </w:rPr>
        <w:t>253</w:t>
      </w:r>
      <w:r w:rsidR="00886007">
        <w:rPr>
          <w:rFonts w:hint="eastAsia"/>
          <w:lang w:val="en-CA" w:eastAsia="ja-JP"/>
        </w:rPr>
        <w:t>.</w:t>
      </w:r>
      <w:r w:rsidR="00404439">
        <w:rPr>
          <w:rFonts w:hint="eastAsia"/>
          <w:lang w:val="en-CA" w:eastAsia="ja-JP"/>
        </w:rPr>
        <w:t xml:space="preserve"> </w:t>
      </w:r>
      <w:r w:rsidR="00024F81">
        <w:rPr>
          <w:rFonts w:hint="eastAsia"/>
          <w:lang w:val="en-CA" w:eastAsia="ja-JP"/>
        </w:rPr>
        <w:t>The proposal 2.1 is</w:t>
      </w:r>
      <w:r w:rsidR="00665AB9">
        <w:rPr>
          <w:rFonts w:hint="eastAsia"/>
          <w:lang w:val="en-CA" w:eastAsia="ja-JP"/>
        </w:rPr>
        <w:t xml:space="preserve"> an</w:t>
      </w:r>
      <w:r w:rsidR="00024F81">
        <w:rPr>
          <w:rFonts w:hint="eastAsia"/>
          <w:lang w:val="en-CA" w:eastAsia="ja-JP"/>
        </w:rPr>
        <w:t xml:space="preserve"> identical </w:t>
      </w:r>
      <w:r w:rsidR="008C3377">
        <w:rPr>
          <w:rFonts w:hint="eastAsia"/>
          <w:lang w:val="en-CA" w:eastAsia="ja-JP"/>
        </w:rPr>
        <w:t xml:space="preserve">proposal by </w:t>
      </w:r>
      <w:r w:rsidR="00024F81">
        <w:rPr>
          <w:rFonts w:hint="eastAsia"/>
          <w:lang w:val="en-CA" w:eastAsia="ja-JP"/>
        </w:rPr>
        <w:t>JCTVC-K0190. The proposal 2.2 reduce parameter computation load.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886007" w:rsidRDefault="00024F81" w:rsidP="009F574C">
      <w:pPr>
        <w:jc w:val="both"/>
        <w:rPr>
          <w:lang w:eastAsia="ja-JP"/>
        </w:rPr>
      </w:pPr>
      <w:r>
        <w:rPr>
          <w:rFonts w:hint="eastAsia"/>
          <w:szCs w:val="22"/>
          <w:lang w:val="en-CA" w:eastAsia="ja-JP"/>
        </w:rPr>
        <w:t xml:space="preserve">An extended chroma mode for non 4:2:0 chroma format </w:t>
      </w:r>
      <w:r w:rsidR="00933D0A">
        <w:rPr>
          <w:rFonts w:hint="eastAsia"/>
          <w:szCs w:val="22"/>
          <w:lang w:val="en-CA" w:eastAsia="ja-JP"/>
        </w:rPr>
        <w:t xml:space="preserve">is presented in </w:t>
      </w:r>
      <w:r w:rsidR="00933D0A">
        <w:rPr>
          <w:szCs w:val="22"/>
          <w:lang w:val="en-CA" w:eastAsia="ja-JP"/>
        </w:rPr>
        <w:t>document</w:t>
      </w:r>
      <w:r w:rsidR="00933D0A">
        <w:rPr>
          <w:rFonts w:hint="eastAsia"/>
          <w:szCs w:val="22"/>
          <w:lang w:val="en-CA" w:eastAsia="ja-JP"/>
        </w:rPr>
        <w:t xml:space="preserve"> JCTVC-K0</w:t>
      </w:r>
      <w:r>
        <w:rPr>
          <w:rFonts w:hint="eastAsia"/>
          <w:szCs w:val="22"/>
          <w:lang w:val="en-CA" w:eastAsia="ja-JP"/>
        </w:rPr>
        <w:t>253</w:t>
      </w:r>
      <w:r w:rsidR="00933D0A">
        <w:rPr>
          <w:rFonts w:hint="eastAsia"/>
          <w:szCs w:val="22"/>
          <w:lang w:val="en-CA" w:eastAsia="ja-JP"/>
        </w:rPr>
        <w:t>. The proposed method</w:t>
      </w:r>
      <w:r>
        <w:rPr>
          <w:rFonts w:hint="eastAsia"/>
          <w:szCs w:val="22"/>
          <w:lang w:val="en-CA" w:eastAsia="ja-JP"/>
        </w:rPr>
        <w:t xml:space="preserve"> 2.1 is </w:t>
      </w:r>
      <w:r w:rsidR="00665AB9">
        <w:rPr>
          <w:rFonts w:hint="eastAsia"/>
          <w:szCs w:val="22"/>
          <w:lang w:val="en-CA" w:eastAsia="ja-JP"/>
        </w:rPr>
        <w:t xml:space="preserve">an </w:t>
      </w:r>
      <w:r>
        <w:rPr>
          <w:rFonts w:hint="eastAsia"/>
          <w:szCs w:val="22"/>
          <w:lang w:val="en-CA" w:eastAsia="ja-JP"/>
        </w:rPr>
        <w:t>extension of LM mode for non 4:2:0 chroma format</w:t>
      </w:r>
      <w:r w:rsidR="009F574C">
        <w:rPr>
          <w:rFonts w:hint="eastAsia"/>
          <w:szCs w:val="22"/>
          <w:lang w:val="en-CA" w:eastAsia="ja-JP"/>
        </w:rPr>
        <w:t xml:space="preserve">. </w:t>
      </w:r>
      <w:r>
        <w:rPr>
          <w:rFonts w:hint="eastAsia"/>
          <w:szCs w:val="22"/>
          <w:lang w:val="en-CA" w:eastAsia="ja-JP"/>
        </w:rPr>
        <w:t xml:space="preserve">The proposed method 2.2 reduces the parameter computation load by </w:t>
      </w:r>
      <w:r w:rsidR="00665AB9">
        <w:rPr>
          <w:rFonts w:hint="eastAsia"/>
          <w:szCs w:val="22"/>
          <w:lang w:val="en-CA" w:eastAsia="ja-JP"/>
        </w:rPr>
        <w:t xml:space="preserve">using </w:t>
      </w:r>
      <w:proofErr w:type="gramStart"/>
      <w:r w:rsidR="00665AB9">
        <w:rPr>
          <w:rFonts w:hint="eastAsia"/>
          <w:szCs w:val="22"/>
          <w:lang w:val="en-CA" w:eastAsia="ja-JP"/>
        </w:rPr>
        <w:t>an</w:t>
      </w:r>
      <w:proofErr w:type="gramEnd"/>
      <w:r w:rsidR="00665AB9">
        <w:rPr>
          <w:rFonts w:hint="eastAsia"/>
          <w:szCs w:val="22"/>
          <w:lang w:val="en-CA" w:eastAsia="ja-JP"/>
        </w:rPr>
        <w:t xml:space="preserve"> one</w:t>
      </w:r>
      <w:r>
        <w:rPr>
          <w:rFonts w:hint="eastAsia"/>
          <w:szCs w:val="22"/>
          <w:lang w:val="en-CA" w:eastAsia="ja-JP"/>
        </w:rPr>
        <w:t xml:space="preserve"> parameter for all TUs in each CU. </w:t>
      </w:r>
      <w:r w:rsidR="008C3377">
        <w:rPr>
          <w:rFonts w:hint="eastAsia"/>
          <w:szCs w:val="22"/>
          <w:lang w:val="en-CA" w:eastAsia="ja-JP"/>
        </w:rPr>
        <w:t>It is noted that the proposal 2.1 is</w:t>
      </w:r>
      <w:r w:rsidR="00665AB9">
        <w:rPr>
          <w:rFonts w:hint="eastAsia"/>
          <w:szCs w:val="22"/>
          <w:lang w:val="en-CA" w:eastAsia="ja-JP"/>
        </w:rPr>
        <w:t xml:space="preserve"> an</w:t>
      </w:r>
      <w:r w:rsidR="008C3377">
        <w:rPr>
          <w:rFonts w:hint="eastAsia"/>
          <w:szCs w:val="22"/>
          <w:lang w:val="en-CA" w:eastAsia="ja-JP"/>
        </w:rPr>
        <w:t xml:space="preserve"> identical proposal by the JCTVC-K0190. </w:t>
      </w:r>
      <w:r w:rsidR="00886007">
        <w:rPr>
          <w:rFonts w:hint="eastAsia"/>
          <w:lang w:eastAsia="ja-JP"/>
        </w:rPr>
        <w:t>This contribution reports the cr</w:t>
      </w:r>
      <w:r>
        <w:rPr>
          <w:rFonts w:hint="eastAsia"/>
          <w:lang w:eastAsia="ja-JP"/>
        </w:rPr>
        <w:t>oss-check results of these</w:t>
      </w:r>
      <w:r w:rsidR="009F574C">
        <w:rPr>
          <w:rFonts w:hint="eastAsia"/>
          <w:lang w:eastAsia="ja-JP"/>
        </w:rPr>
        <w:t xml:space="preserve"> proposal</w:t>
      </w:r>
      <w:r>
        <w:rPr>
          <w:rFonts w:hint="eastAsia"/>
          <w:lang w:eastAsia="ja-JP"/>
        </w:rPr>
        <w:t>s</w:t>
      </w:r>
      <w:r w:rsidR="00886007">
        <w:rPr>
          <w:rFonts w:hint="eastAsia"/>
          <w:lang w:eastAsia="ja-JP"/>
        </w:rPr>
        <w:t xml:space="preserve">. </w:t>
      </w:r>
    </w:p>
    <w:p w:rsidR="00B84429" w:rsidRPr="00B84429" w:rsidRDefault="009C7285" w:rsidP="00886007">
      <w:pPr>
        <w:jc w:val="both"/>
        <w:rPr>
          <w:lang w:eastAsia="ja-JP"/>
        </w:rPr>
      </w:pPr>
      <w:r>
        <w:rPr>
          <w:rFonts w:hint="eastAsia"/>
          <w:lang w:eastAsia="ja-JP"/>
        </w:rPr>
        <w:t>The software version was HM8</w:t>
      </w:r>
      <w:r w:rsidR="00886007">
        <w:rPr>
          <w:rFonts w:hint="eastAsia"/>
          <w:lang w:eastAsia="ja-JP"/>
        </w:rPr>
        <w:t>.0</w:t>
      </w:r>
      <w:r w:rsidR="00024F81">
        <w:rPr>
          <w:rFonts w:hint="eastAsia"/>
          <w:lang w:eastAsia="ja-JP"/>
        </w:rPr>
        <w:t>_ahg7</w:t>
      </w:r>
      <w:r w:rsidR="00886007">
        <w:rPr>
          <w:rFonts w:hint="eastAsia"/>
          <w:lang w:eastAsia="ja-JP"/>
        </w:rPr>
        <w:t xml:space="preserve">. The reference was generated by using the common test condition [1]. </w:t>
      </w:r>
      <w:r w:rsidR="000326CB">
        <w:rPr>
          <w:rFonts w:hint="eastAsia"/>
          <w:lang w:eastAsia="ja-JP"/>
        </w:rPr>
        <w:t>We complied provided software</w:t>
      </w:r>
      <w:r w:rsidR="00886007">
        <w:rPr>
          <w:rFonts w:hint="eastAsia"/>
          <w:lang w:eastAsia="ja-JP"/>
        </w:rPr>
        <w:t xml:space="preserve"> on 64-bit Windows XP </w:t>
      </w:r>
      <w:r w:rsidR="00886007">
        <w:rPr>
          <w:lang w:eastAsia="ja-JP"/>
        </w:rPr>
        <w:t>environment</w:t>
      </w:r>
      <w:r w:rsidR="00886007">
        <w:rPr>
          <w:rFonts w:hint="eastAsia"/>
          <w:lang w:eastAsia="ja-JP"/>
        </w:rPr>
        <w:t xml:space="preserve"> and the experiments were performed on the </w:t>
      </w:r>
      <w:r>
        <w:rPr>
          <w:rFonts w:hint="eastAsia"/>
          <w:lang w:eastAsia="ja-JP"/>
        </w:rPr>
        <w:t>cluster</w:t>
      </w:r>
      <w:r w:rsidR="000326CB">
        <w:rPr>
          <w:rFonts w:hint="eastAsia"/>
          <w:lang w:eastAsia="ja-JP"/>
        </w:rPr>
        <w:t xml:space="preserve"> PCs.</w:t>
      </w:r>
    </w:p>
    <w:p w:rsidR="000326CB" w:rsidRDefault="000326CB" w:rsidP="008C3377">
      <w:pPr>
        <w:pStyle w:val="ad"/>
        <w:keepNext/>
        <w:keepLines/>
        <w:jc w:val="center"/>
        <w:rPr>
          <w:noProof/>
          <w:lang w:eastAsia="ja-JP"/>
        </w:rPr>
      </w:pPr>
      <w:r>
        <w:t xml:space="preserve">Table </w:t>
      </w:r>
      <w:fldSimple w:instr=" SEQ Table \* ARABIC ">
        <w:r w:rsidR="003A4208">
          <w:rPr>
            <w:noProof/>
          </w:rPr>
          <w:t>1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 xml:space="preserve">Results of </w:t>
      </w:r>
      <w:r w:rsidR="00024F81" w:rsidRPr="00024F81">
        <w:rPr>
          <w:noProof/>
          <w:lang w:eastAsia="ja-JP"/>
        </w:rPr>
        <w:t xml:space="preserve">extended </w:t>
      </w:r>
      <w:r w:rsidR="00024F81">
        <w:rPr>
          <w:noProof/>
          <w:lang w:eastAsia="ja-JP"/>
        </w:rPr>
        <w:t>chroma mode</w:t>
      </w:r>
      <w:r>
        <w:rPr>
          <w:rFonts w:hint="eastAsia"/>
          <w:noProof/>
          <w:lang w:eastAsia="ja-JP"/>
        </w:rPr>
        <w:t xml:space="preserve"> </w:t>
      </w:r>
      <w:r w:rsidR="00024F81">
        <w:rPr>
          <w:rFonts w:hint="eastAsia"/>
          <w:noProof/>
          <w:lang w:eastAsia="ja-JP"/>
        </w:rPr>
        <w:t xml:space="preserve">by the proposal 2.1 </w:t>
      </w:r>
      <w:r>
        <w:rPr>
          <w:rFonts w:hint="eastAsia"/>
          <w:noProof/>
          <w:lang w:eastAsia="ja-JP"/>
        </w:rPr>
        <w:t xml:space="preserve">for </w:t>
      </w:r>
      <w:r w:rsidR="008C3377">
        <w:rPr>
          <w:rFonts w:hint="eastAsia"/>
          <w:noProof/>
          <w:lang w:eastAsia="ja-JP"/>
        </w:rPr>
        <w:t xml:space="preserve">4:2:2 </w:t>
      </w:r>
      <w:r>
        <w:rPr>
          <w:rFonts w:hint="eastAsia"/>
          <w:noProof/>
          <w:lang w:eastAsia="ja-JP"/>
        </w:rPr>
        <w:t>all intra conditions</w:t>
      </w:r>
    </w:p>
    <w:tbl>
      <w:tblPr>
        <w:tblW w:w="77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409"/>
        <w:gridCol w:w="936"/>
        <w:gridCol w:w="1122"/>
        <w:gridCol w:w="1122"/>
        <w:gridCol w:w="936"/>
        <w:gridCol w:w="1122"/>
        <w:gridCol w:w="1122"/>
      </w:tblGrid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</w:tr>
      <w:tr w:rsidR="008C3377" w:rsidRPr="008C3377" w:rsidTr="008C3377">
        <w:trPr>
          <w:trHeight w:val="255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-7.7%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-9.4%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-1.4%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-6.2%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-4.3%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</w:tr>
      <w:tr w:rsidR="008C3377" w:rsidRPr="008C3377" w:rsidTr="008C3377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-6.2%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-15.7%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-10.2%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-16.6%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-10.8%</w:t>
            </w:r>
          </w:p>
        </w:tc>
      </w:tr>
      <w:tr w:rsidR="008C3377" w:rsidRPr="008C3377" w:rsidTr="008C3377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-5.3%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-5.0%</w:t>
            </w:r>
          </w:p>
        </w:tc>
      </w:tr>
      <w:tr w:rsidR="008C3377" w:rsidRPr="008C3377" w:rsidTr="008C3377">
        <w:trPr>
          <w:trHeight w:val="27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</w:tr>
      <w:tr w:rsidR="008C3377" w:rsidRPr="008C3377" w:rsidTr="008C3377">
        <w:trPr>
          <w:trHeight w:val="27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:rsidR="008C3377" w:rsidRDefault="008C3377" w:rsidP="008C3377">
      <w:pPr>
        <w:rPr>
          <w:lang w:eastAsia="ja-JP"/>
        </w:rPr>
      </w:pPr>
    </w:p>
    <w:p w:rsidR="008C3377" w:rsidRDefault="008C3377" w:rsidP="008C3377">
      <w:pPr>
        <w:pStyle w:val="ad"/>
        <w:keepNext/>
        <w:keepLines/>
        <w:jc w:val="center"/>
        <w:rPr>
          <w:noProof/>
          <w:lang w:eastAsia="ja-JP"/>
        </w:rPr>
      </w:pPr>
      <w:r>
        <w:lastRenderedPageBreak/>
        <w:t xml:space="preserve">Table </w:t>
      </w:r>
      <w:fldSimple w:instr=" SEQ Table \* ARABIC ">
        <w:r w:rsidR="003A4208">
          <w:rPr>
            <w:noProof/>
          </w:rPr>
          <w:t>2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 xml:space="preserve">Results of </w:t>
      </w:r>
      <w:r w:rsidRPr="00024F81">
        <w:rPr>
          <w:noProof/>
          <w:lang w:eastAsia="ja-JP"/>
        </w:rPr>
        <w:t xml:space="preserve">extended </w:t>
      </w:r>
      <w:r>
        <w:rPr>
          <w:noProof/>
          <w:lang w:eastAsia="ja-JP"/>
        </w:rPr>
        <w:t>chroma mode</w:t>
      </w:r>
      <w:r>
        <w:rPr>
          <w:rFonts w:hint="eastAsia"/>
          <w:noProof/>
          <w:lang w:eastAsia="ja-JP"/>
        </w:rPr>
        <w:t xml:space="preserve"> by the proposal 2.1 for 4:4:4 all intra conditions</w:t>
      </w:r>
    </w:p>
    <w:tbl>
      <w:tblPr>
        <w:tblW w:w="77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409"/>
        <w:gridCol w:w="994"/>
        <w:gridCol w:w="1192"/>
        <w:gridCol w:w="994"/>
        <w:gridCol w:w="936"/>
        <w:gridCol w:w="1122"/>
        <w:gridCol w:w="1122"/>
      </w:tblGrid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</w:tr>
      <w:tr w:rsidR="008C3377" w:rsidRPr="008C3377" w:rsidTr="008C3377">
        <w:trPr>
          <w:trHeight w:val="255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-2.3%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-3.9%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-8.0%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-2.4%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-9.6%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-1.6%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-5.6%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-5.2%</w:t>
            </w:r>
          </w:p>
        </w:tc>
      </w:tr>
      <w:tr w:rsidR="008C3377" w:rsidRPr="008C3377" w:rsidTr="008C3377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-2.7%</w:t>
            </w:r>
          </w:p>
        </w:tc>
      </w:tr>
      <w:tr w:rsidR="008C3377" w:rsidRPr="008C3377" w:rsidTr="008C3377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-8.1%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-12.5%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-9.5%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-13.4%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-10.3%</w:t>
            </w:r>
          </w:p>
        </w:tc>
      </w:tr>
      <w:tr w:rsidR="008C3377" w:rsidRPr="008C3377" w:rsidTr="008C3377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-5.1%</w:t>
            </w:r>
          </w:p>
        </w:tc>
      </w:tr>
      <w:tr w:rsidR="008C3377" w:rsidRPr="008C3377" w:rsidTr="008C3377">
        <w:trPr>
          <w:trHeight w:val="27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108%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108%</w:t>
            </w:r>
          </w:p>
        </w:tc>
      </w:tr>
      <w:tr w:rsidR="008C3377" w:rsidRPr="008C3377" w:rsidTr="008C3377">
        <w:trPr>
          <w:trHeight w:val="27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3377" w:rsidRPr="008C3377" w:rsidRDefault="008C3377" w:rsidP="008C337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8C337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:rsidR="008C3377" w:rsidRDefault="008C3377" w:rsidP="008C3377">
      <w:pPr>
        <w:rPr>
          <w:lang w:eastAsia="ja-JP"/>
        </w:rPr>
      </w:pPr>
    </w:p>
    <w:p w:rsidR="003A4208" w:rsidRDefault="003A4208" w:rsidP="003A4208">
      <w:pPr>
        <w:pStyle w:val="ad"/>
        <w:keepNext/>
        <w:keepLines/>
        <w:jc w:val="center"/>
        <w:rPr>
          <w:noProof/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 xml:space="preserve">Results of </w:t>
      </w:r>
      <w:r w:rsidRPr="00024F81">
        <w:rPr>
          <w:noProof/>
          <w:lang w:eastAsia="ja-JP"/>
        </w:rPr>
        <w:t xml:space="preserve">extended </w:t>
      </w:r>
      <w:r>
        <w:rPr>
          <w:noProof/>
          <w:lang w:eastAsia="ja-JP"/>
        </w:rPr>
        <w:t>chroma mode</w:t>
      </w:r>
      <w:r>
        <w:rPr>
          <w:rFonts w:hint="eastAsia"/>
          <w:noProof/>
          <w:lang w:eastAsia="ja-JP"/>
        </w:rPr>
        <w:t xml:space="preserve"> by the proposal 2.2 for 4:2:2 all intra conditions</w:t>
      </w:r>
    </w:p>
    <w:tbl>
      <w:tblPr>
        <w:tblW w:w="77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409"/>
        <w:gridCol w:w="1060"/>
        <w:gridCol w:w="1060"/>
        <w:gridCol w:w="1060"/>
        <w:gridCol w:w="1060"/>
        <w:gridCol w:w="1060"/>
        <w:gridCol w:w="1060"/>
      </w:tblGrid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</w:tr>
      <w:tr w:rsidR="003A4208" w:rsidRPr="003A4208" w:rsidTr="003A4208">
        <w:trPr>
          <w:trHeight w:val="255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-0.4%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</w:tr>
      <w:tr w:rsidR="003A4208" w:rsidRPr="003A4208" w:rsidTr="003A4208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-0.5%</w:t>
            </w:r>
          </w:p>
        </w:tc>
      </w:tr>
      <w:tr w:rsidR="003A4208" w:rsidRPr="003A4208" w:rsidTr="003A4208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-0.3%</w:t>
            </w:r>
          </w:p>
        </w:tc>
      </w:tr>
      <w:tr w:rsidR="003A4208" w:rsidRPr="003A4208" w:rsidTr="003A4208">
        <w:trPr>
          <w:trHeight w:val="27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3A4208" w:rsidRPr="003A4208" w:rsidTr="003A4208">
        <w:trPr>
          <w:trHeight w:val="27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</w:tr>
    </w:tbl>
    <w:p w:rsidR="003A4208" w:rsidRDefault="003A4208" w:rsidP="008C3377">
      <w:pPr>
        <w:rPr>
          <w:lang w:eastAsia="ja-JP"/>
        </w:rPr>
      </w:pPr>
    </w:p>
    <w:p w:rsidR="003A4208" w:rsidRDefault="003A4208" w:rsidP="003A4208">
      <w:pPr>
        <w:pStyle w:val="ad"/>
        <w:keepNext/>
        <w:keepLines/>
        <w:jc w:val="center"/>
        <w:rPr>
          <w:noProof/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4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 xml:space="preserve">Results of </w:t>
      </w:r>
      <w:r w:rsidRPr="00024F81">
        <w:rPr>
          <w:noProof/>
          <w:lang w:eastAsia="ja-JP"/>
        </w:rPr>
        <w:t xml:space="preserve">extended </w:t>
      </w:r>
      <w:r>
        <w:rPr>
          <w:noProof/>
          <w:lang w:eastAsia="ja-JP"/>
        </w:rPr>
        <w:t>chroma mode</w:t>
      </w:r>
      <w:r>
        <w:rPr>
          <w:rFonts w:hint="eastAsia"/>
          <w:noProof/>
          <w:lang w:eastAsia="ja-JP"/>
        </w:rPr>
        <w:t xml:space="preserve"> by the proposal 2.2 for 4:4:4 all intra conditions</w:t>
      </w:r>
    </w:p>
    <w:tbl>
      <w:tblPr>
        <w:tblW w:w="77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409"/>
        <w:gridCol w:w="1060"/>
        <w:gridCol w:w="1060"/>
        <w:gridCol w:w="1060"/>
        <w:gridCol w:w="1060"/>
        <w:gridCol w:w="1060"/>
        <w:gridCol w:w="1060"/>
      </w:tblGrid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</w:tr>
      <w:tr w:rsidR="003A4208" w:rsidRPr="003A4208" w:rsidTr="003A4208">
        <w:trPr>
          <w:trHeight w:val="255"/>
          <w:jc w:val="center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Parkscene</w:t>
            </w:r>
            <w:proofErr w:type="spellEnd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DucksAndLegs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-0.2%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Traffic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0.3%</w:t>
            </w:r>
          </w:p>
        </w:tc>
      </w:tr>
      <w:tr w:rsidR="003A4208" w:rsidRPr="003A4208" w:rsidTr="003A4208">
        <w:trPr>
          <w:trHeight w:val="24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OldTownCross</w:t>
            </w:r>
            <w:proofErr w:type="spellEnd"/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</w:tr>
      <w:tr w:rsidR="003A4208" w:rsidRPr="003A4208" w:rsidTr="003A4208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Seeking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</w:tr>
      <w:tr w:rsidR="003A4208" w:rsidRPr="003A4208" w:rsidTr="003A4208">
        <w:trPr>
          <w:trHeight w:val="25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-0.1%</w:t>
            </w:r>
          </w:p>
        </w:tc>
      </w:tr>
      <w:tr w:rsidR="003A4208" w:rsidRPr="003A4208" w:rsidTr="003A4208">
        <w:trPr>
          <w:trHeight w:val="270"/>
          <w:jc w:val="center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3A4208" w:rsidRPr="003A4208" w:rsidTr="003A4208">
        <w:trPr>
          <w:trHeight w:val="27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208" w:rsidRPr="003A4208" w:rsidRDefault="003A4208" w:rsidP="003A420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A42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</w:tr>
    </w:tbl>
    <w:p w:rsidR="003A4208" w:rsidRPr="003A4208" w:rsidRDefault="003A4208" w:rsidP="008C3377">
      <w:pPr>
        <w:rPr>
          <w:lang w:eastAsia="ja-JP"/>
        </w:rPr>
      </w:pPr>
    </w:p>
    <w:p w:rsidR="00B84429" w:rsidRPr="008C3377" w:rsidRDefault="00B84429" w:rsidP="008C3377">
      <w:pPr>
        <w:rPr>
          <w:lang w:eastAsia="ja-JP"/>
        </w:rPr>
      </w:pPr>
      <w:r>
        <w:rPr>
          <w:rFonts w:hint="eastAsia"/>
          <w:lang w:eastAsia="ja-JP"/>
        </w:rPr>
        <w:t>Additional results of other conditions can be found in the attached excel sheets.</w:t>
      </w:r>
    </w:p>
    <w:p w:rsidR="009C7285" w:rsidRPr="005B217D" w:rsidRDefault="009C7285" w:rsidP="009C7285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Conclusions</w:t>
      </w:r>
    </w:p>
    <w:p w:rsidR="009C7285" w:rsidRPr="005B217D" w:rsidRDefault="009C7285" w:rsidP="009C728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We have verifie</w:t>
      </w:r>
      <w:r w:rsidR="009F574C">
        <w:rPr>
          <w:rFonts w:hint="eastAsia"/>
          <w:szCs w:val="22"/>
          <w:lang w:val="en-CA" w:eastAsia="ja-JP"/>
        </w:rPr>
        <w:t>d results reported in JCTVC-K0</w:t>
      </w:r>
      <w:r w:rsidR="003A4208">
        <w:rPr>
          <w:rFonts w:hint="eastAsia"/>
          <w:szCs w:val="22"/>
          <w:lang w:val="en-CA" w:eastAsia="ja-JP"/>
        </w:rPr>
        <w:t>253</w:t>
      </w:r>
      <w:r>
        <w:rPr>
          <w:rFonts w:hint="eastAsia"/>
          <w:szCs w:val="22"/>
          <w:lang w:val="en-CA" w:eastAsia="ja-JP"/>
        </w:rPr>
        <w:t xml:space="preserve">. The results of </w:t>
      </w:r>
      <w:r w:rsidR="003A4208">
        <w:rPr>
          <w:rFonts w:hint="eastAsia"/>
          <w:szCs w:val="22"/>
          <w:lang w:val="en-CA" w:eastAsia="ja-JP"/>
        </w:rPr>
        <w:t>the cross-check matched with LGE</w:t>
      </w:r>
      <w:r>
        <w:rPr>
          <w:szCs w:val="22"/>
          <w:lang w:val="en-CA" w:eastAsia="ja-JP"/>
        </w:rPr>
        <w:t>’</w:t>
      </w:r>
      <w:r>
        <w:rPr>
          <w:rFonts w:hint="eastAsia"/>
          <w:szCs w:val="22"/>
          <w:lang w:val="en-CA" w:eastAsia="ja-JP"/>
        </w:rPr>
        <w:t xml:space="preserve">s report. The encoding/decoding time also matched closely to those reported by the proponent. </w:t>
      </w:r>
    </w:p>
    <w:p w:rsidR="005632EA" w:rsidRDefault="005632EA" w:rsidP="005632EA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lastRenderedPageBreak/>
        <w:t>References</w:t>
      </w:r>
    </w:p>
    <w:p w:rsidR="008C3377" w:rsidRPr="004C3884" w:rsidRDefault="008C3377" w:rsidP="008C3377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D. Flynn, </w:t>
      </w:r>
      <w:r>
        <w:rPr>
          <w:rFonts w:eastAsia="ＭＳ 明朝"/>
          <w:szCs w:val="22"/>
          <w:lang w:eastAsia="ja-JP"/>
        </w:rPr>
        <w:t>“</w:t>
      </w:r>
      <w:proofErr w:type="spellStart"/>
      <w:r w:rsidRPr="00FA10BF">
        <w:rPr>
          <w:rFonts w:eastAsia="ＭＳ 明朝"/>
          <w:szCs w:val="22"/>
        </w:rPr>
        <w:t>BoG</w:t>
      </w:r>
      <w:proofErr w:type="spellEnd"/>
      <w:r w:rsidRPr="00FA10BF">
        <w:rPr>
          <w:rFonts w:eastAsia="ＭＳ 明朝"/>
          <w:szCs w:val="22"/>
        </w:rPr>
        <w:t xml:space="preserve"> report: Extended chroma formats</w:t>
      </w:r>
      <w:r>
        <w:rPr>
          <w:rFonts w:eastAsia="ＭＳ 明朝" w:hint="eastAsia"/>
          <w:szCs w:val="22"/>
          <w:lang w:eastAsia="ja-JP"/>
        </w:rPr>
        <w:t>,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 xml:space="preserve"> JCTVC-J0581, Stockholm, July 2012.</w:t>
      </w:r>
    </w:p>
    <w:sectPr w:rsidR="008C3377" w:rsidRPr="004C3884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E8E" w:rsidRDefault="006C0E8E">
      <w:r>
        <w:separator/>
      </w:r>
    </w:p>
  </w:endnote>
  <w:endnote w:type="continuationSeparator" w:id="0">
    <w:p w:rsidR="006C0E8E" w:rsidRDefault="006C0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B" w:rsidRDefault="00966D7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B11D3">
      <w:rPr>
        <w:rStyle w:val="a5"/>
      </w:rPr>
      <w:fldChar w:fldCharType="begin"/>
    </w:r>
    <w:r>
      <w:rPr>
        <w:rStyle w:val="a5"/>
      </w:rPr>
      <w:instrText xml:space="preserve"> PAGE </w:instrText>
    </w:r>
    <w:r w:rsidR="006B11D3">
      <w:rPr>
        <w:rStyle w:val="a5"/>
      </w:rPr>
      <w:fldChar w:fldCharType="separate"/>
    </w:r>
    <w:r w:rsidR="00F12536">
      <w:rPr>
        <w:rStyle w:val="a5"/>
        <w:noProof/>
      </w:rPr>
      <w:t>2</w:t>
    </w:r>
    <w:r w:rsidR="006B11D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B11D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B11D3">
      <w:rPr>
        <w:rStyle w:val="a5"/>
      </w:rPr>
      <w:fldChar w:fldCharType="separate"/>
    </w:r>
    <w:r w:rsidR="00F12536">
      <w:rPr>
        <w:rStyle w:val="a5"/>
        <w:noProof/>
      </w:rPr>
      <w:t>2012-10-10</w:t>
    </w:r>
    <w:r w:rsidR="006B11D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E8E" w:rsidRDefault="006C0E8E">
      <w:r>
        <w:separator/>
      </w:r>
    </w:p>
  </w:footnote>
  <w:footnote w:type="continuationSeparator" w:id="0">
    <w:p w:rsidR="006C0E8E" w:rsidRDefault="006C0E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F81"/>
    <w:rsid w:val="000326CB"/>
    <w:rsid w:val="000458BC"/>
    <w:rsid w:val="00045C41"/>
    <w:rsid w:val="00046C03"/>
    <w:rsid w:val="000547AF"/>
    <w:rsid w:val="0007614F"/>
    <w:rsid w:val="0008372C"/>
    <w:rsid w:val="000B1C6B"/>
    <w:rsid w:val="000B4FF9"/>
    <w:rsid w:val="000C09AC"/>
    <w:rsid w:val="000E00F3"/>
    <w:rsid w:val="000F0438"/>
    <w:rsid w:val="000F158C"/>
    <w:rsid w:val="00102F3D"/>
    <w:rsid w:val="00124E38"/>
    <w:rsid w:val="0012580B"/>
    <w:rsid w:val="00130A12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92257"/>
    <w:rsid w:val="002A54E0"/>
    <w:rsid w:val="002B1595"/>
    <w:rsid w:val="002B191D"/>
    <w:rsid w:val="002C54D9"/>
    <w:rsid w:val="002C5A6B"/>
    <w:rsid w:val="002D0AF6"/>
    <w:rsid w:val="002F164D"/>
    <w:rsid w:val="00306206"/>
    <w:rsid w:val="003068F1"/>
    <w:rsid w:val="00317D85"/>
    <w:rsid w:val="00327C56"/>
    <w:rsid w:val="003315A1"/>
    <w:rsid w:val="003373EC"/>
    <w:rsid w:val="00342FF4"/>
    <w:rsid w:val="00365B33"/>
    <w:rsid w:val="003706CC"/>
    <w:rsid w:val="00377710"/>
    <w:rsid w:val="003A2D8E"/>
    <w:rsid w:val="003A4208"/>
    <w:rsid w:val="003B441D"/>
    <w:rsid w:val="003C20E4"/>
    <w:rsid w:val="003D4298"/>
    <w:rsid w:val="003E6F90"/>
    <w:rsid w:val="003F5D0F"/>
    <w:rsid w:val="00404439"/>
    <w:rsid w:val="00414101"/>
    <w:rsid w:val="00414B04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93C"/>
    <w:rsid w:val="00550A66"/>
    <w:rsid w:val="005632EA"/>
    <w:rsid w:val="00567EC7"/>
    <w:rsid w:val="00570013"/>
    <w:rsid w:val="005801A2"/>
    <w:rsid w:val="005952A5"/>
    <w:rsid w:val="005A0B25"/>
    <w:rsid w:val="005A33A1"/>
    <w:rsid w:val="005A540E"/>
    <w:rsid w:val="005B217D"/>
    <w:rsid w:val="005C385F"/>
    <w:rsid w:val="005E1AC6"/>
    <w:rsid w:val="005E5C4A"/>
    <w:rsid w:val="005F6F1B"/>
    <w:rsid w:val="00624B33"/>
    <w:rsid w:val="00625F26"/>
    <w:rsid w:val="00630AA2"/>
    <w:rsid w:val="00646707"/>
    <w:rsid w:val="00647F9A"/>
    <w:rsid w:val="00662E58"/>
    <w:rsid w:val="00664DCF"/>
    <w:rsid w:val="00665AB9"/>
    <w:rsid w:val="0068227D"/>
    <w:rsid w:val="0068616E"/>
    <w:rsid w:val="006906F1"/>
    <w:rsid w:val="006A1A42"/>
    <w:rsid w:val="006B11D3"/>
    <w:rsid w:val="006B38FC"/>
    <w:rsid w:val="006C0E8E"/>
    <w:rsid w:val="006C5D39"/>
    <w:rsid w:val="006E2810"/>
    <w:rsid w:val="006E4205"/>
    <w:rsid w:val="006E5417"/>
    <w:rsid w:val="00712F60"/>
    <w:rsid w:val="00720E3B"/>
    <w:rsid w:val="00745F6B"/>
    <w:rsid w:val="0075585E"/>
    <w:rsid w:val="00770571"/>
    <w:rsid w:val="00773C86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62A01"/>
    <w:rsid w:val="00874A6C"/>
    <w:rsid w:val="00876C65"/>
    <w:rsid w:val="00886007"/>
    <w:rsid w:val="008A4B4C"/>
    <w:rsid w:val="008C239F"/>
    <w:rsid w:val="008C3377"/>
    <w:rsid w:val="008E480C"/>
    <w:rsid w:val="00907757"/>
    <w:rsid w:val="009212B0"/>
    <w:rsid w:val="009234A5"/>
    <w:rsid w:val="009336F7"/>
    <w:rsid w:val="00933D0A"/>
    <w:rsid w:val="009374A7"/>
    <w:rsid w:val="00966D7B"/>
    <w:rsid w:val="0098551D"/>
    <w:rsid w:val="0099518F"/>
    <w:rsid w:val="009A523D"/>
    <w:rsid w:val="009B52D1"/>
    <w:rsid w:val="009C7285"/>
    <w:rsid w:val="009E2526"/>
    <w:rsid w:val="009E46F6"/>
    <w:rsid w:val="009E7BBB"/>
    <w:rsid w:val="009F496B"/>
    <w:rsid w:val="009F574C"/>
    <w:rsid w:val="00A01439"/>
    <w:rsid w:val="00A02E61"/>
    <w:rsid w:val="00A05CFF"/>
    <w:rsid w:val="00A47A34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0155"/>
    <w:rsid w:val="00B61C96"/>
    <w:rsid w:val="00B73A2A"/>
    <w:rsid w:val="00B83883"/>
    <w:rsid w:val="00B84429"/>
    <w:rsid w:val="00B94B06"/>
    <w:rsid w:val="00B94C28"/>
    <w:rsid w:val="00BC10BA"/>
    <w:rsid w:val="00BC4C56"/>
    <w:rsid w:val="00BC5AFD"/>
    <w:rsid w:val="00C04EC6"/>
    <w:rsid w:val="00C04F43"/>
    <w:rsid w:val="00C0609D"/>
    <w:rsid w:val="00C115AB"/>
    <w:rsid w:val="00C147B5"/>
    <w:rsid w:val="00C30249"/>
    <w:rsid w:val="00C31DD5"/>
    <w:rsid w:val="00C3723B"/>
    <w:rsid w:val="00C606C9"/>
    <w:rsid w:val="00C719FA"/>
    <w:rsid w:val="00C80288"/>
    <w:rsid w:val="00C84003"/>
    <w:rsid w:val="00C90650"/>
    <w:rsid w:val="00C97D78"/>
    <w:rsid w:val="00CB07C4"/>
    <w:rsid w:val="00CC2AAE"/>
    <w:rsid w:val="00CC5A42"/>
    <w:rsid w:val="00CD0EAB"/>
    <w:rsid w:val="00CF34DB"/>
    <w:rsid w:val="00CF558F"/>
    <w:rsid w:val="00D073E2"/>
    <w:rsid w:val="00D176EB"/>
    <w:rsid w:val="00D222CA"/>
    <w:rsid w:val="00D34B4F"/>
    <w:rsid w:val="00D446EC"/>
    <w:rsid w:val="00D51BF0"/>
    <w:rsid w:val="00D55942"/>
    <w:rsid w:val="00D807BF"/>
    <w:rsid w:val="00D82FCC"/>
    <w:rsid w:val="00DA2A56"/>
    <w:rsid w:val="00DA7887"/>
    <w:rsid w:val="00DB2C26"/>
    <w:rsid w:val="00DE6B43"/>
    <w:rsid w:val="00E11923"/>
    <w:rsid w:val="00E25C1E"/>
    <w:rsid w:val="00E262D4"/>
    <w:rsid w:val="00E36250"/>
    <w:rsid w:val="00E52520"/>
    <w:rsid w:val="00E54511"/>
    <w:rsid w:val="00E61DAC"/>
    <w:rsid w:val="00E72B80"/>
    <w:rsid w:val="00E75FE3"/>
    <w:rsid w:val="00E86C4C"/>
    <w:rsid w:val="00E97473"/>
    <w:rsid w:val="00EA082D"/>
    <w:rsid w:val="00EB7AB1"/>
    <w:rsid w:val="00EC079D"/>
    <w:rsid w:val="00EF48CC"/>
    <w:rsid w:val="00F006B3"/>
    <w:rsid w:val="00F12536"/>
    <w:rsid w:val="00F326C4"/>
    <w:rsid w:val="00F73032"/>
    <w:rsid w:val="00F74830"/>
    <w:rsid w:val="00F848FC"/>
    <w:rsid w:val="00F9282A"/>
    <w:rsid w:val="00F96BAD"/>
    <w:rsid w:val="00FB0E84"/>
    <w:rsid w:val="00FB7C2A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26C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326C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F326C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3B441D"/>
    <w:rPr>
      <w:color w:val="808080"/>
    </w:rPr>
  </w:style>
  <w:style w:type="paragraph" w:styleId="ac">
    <w:name w:val="List Paragraph"/>
    <w:basedOn w:val="a"/>
    <w:uiPriority w:val="34"/>
    <w:qFormat/>
    <w:rsid w:val="00966D7B"/>
    <w:pPr>
      <w:ind w:leftChars="400" w:left="840"/>
    </w:pPr>
  </w:style>
  <w:style w:type="paragraph" w:styleId="ad">
    <w:name w:val="caption"/>
    <w:basedOn w:val="a"/>
    <w:next w:val="a"/>
    <w:unhideWhenUsed/>
    <w:qFormat/>
    <w:rsid w:val="000326CB"/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2B084-39FD-4D0E-BA66-6B0A04F8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KDDI Corp.</dc:creator>
  <cp:keywords>JCT-VC, MPEG, VCEG</cp:keywords>
  <cp:lastModifiedBy>kei</cp:lastModifiedBy>
  <cp:revision>29</cp:revision>
  <cp:lastPrinted>1601-01-01T00:00:00Z</cp:lastPrinted>
  <dcterms:created xsi:type="dcterms:W3CDTF">2012-09-27T05:44:00Z</dcterms:created>
  <dcterms:modified xsi:type="dcterms:W3CDTF">2012-10-10T02:57:00Z</dcterms:modified>
</cp:coreProperties>
</file>