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80217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02176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47AF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811C05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1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811C05"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811C05"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</w:t>
            </w:r>
            <w:r w:rsidR="00811C05">
              <w:rPr>
                <w:szCs w:val="22"/>
                <w:lang w:val="en-CA"/>
              </w:rPr>
              <w:t>0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811C05"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811C05"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DE1A02">
            <w:pPr>
              <w:tabs>
                <w:tab w:val="left" w:pos="7200"/>
              </w:tabs>
              <w:rPr>
                <w:rFonts w:hint="eastAsia"/>
                <w:u w:val="single"/>
                <w:lang w:val="en-CA" w:eastAsia="ja-JP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811C05">
              <w:rPr>
                <w:lang w:val="en-CA"/>
              </w:rPr>
              <w:t>K</w:t>
            </w:r>
            <w:r w:rsidR="00DE1A02">
              <w:rPr>
                <w:rFonts w:hint="eastAsia"/>
                <w:lang w:val="en-CA" w:eastAsia="ja-JP"/>
              </w:rPr>
              <w:t>0291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C147B5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86007" w:rsidP="00C147B5">
            <w:pPr>
              <w:spacing w:before="60" w:after="60"/>
              <w:rPr>
                <w:b/>
                <w:szCs w:val="22"/>
                <w:lang w:val="en-CA" w:eastAsia="ja-JP"/>
              </w:rPr>
            </w:pPr>
            <w:r>
              <w:rPr>
                <w:rFonts w:hint="eastAsia"/>
                <w:b/>
                <w:szCs w:val="22"/>
                <w:lang w:val="en-CA" w:eastAsia="ja-JP"/>
              </w:rPr>
              <w:t xml:space="preserve">Cross-check of </w:t>
            </w:r>
            <w:r w:rsidRPr="00886007">
              <w:rPr>
                <w:b/>
                <w:szCs w:val="22"/>
                <w:lang w:val="en-CA" w:eastAsia="ja-JP"/>
              </w:rPr>
              <w:t>zero-delay non-local means filter</w:t>
            </w:r>
            <w:r>
              <w:rPr>
                <w:rFonts w:hint="eastAsia"/>
                <w:b/>
                <w:szCs w:val="22"/>
                <w:lang w:val="en-CA" w:eastAsia="ja-JP"/>
              </w:rPr>
              <w:t xml:space="preserve"> (JCTVC-K0172)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C147B5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86007" w:rsidP="00C147B5">
            <w:pPr>
              <w:spacing w:before="60" w:after="60"/>
              <w:rPr>
                <w:szCs w:val="22"/>
                <w:lang w:val="en-CA" w:eastAsia="ja-JP"/>
              </w:rPr>
            </w:pPr>
            <w:r>
              <w:rPr>
                <w:rFonts w:hint="eastAsia"/>
                <w:szCs w:val="22"/>
                <w:lang w:val="en-CA" w:eastAsia="ja-JP"/>
              </w:rPr>
              <w:t>Information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eastAsia="ja-JP"/>
              </w:rPr>
            </w:pPr>
            <w:r w:rsidRPr="00C30D7C">
              <w:rPr>
                <w:rFonts w:eastAsia="ＭＳ 明朝"/>
                <w:szCs w:val="22"/>
              </w:rPr>
              <w:t>Kei Kawamura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Tomonobu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Yoshino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proofErr w:type="spellStart"/>
            <w:r w:rsidRPr="00C30D7C">
              <w:rPr>
                <w:rFonts w:eastAsia="ＭＳ 明朝"/>
                <w:szCs w:val="22"/>
              </w:rPr>
              <w:t>Sei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 Naito</w:t>
            </w:r>
          </w:p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 xml:space="preserve">2-1-15, </w:t>
            </w:r>
            <w:proofErr w:type="spellStart"/>
            <w:r w:rsidRPr="00C30D7C">
              <w:rPr>
                <w:rFonts w:eastAsia="ＭＳ 明朝"/>
                <w:szCs w:val="22"/>
              </w:rPr>
              <w:t>Ohara</w:t>
            </w:r>
            <w:proofErr w:type="spellEnd"/>
            <w:r w:rsidRPr="00C30D7C">
              <w:rPr>
                <w:rFonts w:eastAsia="ＭＳ 明朝"/>
                <w:szCs w:val="22"/>
              </w:rPr>
              <w:t xml:space="preserve">, </w:t>
            </w:r>
            <w:proofErr w:type="spellStart"/>
            <w:r w:rsidRPr="00C30D7C">
              <w:rPr>
                <w:rFonts w:eastAsia="ＭＳ 明朝"/>
                <w:szCs w:val="22"/>
              </w:rPr>
              <w:t>Fujimino-shi</w:t>
            </w:r>
            <w:proofErr w:type="spellEnd"/>
            <w:r w:rsidRPr="00C30D7C">
              <w:rPr>
                <w:rFonts w:eastAsia="ＭＳ 明朝"/>
                <w:szCs w:val="22"/>
              </w:rPr>
              <w:t>, Saitama, JAPAN</w:t>
            </w:r>
          </w:p>
        </w:tc>
        <w:tc>
          <w:tcPr>
            <w:tcW w:w="900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  <w:t>Tel:</w:t>
            </w:r>
            <w:r w:rsidRPr="00C30D7C">
              <w:rPr>
                <w:rFonts w:eastAsia="ＭＳ 明朝"/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  <w:lang w:val="en-CA"/>
              </w:rPr>
              <w:br/>
            </w:r>
            <w:r w:rsidRPr="00C30D7C">
              <w:rPr>
                <w:rFonts w:eastAsia="ＭＳ 明朝"/>
                <w:szCs w:val="22"/>
              </w:rPr>
              <w:t>+81 49 278 7411</w:t>
            </w:r>
            <w:r w:rsidRPr="00C30D7C">
              <w:rPr>
                <w:rFonts w:eastAsia="ＭＳ 明朝" w:hint="eastAsia"/>
                <w:szCs w:val="22"/>
                <w:lang w:eastAsia="ja-JP"/>
              </w:rPr>
              <w:br/>
            </w:r>
            <w:r w:rsidRPr="00C30D7C">
              <w:rPr>
                <w:rFonts w:eastAsia="ＭＳ 明朝"/>
                <w:szCs w:val="22"/>
              </w:rPr>
              <w:t>ki-kawamura@kddi.com</w:t>
            </w:r>
          </w:p>
        </w:tc>
      </w:tr>
      <w:tr w:rsidR="00C147B5" w:rsidRPr="005B217D">
        <w:tc>
          <w:tcPr>
            <w:tcW w:w="1458" w:type="dxa"/>
          </w:tcPr>
          <w:p w:rsidR="00C147B5" w:rsidRPr="005B217D" w:rsidRDefault="00C147B5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147B5" w:rsidRPr="00C30D7C" w:rsidRDefault="00C147B5" w:rsidP="00966D7B">
            <w:pPr>
              <w:spacing w:before="60" w:after="60"/>
              <w:rPr>
                <w:rFonts w:eastAsia="ＭＳ 明朝"/>
                <w:szCs w:val="22"/>
                <w:lang w:val="en-CA"/>
              </w:rPr>
            </w:pPr>
            <w:r w:rsidRPr="00C30D7C">
              <w:rPr>
                <w:rFonts w:eastAsia="ＭＳ 明朝"/>
                <w:szCs w:val="22"/>
              </w:rPr>
              <w:t>KDDI Corp. (KDDI R&amp;D Laboratories</w:t>
            </w:r>
            <w:r>
              <w:rPr>
                <w:rFonts w:hint="eastAsia"/>
                <w:szCs w:val="22"/>
                <w:lang w:eastAsia="ja-JP"/>
              </w:rPr>
              <w:t>, Inc.</w:t>
            </w:r>
            <w:r w:rsidRPr="00C30D7C">
              <w:rPr>
                <w:rFonts w:eastAsia="ＭＳ 明朝"/>
                <w:szCs w:val="22"/>
              </w:rPr>
              <w:t>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B07C4" w:rsidRDefault="00275BCF" w:rsidP="00CB07C4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 w:rsidRPr="005B217D">
        <w:rPr>
          <w:lang w:val="en-CA"/>
        </w:rPr>
        <w:t>Abstract</w:t>
      </w:r>
    </w:p>
    <w:p w:rsidR="005E5C4A" w:rsidRPr="005E5C4A" w:rsidRDefault="005E5C4A" w:rsidP="005E5C4A">
      <w:pPr>
        <w:rPr>
          <w:lang w:val="en-CA" w:eastAsia="ja-JP"/>
        </w:rPr>
      </w:pPr>
      <w:r>
        <w:rPr>
          <w:rFonts w:hint="eastAsia"/>
          <w:lang w:val="en-CA" w:eastAsia="ja-JP"/>
        </w:rPr>
        <w:t xml:space="preserve">This contribution reports the </w:t>
      </w:r>
      <w:r w:rsidR="00886007">
        <w:rPr>
          <w:rFonts w:hint="eastAsia"/>
          <w:lang w:val="en-CA" w:eastAsia="ja-JP"/>
        </w:rPr>
        <w:t xml:space="preserve">cross-check </w:t>
      </w:r>
      <w:r>
        <w:rPr>
          <w:rFonts w:hint="eastAsia"/>
          <w:lang w:val="en-CA" w:eastAsia="ja-JP"/>
        </w:rPr>
        <w:t>result</w:t>
      </w:r>
      <w:r w:rsidR="00886007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 xml:space="preserve"> of </w:t>
      </w:r>
      <w:r w:rsidR="00886007">
        <w:rPr>
          <w:rFonts w:hint="eastAsia"/>
          <w:lang w:val="en-CA" w:eastAsia="ja-JP"/>
        </w:rPr>
        <w:t>zero-delay non-local means filter proposed in JCTVC-K0172.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886007" w:rsidRDefault="00886007" w:rsidP="00886007">
      <w:pPr>
        <w:jc w:val="both"/>
        <w:rPr>
          <w:lang w:eastAsia="ja-JP"/>
        </w:rPr>
      </w:pPr>
      <w:r>
        <w:rPr>
          <w:rFonts w:hint="eastAsia"/>
          <w:szCs w:val="22"/>
          <w:lang w:val="en-CA" w:eastAsia="ja-JP"/>
        </w:rPr>
        <w:t xml:space="preserve">LCU-based framework for zero-delay non-local means filter is presented in document JCTVC-K0175. In this framework, strength of the filter is adjusted for each 2x2 sub-block. </w:t>
      </w:r>
      <w:r>
        <w:rPr>
          <w:rFonts w:hint="eastAsia"/>
          <w:lang w:eastAsia="ja-JP"/>
        </w:rPr>
        <w:t>This contribution reports the cross-check results of this scheme. Table 1, 2</w:t>
      </w:r>
      <w:r w:rsidR="009C7285">
        <w:rPr>
          <w:rFonts w:hint="eastAsia"/>
          <w:lang w:eastAsia="ja-JP"/>
        </w:rPr>
        <w:t>,</w:t>
      </w:r>
      <w:r>
        <w:rPr>
          <w:rFonts w:hint="eastAsia"/>
          <w:lang w:eastAsia="ja-JP"/>
        </w:rPr>
        <w:t xml:space="preserve"> and 3 show the results</w:t>
      </w:r>
      <w:r w:rsidR="009C7285">
        <w:rPr>
          <w:rFonts w:hint="eastAsia"/>
          <w:lang w:eastAsia="ja-JP"/>
        </w:rPr>
        <w:t xml:space="preserve"> of all intra / random ac</w:t>
      </w:r>
      <w:r w:rsidR="00AC77A9">
        <w:rPr>
          <w:rFonts w:hint="eastAsia"/>
          <w:lang w:eastAsia="ja-JP"/>
        </w:rPr>
        <w:t>cess / low-delay B</w:t>
      </w:r>
      <w:r w:rsidR="009C7285">
        <w:rPr>
          <w:rFonts w:hint="eastAsia"/>
          <w:lang w:eastAsia="ja-JP"/>
        </w:rPr>
        <w:t xml:space="preserve"> configurations.</w:t>
      </w:r>
      <w:r>
        <w:rPr>
          <w:rFonts w:hint="eastAsia"/>
          <w:lang w:eastAsia="ja-JP"/>
        </w:rPr>
        <w:t xml:space="preserve"> </w:t>
      </w:r>
    </w:p>
    <w:p w:rsidR="001F2594" w:rsidRDefault="009C7285" w:rsidP="00886007">
      <w:pPr>
        <w:jc w:val="both"/>
        <w:rPr>
          <w:rFonts w:hint="eastAsia"/>
          <w:lang w:eastAsia="ja-JP"/>
        </w:rPr>
      </w:pPr>
      <w:r>
        <w:rPr>
          <w:rFonts w:hint="eastAsia"/>
          <w:lang w:eastAsia="ja-JP"/>
        </w:rPr>
        <w:t>The software version was HM8</w:t>
      </w:r>
      <w:r w:rsidR="00886007">
        <w:rPr>
          <w:rFonts w:hint="eastAsia"/>
          <w:lang w:eastAsia="ja-JP"/>
        </w:rPr>
        <w:t xml:space="preserve">.0. The reference was generated by using the common test condition [1]. We complied provided </w:t>
      </w:r>
      <w:r w:rsidR="00AC77A9">
        <w:rPr>
          <w:rFonts w:hint="eastAsia"/>
          <w:lang w:eastAsia="ja-JP"/>
        </w:rPr>
        <w:t>software package</w:t>
      </w:r>
      <w:r w:rsidR="00886007">
        <w:rPr>
          <w:rFonts w:hint="eastAsia"/>
          <w:lang w:eastAsia="ja-JP"/>
        </w:rPr>
        <w:t xml:space="preserve"> on 64-bit Windows XP </w:t>
      </w:r>
      <w:r w:rsidR="00886007">
        <w:rPr>
          <w:lang w:eastAsia="ja-JP"/>
        </w:rPr>
        <w:t>environment</w:t>
      </w:r>
      <w:r w:rsidR="00886007">
        <w:rPr>
          <w:rFonts w:hint="eastAsia"/>
          <w:lang w:eastAsia="ja-JP"/>
        </w:rPr>
        <w:t xml:space="preserve"> and the experiments were performed on the </w:t>
      </w:r>
      <w:r>
        <w:rPr>
          <w:rFonts w:hint="eastAsia"/>
          <w:lang w:eastAsia="ja-JP"/>
        </w:rPr>
        <w:t>cluster</w:t>
      </w:r>
      <w:r w:rsidR="00AC77A9">
        <w:rPr>
          <w:rFonts w:hint="eastAsia"/>
          <w:lang w:eastAsia="ja-JP"/>
        </w:rPr>
        <w:t xml:space="preserve"> PCs.</w:t>
      </w:r>
    </w:p>
    <w:p w:rsidR="00AC77A9" w:rsidRPr="00AC77A9" w:rsidRDefault="00AC77A9" w:rsidP="00AC77A9">
      <w:pPr>
        <w:pStyle w:val="ad"/>
        <w:keepNext/>
        <w:keepLines/>
        <w:jc w:val="center"/>
        <w:rPr>
          <w:rFonts w:hint="eastAsia"/>
          <w:lang w:eastAsia="ja-JP"/>
        </w:rPr>
      </w:pPr>
      <w:r>
        <w:t xml:space="preserve">Table </w:t>
      </w:r>
      <w:fldSimple w:instr=" SEQ Table \* ARABIC ">
        <w:r w:rsidR="00E55884">
          <w:rPr>
            <w:noProof/>
          </w:rPr>
          <w:t>1</w:t>
        </w:r>
      </w:fldSimple>
      <w:r>
        <w:rPr>
          <w:noProof/>
        </w:rPr>
        <w:t xml:space="preserve"> </w:t>
      </w:r>
      <w:r>
        <w:rPr>
          <w:rFonts w:hint="eastAsia"/>
          <w:noProof/>
          <w:lang w:eastAsia="ja-JP"/>
        </w:rPr>
        <w:t>Results of intra angular prediction blending for all intra conditions</w:t>
      </w:r>
    </w:p>
    <w:tbl>
      <w:tblPr>
        <w:tblW w:w="766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All Intra HE10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-2.9%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-2.6%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-2.6%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-2.1%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103%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114%</w:t>
            </w:r>
          </w:p>
        </w:tc>
      </w:tr>
    </w:tbl>
    <w:p w:rsidR="00AC77A9" w:rsidRDefault="00AC77A9" w:rsidP="00886007">
      <w:pPr>
        <w:jc w:val="both"/>
        <w:rPr>
          <w:rFonts w:hint="eastAsia"/>
          <w:lang w:eastAsia="ja-JP"/>
        </w:rPr>
      </w:pPr>
    </w:p>
    <w:p w:rsidR="00AC77A9" w:rsidRPr="00AC77A9" w:rsidRDefault="00AC77A9" w:rsidP="00AC77A9">
      <w:pPr>
        <w:pStyle w:val="ad"/>
        <w:keepNext/>
        <w:keepLines/>
        <w:jc w:val="center"/>
        <w:rPr>
          <w:rFonts w:hint="eastAsia"/>
          <w:lang w:eastAsia="ja-JP"/>
        </w:rPr>
      </w:pPr>
      <w:r>
        <w:lastRenderedPageBreak/>
        <w:t xml:space="preserve">Table </w:t>
      </w:r>
      <w:fldSimple w:instr=" SEQ Table \* ARABIC ">
        <w:r w:rsidR="00E55884">
          <w:rPr>
            <w:noProof/>
          </w:rPr>
          <w:t>2</w:t>
        </w:r>
      </w:fldSimple>
      <w:r>
        <w:rPr>
          <w:noProof/>
        </w:rPr>
        <w:t xml:space="preserve"> </w:t>
      </w:r>
      <w:r>
        <w:rPr>
          <w:rFonts w:hint="eastAsia"/>
          <w:noProof/>
          <w:lang w:eastAsia="ja-JP"/>
        </w:rPr>
        <w:t xml:space="preserve">Results of intra angular prediction blending for </w:t>
      </w:r>
      <w:r w:rsidR="00E55884">
        <w:rPr>
          <w:rFonts w:hint="eastAsia"/>
          <w:noProof/>
          <w:lang w:eastAsia="ja-JP"/>
        </w:rPr>
        <w:t>random access</w:t>
      </w:r>
      <w:r>
        <w:rPr>
          <w:rFonts w:hint="eastAsia"/>
          <w:noProof/>
          <w:lang w:eastAsia="ja-JP"/>
        </w:rPr>
        <w:t xml:space="preserve"> conditions</w:t>
      </w:r>
    </w:p>
    <w:tbl>
      <w:tblPr>
        <w:tblW w:w="766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Random Access HE10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-1.9%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-1.2%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-1.8%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114%</w:t>
            </w:r>
          </w:p>
        </w:tc>
      </w:tr>
    </w:tbl>
    <w:p w:rsidR="00AC77A9" w:rsidRDefault="00AC77A9" w:rsidP="00886007">
      <w:pPr>
        <w:jc w:val="both"/>
        <w:rPr>
          <w:rFonts w:hint="eastAsia"/>
          <w:lang w:eastAsia="ja-JP"/>
        </w:rPr>
      </w:pPr>
    </w:p>
    <w:p w:rsidR="00AC77A9" w:rsidRPr="00AC77A9" w:rsidRDefault="00AC77A9" w:rsidP="00AC77A9">
      <w:pPr>
        <w:pStyle w:val="ad"/>
        <w:keepNext/>
        <w:keepLines/>
        <w:jc w:val="center"/>
        <w:rPr>
          <w:rFonts w:hint="eastAsia"/>
          <w:lang w:eastAsia="ja-JP"/>
        </w:rPr>
      </w:pPr>
      <w:r>
        <w:t xml:space="preserve">Table </w:t>
      </w:r>
      <w:fldSimple w:instr=" SEQ Table \* ARABIC ">
        <w:r w:rsidR="00E55884">
          <w:rPr>
            <w:noProof/>
          </w:rPr>
          <w:t>3</w:t>
        </w:r>
      </w:fldSimple>
      <w:r>
        <w:rPr>
          <w:noProof/>
        </w:rPr>
        <w:t xml:space="preserve"> </w:t>
      </w:r>
      <w:r>
        <w:rPr>
          <w:rFonts w:hint="eastAsia"/>
          <w:noProof/>
          <w:lang w:eastAsia="ja-JP"/>
        </w:rPr>
        <w:t xml:space="preserve">Results of intra angular prediction blending for </w:t>
      </w:r>
      <w:r w:rsidR="00E55884">
        <w:rPr>
          <w:rFonts w:hint="eastAsia"/>
          <w:noProof/>
          <w:lang w:eastAsia="ja-JP"/>
        </w:rPr>
        <w:t xml:space="preserve">low delay B </w:t>
      </w:r>
      <w:r>
        <w:rPr>
          <w:rFonts w:hint="eastAsia"/>
          <w:noProof/>
          <w:lang w:eastAsia="ja-JP"/>
        </w:rPr>
        <w:t>conditions</w:t>
      </w:r>
    </w:p>
    <w:tbl>
      <w:tblPr>
        <w:tblW w:w="7660" w:type="dxa"/>
        <w:jc w:val="center"/>
        <w:tblInd w:w="84" w:type="dxa"/>
        <w:tblCellMar>
          <w:left w:w="99" w:type="dxa"/>
          <w:right w:w="99" w:type="dxa"/>
        </w:tblCellMar>
        <w:tblLook w:val="04A0"/>
      </w:tblPr>
      <w:tblGrid>
        <w:gridCol w:w="1300"/>
        <w:gridCol w:w="1060"/>
        <w:gridCol w:w="1060"/>
        <w:gridCol w:w="1060"/>
        <w:gridCol w:w="1060"/>
        <w:gridCol w:w="1060"/>
        <w:gridCol w:w="1060"/>
      </w:tblGrid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Low delay B HE10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-3.4%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-2.8%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-4.0%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-3.0%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-3.5%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-0.9%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-1.8%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-2.9%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-3.5%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-1.4%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-2.2%</w:t>
            </w:r>
          </w:p>
        </w:tc>
      </w:tr>
      <w:tr w:rsidR="00AC77A9" w:rsidRPr="00AC77A9" w:rsidTr="00AC77A9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101%</w:t>
            </w:r>
          </w:p>
        </w:tc>
      </w:tr>
      <w:tr w:rsidR="00AC77A9" w:rsidRPr="00AC77A9" w:rsidTr="00AC77A9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C77A9" w:rsidRPr="00AC77A9" w:rsidRDefault="00AC77A9" w:rsidP="00AC77A9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AC77A9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115%</w:t>
            </w:r>
          </w:p>
        </w:tc>
      </w:tr>
    </w:tbl>
    <w:p w:rsidR="009C7285" w:rsidRPr="005B217D" w:rsidRDefault="009C7285" w:rsidP="009C7285">
      <w:pPr>
        <w:pStyle w:val="1"/>
        <w:rPr>
          <w:lang w:val="en-CA"/>
        </w:rPr>
      </w:pPr>
      <w:r>
        <w:rPr>
          <w:rFonts w:hint="eastAsia"/>
          <w:lang w:val="en-CA" w:eastAsia="ja-JP"/>
        </w:rPr>
        <w:t>Conclusions</w:t>
      </w:r>
    </w:p>
    <w:p w:rsidR="009C7285" w:rsidRPr="005B217D" w:rsidRDefault="009C7285" w:rsidP="009C7285">
      <w:pPr>
        <w:jc w:val="both"/>
        <w:rPr>
          <w:szCs w:val="22"/>
          <w:lang w:val="en-CA" w:eastAsia="ja-JP"/>
        </w:rPr>
      </w:pPr>
      <w:r>
        <w:rPr>
          <w:rFonts w:hint="eastAsia"/>
          <w:szCs w:val="22"/>
          <w:lang w:val="en-CA" w:eastAsia="ja-JP"/>
        </w:rPr>
        <w:t>We have verified results reported in JCTVC-K017</w:t>
      </w:r>
      <w:r w:rsidR="00AC77A9">
        <w:rPr>
          <w:rFonts w:hint="eastAsia"/>
          <w:szCs w:val="22"/>
          <w:lang w:val="en-CA" w:eastAsia="ja-JP"/>
        </w:rPr>
        <w:t>2</w:t>
      </w:r>
      <w:r>
        <w:rPr>
          <w:rFonts w:hint="eastAsia"/>
          <w:szCs w:val="22"/>
          <w:lang w:val="en-CA" w:eastAsia="ja-JP"/>
        </w:rPr>
        <w:t>. The results of the cross-check matched with NTT</w:t>
      </w:r>
      <w:r>
        <w:rPr>
          <w:szCs w:val="22"/>
          <w:lang w:val="en-CA" w:eastAsia="ja-JP"/>
        </w:rPr>
        <w:t>’</w:t>
      </w:r>
      <w:r>
        <w:rPr>
          <w:rFonts w:hint="eastAsia"/>
          <w:szCs w:val="22"/>
          <w:lang w:val="en-CA" w:eastAsia="ja-JP"/>
        </w:rPr>
        <w:t xml:space="preserve">s report. The encoding/decoding time also matched closely to those reported by the proponent. </w:t>
      </w:r>
    </w:p>
    <w:p w:rsidR="005632EA" w:rsidRDefault="005632EA" w:rsidP="005632EA">
      <w:pPr>
        <w:pStyle w:val="1"/>
        <w:ind w:left="432" w:hanging="432"/>
        <w:rPr>
          <w:lang w:eastAsia="ja-JP"/>
        </w:rPr>
      </w:pPr>
      <w:r>
        <w:rPr>
          <w:rFonts w:hint="eastAsia"/>
          <w:lang w:eastAsia="ja-JP"/>
        </w:rPr>
        <w:t>References</w:t>
      </w:r>
    </w:p>
    <w:p w:rsidR="00966D7B" w:rsidRPr="00D67D79" w:rsidRDefault="00773C86" w:rsidP="005632EA">
      <w:pPr>
        <w:numPr>
          <w:ilvl w:val="0"/>
          <w:numId w:val="12"/>
        </w:num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eastAsia="ＭＳ 明朝"/>
          <w:szCs w:val="22"/>
        </w:rPr>
      </w:pPr>
      <w:r>
        <w:rPr>
          <w:rFonts w:eastAsia="ＭＳ 明朝" w:hint="eastAsia"/>
          <w:szCs w:val="22"/>
          <w:lang w:eastAsia="ja-JP"/>
        </w:rPr>
        <w:t xml:space="preserve">F. </w:t>
      </w:r>
      <w:proofErr w:type="spellStart"/>
      <w:r>
        <w:rPr>
          <w:rFonts w:eastAsia="ＭＳ 明朝" w:hint="eastAsia"/>
          <w:szCs w:val="22"/>
          <w:lang w:eastAsia="ja-JP"/>
        </w:rPr>
        <w:t>Bossen</w:t>
      </w:r>
      <w:proofErr w:type="spellEnd"/>
      <w:r>
        <w:rPr>
          <w:rFonts w:eastAsia="ＭＳ 明朝" w:hint="eastAsia"/>
          <w:szCs w:val="22"/>
          <w:lang w:eastAsia="ja-JP"/>
        </w:rPr>
        <w:t xml:space="preserve">, </w:t>
      </w:r>
      <w:r>
        <w:rPr>
          <w:rFonts w:eastAsia="ＭＳ 明朝"/>
          <w:szCs w:val="22"/>
          <w:lang w:eastAsia="ja-JP"/>
        </w:rPr>
        <w:t>“</w:t>
      </w:r>
      <w:r w:rsidRPr="00773C86">
        <w:rPr>
          <w:rFonts w:eastAsia="ＭＳ 明朝"/>
          <w:szCs w:val="22"/>
          <w:lang w:eastAsia="ja-JP"/>
        </w:rPr>
        <w:t>Common test conditions and software reference configurations</w:t>
      </w:r>
      <w:r>
        <w:rPr>
          <w:rFonts w:eastAsia="ＭＳ 明朝" w:hint="eastAsia"/>
          <w:szCs w:val="22"/>
          <w:lang w:eastAsia="ja-JP"/>
        </w:rPr>
        <w:t>,</w:t>
      </w:r>
      <w:r>
        <w:rPr>
          <w:rFonts w:eastAsia="ＭＳ 明朝"/>
          <w:szCs w:val="22"/>
          <w:lang w:eastAsia="ja-JP"/>
        </w:rPr>
        <w:t>”</w:t>
      </w:r>
      <w:r>
        <w:rPr>
          <w:rFonts w:eastAsia="ＭＳ 明朝" w:hint="eastAsia"/>
          <w:szCs w:val="22"/>
          <w:lang w:eastAsia="ja-JP"/>
        </w:rPr>
        <w:t xml:space="preserve"> JCTVC-J1100, Stockholm, SE, July 2012.</w:t>
      </w:r>
    </w:p>
    <w:sectPr w:rsidR="00966D7B" w:rsidRPr="00D67D79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912" w:rsidRDefault="00311912">
      <w:r>
        <w:separator/>
      </w:r>
    </w:p>
  </w:endnote>
  <w:endnote w:type="continuationSeparator" w:id="0">
    <w:p w:rsidR="00311912" w:rsidRDefault="00311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D7B" w:rsidRDefault="00966D7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02176">
      <w:rPr>
        <w:rStyle w:val="a5"/>
      </w:rPr>
      <w:fldChar w:fldCharType="begin"/>
    </w:r>
    <w:r>
      <w:rPr>
        <w:rStyle w:val="a5"/>
      </w:rPr>
      <w:instrText xml:space="preserve"> PAGE </w:instrText>
    </w:r>
    <w:r w:rsidR="00802176">
      <w:rPr>
        <w:rStyle w:val="a5"/>
      </w:rPr>
      <w:fldChar w:fldCharType="separate"/>
    </w:r>
    <w:r w:rsidR="00DE1A02">
      <w:rPr>
        <w:rStyle w:val="a5"/>
        <w:noProof/>
      </w:rPr>
      <w:t>1</w:t>
    </w:r>
    <w:r w:rsidR="00802176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02176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02176">
      <w:rPr>
        <w:rStyle w:val="a5"/>
      </w:rPr>
      <w:fldChar w:fldCharType="separate"/>
    </w:r>
    <w:r w:rsidR="00AC77A9">
      <w:rPr>
        <w:rStyle w:val="a5"/>
        <w:noProof/>
      </w:rPr>
      <w:t>2012-10-02</w:t>
    </w:r>
    <w:r w:rsidR="00802176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912" w:rsidRDefault="00311912">
      <w:r>
        <w:separator/>
      </w:r>
    </w:p>
  </w:footnote>
  <w:footnote w:type="continuationSeparator" w:id="0">
    <w:p w:rsidR="00311912" w:rsidRDefault="003119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0C3222"/>
    <w:multiLevelType w:val="singleLevel"/>
    <w:tmpl w:val="8A0467D4"/>
    <w:lvl w:ilvl="0">
      <w:start w:val="1"/>
      <w:numFmt w:val="decimal"/>
      <w:lvlText w:val="[%1]"/>
      <w:lvlJc w:val="left"/>
      <w:pPr>
        <w:ind w:left="400" w:hanging="400"/>
      </w:pPr>
      <w:rPr>
        <w:rFonts w:hint="default"/>
      </w:rPr>
    </w:lvl>
  </w:abstractNum>
  <w:abstractNum w:abstractNumId="5">
    <w:nsid w:val="23B80C58"/>
    <w:multiLevelType w:val="multilevel"/>
    <w:tmpl w:val="B44074C4"/>
    <w:lvl w:ilvl="0">
      <w:start w:val="1"/>
      <w:numFmt w:val="decimal"/>
      <w:pStyle w:val="1"/>
      <w:lvlText w:val="%1"/>
      <w:lvlJc w:val="left"/>
      <w:pPr>
        <w:ind w:left="432" w:hanging="432"/>
      </w:pPr>
      <w:rPr>
        <w:lang w:val="en-US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79B219C"/>
    <w:multiLevelType w:val="hybridMultilevel"/>
    <w:tmpl w:val="09986A66"/>
    <w:lvl w:ilvl="0" w:tplc="FFFFFFFF">
      <w:start w:val="1"/>
      <w:numFmt w:val="decimal"/>
      <w:lvlText w:val="[%1] "/>
      <w:lvlJc w:val="left"/>
      <w:pPr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458BC"/>
    <w:rsid w:val="00045C41"/>
    <w:rsid w:val="00046C03"/>
    <w:rsid w:val="000547AF"/>
    <w:rsid w:val="0007614F"/>
    <w:rsid w:val="0008372C"/>
    <w:rsid w:val="000B1C6B"/>
    <w:rsid w:val="000B4FF9"/>
    <w:rsid w:val="000C09AC"/>
    <w:rsid w:val="000E00F3"/>
    <w:rsid w:val="000F158C"/>
    <w:rsid w:val="00102F3D"/>
    <w:rsid w:val="00124E38"/>
    <w:rsid w:val="0012580B"/>
    <w:rsid w:val="00130A12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5BCF"/>
    <w:rsid w:val="00292257"/>
    <w:rsid w:val="002A54E0"/>
    <w:rsid w:val="002B1595"/>
    <w:rsid w:val="002B191D"/>
    <w:rsid w:val="002C5A6B"/>
    <w:rsid w:val="002D0AF6"/>
    <w:rsid w:val="002F164D"/>
    <w:rsid w:val="00306206"/>
    <w:rsid w:val="003068F1"/>
    <w:rsid w:val="00311912"/>
    <w:rsid w:val="00317D85"/>
    <w:rsid w:val="00327C56"/>
    <w:rsid w:val="003315A1"/>
    <w:rsid w:val="003373EC"/>
    <w:rsid w:val="00342FF4"/>
    <w:rsid w:val="00365B33"/>
    <w:rsid w:val="003706CC"/>
    <w:rsid w:val="00377710"/>
    <w:rsid w:val="003A2D8E"/>
    <w:rsid w:val="003B441D"/>
    <w:rsid w:val="003C20E4"/>
    <w:rsid w:val="003D4298"/>
    <w:rsid w:val="003E6F90"/>
    <w:rsid w:val="003F5D0F"/>
    <w:rsid w:val="00414101"/>
    <w:rsid w:val="00414B04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32EA"/>
    <w:rsid w:val="00567EC7"/>
    <w:rsid w:val="00570013"/>
    <w:rsid w:val="005801A2"/>
    <w:rsid w:val="005952A5"/>
    <w:rsid w:val="005A0B25"/>
    <w:rsid w:val="005A33A1"/>
    <w:rsid w:val="005A540E"/>
    <w:rsid w:val="005B217D"/>
    <w:rsid w:val="005C385F"/>
    <w:rsid w:val="005E1AC6"/>
    <w:rsid w:val="005E5C4A"/>
    <w:rsid w:val="005F6F1B"/>
    <w:rsid w:val="00624B33"/>
    <w:rsid w:val="00630AA2"/>
    <w:rsid w:val="00646707"/>
    <w:rsid w:val="00647F9A"/>
    <w:rsid w:val="00662E58"/>
    <w:rsid w:val="00664DCF"/>
    <w:rsid w:val="0068227D"/>
    <w:rsid w:val="0068616E"/>
    <w:rsid w:val="006A1A42"/>
    <w:rsid w:val="006B38FC"/>
    <w:rsid w:val="006C5D39"/>
    <w:rsid w:val="006E2810"/>
    <w:rsid w:val="006E4205"/>
    <w:rsid w:val="006E5417"/>
    <w:rsid w:val="00712F60"/>
    <w:rsid w:val="00720E3B"/>
    <w:rsid w:val="00745F6B"/>
    <w:rsid w:val="0075585E"/>
    <w:rsid w:val="00770571"/>
    <w:rsid w:val="00773C86"/>
    <w:rsid w:val="007768FF"/>
    <w:rsid w:val="007824D3"/>
    <w:rsid w:val="00796EE3"/>
    <w:rsid w:val="007A7D29"/>
    <w:rsid w:val="007B4AB8"/>
    <w:rsid w:val="007F1F8B"/>
    <w:rsid w:val="007F67A1"/>
    <w:rsid w:val="00802176"/>
    <w:rsid w:val="00811C05"/>
    <w:rsid w:val="008206C8"/>
    <w:rsid w:val="00874A6C"/>
    <w:rsid w:val="00876C65"/>
    <w:rsid w:val="00886007"/>
    <w:rsid w:val="008A4B4C"/>
    <w:rsid w:val="008C239F"/>
    <w:rsid w:val="008E480C"/>
    <w:rsid w:val="00907757"/>
    <w:rsid w:val="009212B0"/>
    <w:rsid w:val="009234A5"/>
    <w:rsid w:val="009336F7"/>
    <w:rsid w:val="009374A7"/>
    <w:rsid w:val="00966D7B"/>
    <w:rsid w:val="0098551D"/>
    <w:rsid w:val="0099518F"/>
    <w:rsid w:val="009A523D"/>
    <w:rsid w:val="009B52D1"/>
    <w:rsid w:val="009C7285"/>
    <w:rsid w:val="009E2526"/>
    <w:rsid w:val="009E46F6"/>
    <w:rsid w:val="009F496B"/>
    <w:rsid w:val="00A01439"/>
    <w:rsid w:val="00A02E61"/>
    <w:rsid w:val="00A05CFF"/>
    <w:rsid w:val="00A47A34"/>
    <w:rsid w:val="00A56B97"/>
    <w:rsid w:val="00A6093D"/>
    <w:rsid w:val="00A76A6D"/>
    <w:rsid w:val="00A83253"/>
    <w:rsid w:val="00AA6E84"/>
    <w:rsid w:val="00AC77A9"/>
    <w:rsid w:val="00AE341B"/>
    <w:rsid w:val="00B07CA7"/>
    <w:rsid w:val="00B1279A"/>
    <w:rsid w:val="00B5222E"/>
    <w:rsid w:val="00B61C96"/>
    <w:rsid w:val="00B73A2A"/>
    <w:rsid w:val="00B83883"/>
    <w:rsid w:val="00B94B06"/>
    <w:rsid w:val="00B94C28"/>
    <w:rsid w:val="00BC10BA"/>
    <w:rsid w:val="00BC5AFD"/>
    <w:rsid w:val="00C04EC6"/>
    <w:rsid w:val="00C04F43"/>
    <w:rsid w:val="00C0609D"/>
    <w:rsid w:val="00C115AB"/>
    <w:rsid w:val="00C147B5"/>
    <w:rsid w:val="00C30249"/>
    <w:rsid w:val="00C31DD5"/>
    <w:rsid w:val="00C3723B"/>
    <w:rsid w:val="00C606C9"/>
    <w:rsid w:val="00C80288"/>
    <w:rsid w:val="00C84003"/>
    <w:rsid w:val="00C90650"/>
    <w:rsid w:val="00C97D78"/>
    <w:rsid w:val="00CB07C4"/>
    <w:rsid w:val="00CC2AAE"/>
    <w:rsid w:val="00CC5A42"/>
    <w:rsid w:val="00CD0EAB"/>
    <w:rsid w:val="00CF34DB"/>
    <w:rsid w:val="00CF558F"/>
    <w:rsid w:val="00D073E2"/>
    <w:rsid w:val="00D222CA"/>
    <w:rsid w:val="00D34B4F"/>
    <w:rsid w:val="00D446EC"/>
    <w:rsid w:val="00D51BF0"/>
    <w:rsid w:val="00D55942"/>
    <w:rsid w:val="00D807BF"/>
    <w:rsid w:val="00D82FCC"/>
    <w:rsid w:val="00DA2A56"/>
    <w:rsid w:val="00DA7887"/>
    <w:rsid w:val="00DB2C26"/>
    <w:rsid w:val="00DE1A02"/>
    <w:rsid w:val="00DE6B43"/>
    <w:rsid w:val="00E11923"/>
    <w:rsid w:val="00E25C1E"/>
    <w:rsid w:val="00E262D4"/>
    <w:rsid w:val="00E36250"/>
    <w:rsid w:val="00E52520"/>
    <w:rsid w:val="00E54511"/>
    <w:rsid w:val="00E55884"/>
    <w:rsid w:val="00E61DAC"/>
    <w:rsid w:val="00E72B80"/>
    <w:rsid w:val="00E75FE3"/>
    <w:rsid w:val="00E86C4C"/>
    <w:rsid w:val="00EA082D"/>
    <w:rsid w:val="00EB7AB1"/>
    <w:rsid w:val="00EC079D"/>
    <w:rsid w:val="00EF48CC"/>
    <w:rsid w:val="00F326C4"/>
    <w:rsid w:val="00F73032"/>
    <w:rsid w:val="00F74830"/>
    <w:rsid w:val="00F848FC"/>
    <w:rsid w:val="00F9282A"/>
    <w:rsid w:val="00F96BAD"/>
    <w:rsid w:val="00FB0E84"/>
    <w:rsid w:val="00FB7C2A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26C4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F326C4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F326C4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aliases w:val="Heading 4 Char1 (文字),Heading 4 Char Char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 w:cs="Tahoma"/>
      <w:sz w:val="16"/>
      <w:szCs w:val="16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b">
    <w:name w:val="Placeholder Text"/>
    <w:basedOn w:val="a0"/>
    <w:uiPriority w:val="99"/>
    <w:semiHidden/>
    <w:rsid w:val="003B441D"/>
    <w:rPr>
      <w:color w:val="808080"/>
    </w:rPr>
  </w:style>
  <w:style w:type="paragraph" w:styleId="ac">
    <w:name w:val="List Paragraph"/>
    <w:basedOn w:val="a"/>
    <w:uiPriority w:val="34"/>
    <w:qFormat/>
    <w:rsid w:val="00966D7B"/>
    <w:pPr>
      <w:ind w:leftChars="400" w:left="840"/>
    </w:pPr>
  </w:style>
  <w:style w:type="paragraph" w:styleId="ad">
    <w:name w:val="caption"/>
    <w:basedOn w:val="a"/>
    <w:next w:val="a"/>
    <w:unhideWhenUsed/>
    <w:qFormat/>
    <w:rsid w:val="00AC77A9"/>
    <w:rPr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KDDI Corp.</dc:creator>
  <cp:keywords>JCT-VC, MPEG, VCEG</cp:keywords>
  <cp:lastModifiedBy>kei</cp:lastModifiedBy>
  <cp:revision>19</cp:revision>
  <cp:lastPrinted>1601-01-01T00:00:00Z</cp:lastPrinted>
  <dcterms:created xsi:type="dcterms:W3CDTF">2012-09-27T05:44:00Z</dcterms:created>
  <dcterms:modified xsi:type="dcterms:W3CDTF">2012-10-03T01:47:00Z</dcterms:modified>
</cp:coreProperties>
</file>