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615A4D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717509">
              <w:rPr>
                <w:u w:val="single"/>
              </w:rPr>
              <w:t>J</w:t>
            </w:r>
            <w:r w:rsidR="009F162A">
              <w:rPr>
                <w:u w:val="single"/>
              </w:rPr>
              <w:t>0</w:t>
            </w:r>
            <w:r w:rsidR="006F07A6">
              <w:rPr>
                <w:u w:val="single"/>
              </w:rPr>
              <w:t>086</w:t>
            </w:r>
          </w:p>
          <w:p w:rsidR="007A0C02" w:rsidRPr="00630AA2" w:rsidRDefault="006F07A6" w:rsidP="006F07A6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>
              <w:rPr>
                <w:u w:val="single"/>
              </w:rPr>
              <w:t>25408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BD5945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AHG7: </w:t>
            </w:r>
            <w:r w:rsidR="0059313C">
              <w:rPr>
                <w:b/>
                <w:szCs w:val="22"/>
              </w:rPr>
              <w:t>Disallow bi-predictive mode for 8x4 and 4x8 inter PUs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481DEE" w:rsidP="00EE1185">
      <w:pPr>
        <w:jc w:val="both"/>
        <w:rPr>
          <w:szCs w:val="22"/>
        </w:rPr>
      </w:pPr>
      <w:r>
        <w:rPr>
          <w:szCs w:val="22"/>
        </w:rPr>
        <w:t>In the current HM7.0 design an encoder is allowed to send bi-predictive motion vectors for inter PUs of 8x4 and 4x8 and a decoder discard</w:t>
      </w:r>
      <w:r w:rsidR="006E4AEB">
        <w:rPr>
          <w:szCs w:val="22"/>
        </w:rPr>
        <w:t>s</w:t>
      </w:r>
      <w:r>
        <w:rPr>
          <w:szCs w:val="22"/>
        </w:rPr>
        <w:t xml:space="preserve"> list 1 motion vectors for those PUs in order to reduce the worst case memory bandwidth requirements of motion compensation. </w:t>
      </w:r>
      <w:r w:rsidR="00AD1816">
        <w:rPr>
          <w:szCs w:val="22"/>
        </w:rPr>
        <w:t>Such a design may cause design confusion on the encoder side and complicate the decoder design validation</w:t>
      </w:r>
      <w:r w:rsidR="00C15CE0">
        <w:rPr>
          <w:szCs w:val="22"/>
        </w:rPr>
        <w:t xml:space="preserve"> unnecessarily</w:t>
      </w:r>
      <w:r w:rsidR="00AD1816">
        <w:rPr>
          <w:szCs w:val="22"/>
        </w:rPr>
        <w:t xml:space="preserve">. This contribution </w:t>
      </w:r>
      <w:r>
        <w:rPr>
          <w:szCs w:val="22"/>
        </w:rPr>
        <w:t xml:space="preserve">advocates to prohibit bi-predictive motion vectors for inter </w:t>
      </w:r>
      <w:r w:rsidR="00AD1816">
        <w:rPr>
          <w:szCs w:val="22"/>
        </w:rPr>
        <w:t xml:space="preserve">8x4 and 4x8 </w:t>
      </w:r>
      <w:r>
        <w:rPr>
          <w:szCs w:val="22"/>
        </w:rPr>
        <w:t xml:space="preserve">PUs </w:t>
      </w:r>
      <w:r w:rsidR="00AD1816">
        <w:rPr>
          <w:szCs w:val="22"/>
        </w:rPr>
        <w:t xml:space="preserve">by modifying the CABAC </w:t>
      </w:r>
      <w:proofErr w:type="spellStart"/>
      <w:r w:rsidR="00AD1816">
        <w:rPr>
          <w:szCs w:val="22"/>
        </w:rPr>
        <w:t>binarization</w:t>
      </w:r>
      <w:proofErr w:type="spellEnd"/>
      <w:r w:rsidR="00AD1816">
        <w:rPr>
          <w:szCs w:val="22"/>
        </w:rPr>
        <w:t xml:space="preserve"> of </w:t>
      </w:r>
      <w:proofErr w:type="spellStart"/>
      <w:r w:rsidR="00E73113">
        <w:rPr>
          <w:szCs w:val="22"/>
        </w:rPr>
        <w:t>inter_pred_idc</w:t>
      </w:r>
      <w:proofErr w:type="spellEnd"/>
      <w:r w:rsidR="00AD1816">
        <w:rPr>
          <w:szCs w:val="22"/>
        </w:rPr>
        <w:t xml:space="preserve">. In the proposed algorithm, the CABAC </w:t>
      </w:r>
      <w:proofErr w:type="spellStart"/>
      <w:r w:rsidR="00AD1816">
        <w:rPr>
          <w:szCs w:val="22"/>
        </w:rPr>
        <w:t>binarization</w:t>
      </w:r>
      <w:proofErr w:type="spellEnd"/>
      <w:r w:rsidR="00AD1816">
        <w:rPr>
          <w:szCs w:val="22"/>
        </w:rPr>
        <w:t xml:space="preserve"> of </w:t>
      </w:r>
      <w:proofErr w:type="spellStart"/>
      <w:r w:rsidR="00E73113">
        <w:rPr>
          <w:szCs w:val="22"/>
        </w:rPr>
        <w:t>inter_pred_idc</w:t>
      </w:r>
      <w:proofErr w:type="spellEnd"/>
      <w:r w:rsidR="00AD1816">
        <w:rPr>
          <w:szCs w:val="22"/>
        </w:rPr>
        <w:t xml:space="preserve"> </w:t>
      </w:r>
      <w:r w:rsidR="008E3000">
        <w:rPr>
          <w:szCs w:val="22"/>
        </w:rPr>
        <w:t xml:space="preserve">for inter 8x4 and 4x8 PUs </w:t>
      </w:r>
      <w:r w:rsidR="00C15CE0">
        <w:rPr>
          <w:szCs w:val="22"/>
        </w:rPr>
        <w:t xml:space="preserve">is modified to </w:t>
      </w:r>
      <w:r w:rsidR="00763FDF">
        <w:rPr>
          <w:szCs w:val="22"/>
        </w:rPr>
        <w:t>(</w:t>
      </w:r>
      <w:r w:rsidR="0037290B" w:rsidRPr="0037290B">
        <w:rPr>
          <w:szCs w:val="22"/>
          <w:highlight w:val="yellow"/>
        </w:rPr>
        <w:t xml:space="preserve">FL, </w:t>
      </w:r>
      <w:proofErr w:type="spellStart"/>
      <w:r w:rsidR="0037290B" w:rsidRPr="0037290B">
        <w:rPr>
          <w:szCs w:val="22"/>
          <w:highlight w:val="yellow"/>
        </w:rPr>
        <w:t>cMax</w:t>
      </w:r>
      <w:proofErr w:type="spellEnd"/>
      <w:r w:rsidR="0037290B" w:rsidRPr="0037290B">
        <w:rPr>
          <w:szCs w:val="22"/>
          <w:highlight w:val="yellow"/>
        </w:rPr>
        <w:t xml:space="preserve"> =</w:t>
      </w:r>
      <w:r w:rsidR="0037290B">
        <w:rPr>
          <w:szCs w:val="22"/>
          <w:highlight w:val="yellow"/>
        </w:rPr>
        <w:t xml:space="preserve"> </w:t>
      </w:r>
      <w:r w:rsidR="0037290B" w:rsidRPr="0037290B">
        <w:rPr>
          <w:szCs w:val="22"/>
          <w:highlight w:val="yellow"/>
        </w:rPr>
        <w:t>1</w:t>
      </w:r>
      <w:r w:rsidR="00763FDF">
        <w:rPr>
          <w:szCs w:val="22"/>
        </w:rPr>
        <w:t>)</w:t>
      </w:r>
      <w:r w:rsidR="0037290B">
        <w:rPr>
          <w:szCs w:val="22"/>
        </w:rPr>
        <w:t xml:space="preserve">, i.e. </w:t>
      </w:r>
      <w:r w:rsidR="00AD1816">
        <w:rPr>
          <w:szCs w:val="22"/>
        </w:rPr>
        <w:t xml:space="preserve">“1” for </w:t>
      </w:r>
      <w:r w:rsidR="008E3000">
        <w:rPr>
          <w:szCs w:val="22"/>
        </w:rPr>
        <w:t>Pred_L1</w:t>
      </w:r>
      <w:r w:rsidR="00AD1816">
        <w:rPr>
          <w:szCs w:val="22"/>
        </w:rPr>
        <w:t xml:space="preserve"> and “0” for </w:t>
      </w:r>
      <w:r w:rsidR="008E3000">
        <w:rPr>
          <w:szCs w:val="22"/>
        </w:rPr>
        <w:t>Pred_L0</w:t>
      </w:r>
      <w:r w:rsidR="00AD1816">
        <w:rPr>
          <w:szCs w:val="22"/>
        </w:rPr>
        <w:t xml:space="preserve">, and </w:t>
      </w:r>
      <w:r w:rsidR="00C15CE0">
        <w:rPr>
          <w:szCs w:val="22"/>
        </w:rPr>
        <w:t xml:space="preserve">for inter PUs of size 8x8 and above the same CABAC </w:t>
      </w:r>
      <w:proofErr w:type="spellStart"/>
      <w:r w:rsidR="00C15CE0">
        <w:rPr>
          <w:szCs w:val="22"/>
        </w:rPr>
        <w:t>binarization</w:t>
      </w:r>
      <w:proofErr w:type="spellEnd"/>
      <w:r w:rsidR="00C15CE0">
        <w:rPr>
          <w:szCs w:val="22"/>
        </w:rPr>
        <w:t xml:space="preserve"> </w:t>
      </w:r>
      <w:r w:rsidR="00BD5945">
        <w:rPr>
          <w:szCs w:val="22"/>
        </w:rPr>
        <w:t xml:space="preserve">process </w:t>
      </w:r>
      <w:r w:rsidR="0037290B">
        <w:rPr>
          <w:szCs w:val="22"/>
        </w:rPr>
        <w:t xml:space="preserve">defined in </w:t>
      </w:r>
      <w:r w:rsidR="00E73113">
        <w:rPr>
          <w:szCs w:val="22"/>
        </w:rPr>
        <w:t>HM7</w:t>
      </w:r>
      <w:r w:rsidR="00C15CE0">
        <w:rPr>
          <w:szCs w:val="22"/>
        </w:rPr>
        <w:t>.0</w:t>
      </w:r>
      <w:r w:rsidR="0037290B">
        <w:rPr>
          <w:szCs w:val="22"/>
        </w:rPr>
        <w:t xml:space="preserve"> is used, i.e.</w:t>
      </w:r>
      <w:r w:rsidR="00AD1816">
        <w:rPr>
          <w:szCs w:val="22"/>
        </w:rPr>
        <w:t xml:space="preserve"> “1” for </w:t>
      </w:r>
      <w:proofErr w:type="spellStart"/>
      <w:r w:rsidR="008E3000">
        <w:rPr>
          <w:szCs w:val="22"/>
        </w:rPr>
        <w:t>Pred_BI</w:t>
      </w:r>
      <w:proofErr w:type="spellEnd"/>
      <w:r w:rsidR="00AD1816">
        <w:rPr>
          <w:szCs w:val="22"/>
        </w:rPr>
        <w:t>, “</w:t>
      </w:r>
      <w:r w:rsidR="008E3000">
        <w:rPr>
          <w:szCs w:val="22"/>
        </w:rPr>
        <w:t>01” for Pred_L1 and “00” for Pred_L0</w:t>
      </w:r>
      <w:r w:rsidR="00C15CE0">
        <w:rPr>
          <w:szCs w:val="22"/>
        </w:rPr>
        <w:t xml:space="preserve">. </w:t>
      </w:r>
      <w:r w:rsidR="008E3000">
        <w:rPr>
          <w:szCs w:val="22"/>
        </w:rPr>
        <w:t xml:space="preserve">Compared to HM7.0, the proposed algorithms leads to an average gain of </w:t>
      </w:r>
      <w:r w:rsidR="008E3000" w:rsidRPr="00781788">
        <w:rPr>
          <w:szCs w:val="22"/>
        </w:rPr>
        <w:t>0.</w:t>
      </w:r>
      <w:r w:rsidR="008E3000">
        <w:rPr>
          <w:szCs w:val="22"/>
        </w:rPr>
        <w:t>0</w:t>
      </w:r>
      <w:r w:rsidR="008E3000" w:rsidRPr="00781788">
        <w:rPr>
          <w:szCs w:val="22"/>
        </w:rPr>
        <w:t>/0.</w:t>
      </w:r>
      <w:r w:rsidR="008E3000">
        <w:rPr>
          <w:szCs w:val="22"/>
        </w:rPr>
        <w:t>0</w:t>
      </w:r>
      <w:r w:rsidR="008E3000" w:rsidRPr="00781788">
        <w:rPr>
          <w:szCs w:val="22"/>
        </w:rPr>
        <w:t>/0.</w:t>
      </w:r>
      <w:r w:rsidR="008E3000">
        <w:rPr>
          <w:szCs w:val="22"/>
        </w:rPr>
        <w:t>1</w:t>
      </w:r>
      <w:r w:rsidR="008E3000" w:rsidRPr="00781788">
        <w:rPr>
          <w:szCs w:val="22"/>
        </w:rPr>
        <w:t>/0.</w:t>
      </w:r>
      <w:r w:rsidR="008E3000">
        <w:rPr>
          <w:szCs w:val="22"/>
        </w:rPr>
        <w:t>1 (% in RA-Main/RA-HE10/LB-Main/LB-HE10).</w:t>
      </w:r>
      <w:r w:rsidR="00763FDF">
        <w:rPr>
          <w:szCs w:val="22"/>
        </w:rPr>
        <w:t xml:space="preserve"> Prohibiting bi-</w:t>
      </w:r>
      <w:proofErr w:type="spellStart"/>
      <w:r w:rsidR="00763FDF">
        <w:rPr>
          <w:szCs w:val="22"/>
        </w:rPr>
        <w:t>pred</w:t>
      </w:r>
      <w:proofErr w:type="spellEnd"/>
      <w:r w:rsidR="00763FDF">
        <w:rPr>
          <w:szCs w:val="22"/>
        </w:rPr>
        <w:t xml:space="preserve"> mode for 8x4 and 4x8 inter-PUs at syntax level is helpful for avoiding </w:t>
      </w:r>
      <w:r w:rsidR="00761E67">
        <w:rPr>
          <w:szCs w:val="22"/>
        </w:rPr>
        <w:t xml:space="preserve">potential </w:t>
      </w:r>
      <w:r w:rsidR="00763FDF">
        <w:rPr>
          <w:szCs w:val="22"/>
        </w:rPr>
        <w:t xml:space="preserve">confusions from both encoder and decoder side.  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6F07A6" w:rsidRDefault="008E3000" w:rsidP="00D35793">
      <w:pPr>
        <w:jc w:val="both"/>
        <w:rPr>
          <w:szCs w:val="22"/>
        </w:rPr>
      </w:pPr>
      <w:r>
        <w:rPr>
          <w:szCs w:val="22"/>
        </w:rPr>
        <w:t>In the current HM7.0 design</w:t>
      </w:r>
      <w:r w:rsidR="006B1728">
        <w:rPr>
          <w:szCs w:val="22"/>
        </w:rPr>
        <w:t xml:space="preserve"> </w:t>
      </w:r>
      <w:r>
        <w:rPr>
          <w:szCs w:val="22"/>
        </w:rPr>
        <w:t>an encoder is allowed to send bi-predictive motion vectors for inter PUs of 8x4 and 4x8 and a decoder discard</w:t>
      </w:r>
      <w:r w:rsidR="002148E6">
        <w:rPr>
          <w:szCs w:val="22"/>
        </w:rPr>
        <w:t>s</w:t>
      </w:r>
      <w:r>
        <w:rPr>
          <w:szCs w:val="22"/>
        </w:rPr>
        <w:t xml:space="preserve"> list 1 motion vectors for those PUs in order to reduce the worst case memory bandwidth requirements of motion compensation. Such a design may cause design confusion on the encoder side and unnecessarily complicate the decoder design validation as bi-predictive mode is still a valid mode for 8x4 and 4x8 inter PUs. </w:t>
      </w:r>
      <w:r w:rsidR="006F07A6">
        <w:rPr>
          <w:szCs w:val="22"/>
        </w:rPr>
        <w:t>Confusions may include how bi-predictive motion vectors of 8x4 and 4x8 inter PUs are handled in merging and AMVP candidate list derivation process, whether AMVP candidate list for list 1 still needs to be derived for bi-</w:t>
      </w:r>
      <w:proofErr w:type="spellStart"/>
      <w:r w:rsidR="006F07A6">
        <w:rPr>
          <w:szCs w:val="22"/>
        </w:rPr>
        <w:t>pred</w:t>
      </w:r>
      <w:proofErr w:type="spellEnd"/>
      <w:r w:rsidR="006F07A6">
        <w:rPr>
          <w:szCs w:val="22"/>
        </w:rPr>
        <w:t xml:space="preserve"> 8x4 and 4x8 inter PUs  though list 1 motion vectors are discarded during the motion compensation process. </w:t>
      </w:r>
    </w:p>
    <w:p w:rsidR="00ED14A9" w:rsidRDefault="008E3000" w:rsidP="00D35793">
      <w:pPr>
        <w:jc w:val="both"/>
      </w:pPr>
      <w:r>
        <w:rPr>
          <w:szCs w:val="22"/>
        </w:rPr>
        <w:t>This contribution</w:t>
      </w:r>
      <w:r w:rsidR="006F07A6">
        <w:rPr>
          <w:szCs w:val="22"/>
        </w:rPr>
        <w:t xml:space="preserve"> advocates prohibiting bi-</w:t>
      </w:r>
      <w:proofErr w:type="spellStart"/>
      <w:r w:rsidR="006F07A6">
        <w:rPr>
          <w:szCs w:val="22"/>
        </w:rPr>
        <w:t>pred</w:t>
      </w:r>
      <w:proofErr w:type="spellEnd"/>
      <w:r w:rsidR="006F07A6">
        <w:rPr>
          <w:szCs w:val="22"/>
        </w:rPr>
        <w:t xml:space="preserve"> mode for 8x4 and 4x8 inter PUs. </w:t>
      </w:r>
      <w:r>
        <w:rPr>
          <w:szCs w:val="22"/>
        </w:rPr>
        <w:t xml:space="preserve"> </w:t>
      </w:r>
      <w:r w:rsidR="006F07A6">
        <w:rPr>
          <w:szCs w:val="22"/>
        </w:rPr>
        <w:t>The approach</w:t>
      </w:r>
      <w:r w:rsidR="006F07A6">
        <w:rPr>
          <w:szCs w:val="22"/>
        </w:rPr>
        <w:t xml:space="preserve"> </w:t>
      </w:r>
      <w:r>
        <w:rPr>
          <w:szCs w:val="22"/>
        </w:rPr>
        <w:t xml:space="preserve">to modify the CABAC </w:t>
      </w:r>
      <w:proofErr w:type="spellStart"/>
      <w:r>
        <w:rPr>
          <w:szCs w:val="22"/>
        </w:rPr>
        <w:t>binarization</w:t>
      </w:r>
      <w:proofErr w:type="spellEnd"/>
      <w:r>
        <w:rPr>
          <w:szCs w:val="22"/>
        </w:rPr>
        <w:t xml:space="preserve"> table </w:t>
      </w:r>
      <w:r w:rsidR="00D35793">
        <w:rPr>
          <w:szCs w:val="22"/>
        </w:rPr>
        <w:t xml:space="preserve">of </w:t>
      </w:r>
      <w:proofErr w:type="spellStart"/>
      <w:r w:rsidR="00E73113">
        <w:rPr>
          <w:szCs w:val="22"/>
        </w:rPr>
        <w:t>inter_pred_idc</w:t>
      </w:r>
      <w:proofErr w:type="spellEnd"/>
      <w:r w:rsidR="00D35793">
        <w:rPr>
          <w:szCs w:val="22"/>
        </w:rPr>
        <w:t xml:space="preserve"> </w:t>
      </w:r>
      <w:r>
        <w:rPr>
          <w:szCs w:val="22"/>
        </w:rPr>
        <w:t>for 8x</w:t>
      </w:r>
      <w:r w:rsidR="00F329E1">
        <w:rPr>
          <w:szCs w:val="22"/>
        </w:rPr>
        <w:t>4</w:t>
      </w:r>
      <w:r>
        <w:rPr>
          <w:szCs w:val="22"/>
        </w:rPr>
        <w:t xml:space="preserve"> and 4x8 inter PUs</w:t>
      </w:r>
      <w:r w:rsidR="00D35793">
        <w:rPr>
          <w:szCs w:val="22"/>
        </w:rPr>
        <w:t xml:space="preserve">. In the proposed algorithm, the CABAC </w:t>
      </w:r>
      <w:proofErr w:type="spellStart"/>
      <w:r w:rsidR="00D35793">
        <w:rPr>
          <w:szCs w:val="22"/>
        </w:rPr>
        <w:t>binarization</w:t>
      </w:r>
      <w:proofErr w:type="spellEnd"/>
      <w:r w:rsidR="00D35793">
        <w:rPr>
          <w:szCs w:val="22"/>
        </w:rPr>
        <w:t xml:space="preserve"> </w:t>
      </w:r>
      <w:r w:rsidR="00BD5945">
        <w:rPr>
          <w:szCs w:val="22"/>
        </w:rPr>
        <w:t xml:space="preserve">table </w:t>
      </w:r>
      <w:r w:rsidR="00D35793">
        <w:rPr>
          <w:szCs w:val="22"/>
        </w:rPr>
        <w:t xml:space="preserve">of </w:t>
      </w:r>
      <w:proofErr w:type="spellStart"/>
      <w:r w:rsidR="00E73113">
        <w:rPr>
          <w:szCs w:val="22"/>
        </w:rPr>
        <w:t>inter_pred_idc</w:t>
      </w:r>
      <w:proofErr w:type="spellEnd"/>
      <w:r w:rsidR="00D35793">
        <w:rPr>
          <w:szCs w:val="22"/>
        </w:rPr>
        <w:t xml:space="preserve"> for 8x</w:t>
      </w:r>
      <w:r w:rsidR="00F329E1">
        <w:rPr>
          <w:szCs w:val="22"/>
        </w:rPr>
        <w:t>4</w:t>
      </w:r>
      <w:r w:rsidR="00D35793">
        <w:rPr>
          <w:szCs w:val="22"/>
        </w:rPr>
        <w:t xml:space="preserve"> and 4x8 inter PUs</w:t>
      </w:r>
      <w:r w:rsidR="006F07A6">
        <w:rPr>
          <w:szCs w:val="22"/>
        </w:rPr>
        <w:t xml:space="preserve"> is changed to FL, </w:t>
      </w:r>
      <w:proofErr w:type="spellStart"/>
      <w:r w:rsidR="006F07A6">
        <w:rPr>
          <w:szCs w:val="22"/>
        </w:rPr>
        <w:t>cMax</w:t>
      </w:r>
      <w:proofErr w:type="spellEnd"/>
      <w:r w:rsidR="006F07A6">
        <w:rPr>
          <w:szCs w:val="22"/>
        </w:rPr>
        <w:t xml:space="preserve"> =1 as shown in Table 1</w:t>
      </w:r>
      <w:r w:rsidR="00D35793">
        <w:rPr>
          <w:szCs w:val="22"/>
        </w:rPr>
        <w:t xml:space="preserve">, </w:t>
      </w:r>
      <w:r w:rsidR="006F07A6">
        <w:rPr>
          <w:szCs w:val="22"/>
        </w:rPr>
        <w:t xml:space="preserve">the CABAC </w:t>
      </w:r>
      <w:proofErr w:type="spellStart"/>
      <w:r w:rsidR="006F07A6">
        <w:rPr>
          <w:szCs w:val="22"/>
        </w:rPr>
        <w:t>binarization</w:t>
      </w:r>
      <w:proofErr w:type="spellEnd"/>
      <w:r w:rsidR="006F07A6">
        <w:rPr>
          <w:szCs w:val="22"/>
        </w:rPr>
        <w:t xml:space="preserve"> table of </w:t>
      </w:r>
      <w:proofErr w:type="spellStart"/>
      <w:r w:rsidR="006F07A6">
        <w:rPr>
          <w:szCs w:val="22"/>
        </w:rPr>
        <w:t>inter_pred_idc</w:t>
      </w:r>
      <w:proofErr w:type="spellEnd"/>
      <w:r w:rsidR="006F07A6" w:rsidDel="006F07A6">
        <w:rPr>
          <w:szCs w:val="22"/>
        </w:rPr>
        <w:t xml:space="preserve"> </w:t>
      </w:r>
      <w:r w:rsidR="00D35793">
        <w:rPr>
          <w:szCs w:val="22"/>
        </w:rPr>
        <w:t xml:space="preserve">for inter PUs of size 8x8 and above </w:t>
      </w:r>
      <w:r w:rsidR="006F07A6">
        <w:rPr>
          <w:szCs w:val="22"/>
        </w:rPr>
        <w:t>remains unchanged as shown in Table 2.</w:t>
      </w:r>
    </w:p>
    <w:p w:rsidR="00D35793" w:rsidRDefault="00D35793" w:rsidP="00D35793">
      <w:pPr>
        <w:jc w:val="both"/>
      </w:pPr>
    </w:p>
    <w:tbl>
      <w:tblPr>
        <w:tblStyle w:val="TableGrid"/>
        <w:tblW w:w="0" w:type="auto"/>
        <w:tblLook w:val="04A0"/>
      </w:tblPr>
      <w:tblGrid>
        <w:gridCol w:w="2086"/>
        <w:gridCol w:w="2667"/>
        <w:gridCol w:w="2320"/>
        <w:gridCol w:w="2503"/>
      </w:tblGrid>
      <w:tr w:rsidR="00AB74BB" w:rsidTr="00AB74BB">
        <w:tc>
          <w:tcPr>
            <w:tcW w:w="2086" w:type="dxa"/>
          </w:tcPr>
          <w:p w:rsidR="00AB74BB" w:rsidRPr="001D3214" w:rsidRDefault="00AB74BB" w:rsidP="00D35793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Slice_type</w:t>
            </w:r>
            <w:proofErr w:type="spellEnd"/>
          </w:p>
        </w:tc>
        <w:tc>
          <w:tcPr>
            <w:tcW w:w="2667" w:type="dxa"/>
          </w:tcPr>
          <w:p w:rsidR="00AB74BB" w:rsidRPr="001D3214" w:rsidRDefault="00AB74BB" w:rsidP="00D35793">
            <w:pPr>
              <w:jc w:val="both"/>
              <w:rPr>
                <w:b/>
              </w:rPr>
            </w:pPr>
            <w:proofErr w:type="spellStart"/>
            <w:r w:rsidRPr="001D3214">
              <w:rPr>
                <w:b/>
              </w:rPr>
              <w:t>inter_pred_</w:t>
            </w:r>
            <w:r>
              <w:rPr>
                <w:b/>
              </w:rPr>
              <w:t>idc</w:t>
            </w:r>
            <w:proofErr w:type="spellEnd"/>
          </w:p>
        </w:tc>
        <w:tc>
          <w:tcPr>
            <w:tcW w:w="2320" w:type="dxa"/>
          </w:tcPr>
          <w:p w:rsidR="00AB74BB" w:rsidRPr="001D3214" w:rsidRDefault="00AB74BB" w:rsidP="00D35793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Name of </w:t>
            </w:r>
            <w:proofErr w:type="spellStart"/>
            <w:r>
              <w:rPr>
                <w:b/>
                <w:bCs/>
              </w:rPr>
              <w:t>inter_pred_idc</w:t>
            </w:r>
            <w:proofErr w:type="spellEnd"/>
          </w:p>
        </w:tc>
        <w:tc>
          <w:tcPr>
            <w:tcW w:w="2503" w:type="dxa"/>
          </w:tcPr>
          <w:p w:rsidR="00AB74BB" w:rsidRPr="001D3214" w:rsidRDefault="00AB74BB" w:rsidP="00D35793">
            <w:pPr>
              <w:jc w:val="both"/>
              <w:rPr>
                <w:b/>
              </w:rPr>
            </w:pPr>
            <w:r>
              <w:rPr>
                <w:b/>
              </w:rPr>
              <w:t>bin string</w:t>
            </w:r>
          </w:p>
        </w:tc>
      </w:tr>
      <w:tr w:rsidR="00AB74BB" w:rsidRPr="00AB74BB" w:rsidTr="00AB74BB">
        <w:tc>
          <w:tcPr>
            <w:tcW w:w="2086" w:type="dxa"/>
          </w:tcPr>
          <w:p w:rsidR="00AB74BB" w:rsidRPr="00AB74BB" w:rsidRDefault="00AB74BB" w:rsidP="00D35793">
            <w:pPr>
              <w:jc w:val="both"/>
            </w:pPr>
            <w:r w:rsidRPr="00AB74BB">
              <w:t>P</w:t>
            </w:r>
          </w:p>
        </w:tc>
        <w:tc>
          <w:tcPr>
            <w:tcW w:w="2667" w:type="dxa"/>
          </w:tcPr>
          <w:p w:rsidR="00AB74BB" w:rsidRPr="00AB74BB" w:rsidRDefault="00AB74BB" w:rsidP="00D35793">
            <w:pPr>
              <w:jc w:val="both"/>
            </w:pPr>
            <w:r w:rsidRPr="00AB74BB">
              <w:t>inferred</w:t>
            </w:r>
          </w:p>
        </w:tc>
        <w:tc>
          <w:tcPr>
            <w:tcW w:w="2320" w:type="dxa"/>
          </w:tcPr>
          <w:p w:rsidR="00AB74BB" w:rsidRPr="00AB74BB" w:rsidRDefault="00AB74BB" w:rsidP="00D35793">
            <w:pPr>
              <w:jc w:val="both"/>
              <w:rPr>
                <w:bCs/>
              </w:rPr>
            </w:pPr>
            <w:r w:rsidRPr="00AB74BB">
              <w:rPr>
                <w:bCs/>
              </w:rPr>
              <w:t>Pred_L0</w:t>
            </w:r>
          </w:p>
        </w:tc>
        <w:tc>
          <w:tcPr>
            <w:tcW w:w="2503" w:type="dxa"/>
          </w:tcPr>
          <w:p w:rsidR="00AB74BB" w:rsidRPr="00AB74BB" w:rsidDel="00AB74BB" w:rsidRDefault="00AB74BB" w:rsidP="00D35793">
            <w:pPr>
              <w:jc w:val="both"/>
            </w:pPr>
            <w:r w:rsidRPr="00AB74BB">
              <w:t>-</w:t>
            </w:r>
          </w:p>
        </w:tc>
      </w:tr>
      <w:tr w:rsidR="00AB74BB" w:rsidTr="00AB74BB">
        <w:tc>
          <w:tcPr>
            <w:tcW w:w="2086" w:type="dxa"/>
            <w:vMerge w:val="restart"/>
          </w:tcPr>
          <w:p w:rsidR="00AB74BB" w:rsidRDefault="00AB74BB" w:rsidP="0065092B">
            <w:pPr>
              <w:jc w:val="both"/>
            </w:pPr>
            <w:r>
              <w:t>B</w:t>
            </w:r>
          </w:p>
        </w:tc>
        <w:tc>
          <w:tcPr>
            <w:tcW w:w="2667" w:type="dxa"/>
          </w:tcPr>
          <w:p w:rsidR="00AB74BB" w:rsidRDefault="00AB74BB" w:rsidP="0065092B">
            <w:pPr>
              <w:jc w:val="both"/>
            </w:pPr>
            <w:r>
              <w:t xml:space="preserve">0 </w:t>
            </w:r>
          </w:p>
        </w:tc>
        <w:tc>
          <w:tcPr>
            <w:tcW w:w="2320" w:type="dxa"/>
          </w:tcPr>
          <w:p w:rsidR="00AB74BB" w:rsidRPr="00AB74BB" w:rsidRDefault="00AB74BB" w:rsidP="0065092B">
            <w:pPr>
              <w:jc w:val="both"/>
              <w:rPr>
                <w:b/>
              </w:rPr>
            </w:pPr>
            <w:r>
              <w:t xml:space="preserve">Pred_L0 </w:t>
            </w:r>
          </w:p>
        </w:tc>
        <w:tc>
          <w:tcPr>
            <w:tcW w:w="2503" w:type="dxa"/>
          </w:tcPr>
          <w:p w:rsidR="00AB74BB" w:rsidRDefault="00AB74BB" w:rsidP="0065092B">
            <w:pPr>
              <w:jc w:val="both"/>
            </w:pPr>
            <w:r>
              <w:t>0</w:t>
            </w:r>
          </w:p>
        </w:tc>
      </w:tr>
      <w:tr w:rsidR="00AB74BB" w:rsidTr="00AB74BB">
        <w:trPr>
          <w:trHeight w:val="197"/>
        </w:trPr>
        <w:tc>
          <w:tcPr>
            <w:tcW w:w="2086" w:type="dxa"/>
            <w:vMerge/>
          </w:tcPr>
          <w:p w:rsidR="00AB74BB" w:rsidRDefault="00AB74BB" w:rsidP="00D35793">
            <w:pPr>
              <w:jc w:val="both"/>
            </w:pPr>
          </w:p>
        </w:tc>
        <w:tc>
          <w:tcPr>
            <w:tcW w:w="2667" w:type="dxa"/>
          </w:tcPr>
          <w:p w:rsidR="00AB74BB" w:rsidRDefault="00AB74BB" w:rsidP="00D35793">
            <w:pPr>
              <w:jc w:val="both"/>
            </w:pPr>
            <w:r>
              <w:t>1</w:t>
            </w:r>
          </w:p>
        </w:tc>
        <w:tc>
          <w:tcPr>
            <w:tcW w:w="2320" w:type="dxa"/>
          </w:tcPr>
          <w:p w:rsidR="00AB74BB" w:rsidRDefault="00AB74BB" w:rsidP="00D35793">
            <w:pPr>
              <w:jc w:val="both"/>
            </w:pPr>
            <w:r>
              <w:t>Pred_L1</w:t>
            </w:r>
          </w:p>
        </w:tc>
        <w:tc>
          <w:tcPr>
            <w:tcW w:w="2503" w:type="dxa"/>
          </w:tcPr>
          <w:p w:rsidR="00AB74BB" w:rsidRDefault="00AB74BB" w:rsidP="00D35793">
            <w:pPr>
              <w:jc w:val="both"/>
            </w:pPr>
            <w:r>
              <w:t>1</w:t>
            </w:r>
          </w:p>
        </w:tc>
      </w:tr>
      <w:tr w:rsidR="00AB74BB" w:rsidTr="00AB74BB">
        <w:trPr>
          <w:trHeight w:val="197"/>
        </w:trPr>
        <w:tc>
          <w:tcPr>
            <w:tcW w:w="2086" w:type="dxa"/>
            <w:vMerge/>
          </w:tcPr>
          <w:p w:rsidR="00AB74BB" w:rsidRDefault="00AB74BB" w:rsidP="00D35793">
            <w:pPr>
              <w:jc w:val="both"/>
            </w:pPr>
          </w:p>
        </w:tc>
        <w:tc>
          <w:tcPr>
            <w:tcW w:w="2667" w:type="dxa"/>
          </w:tcPr>
          <w:p w:rsidR="00AB74BB" w:rsidRDefault="00AB74BB" w:rsidP="00D35793">
            <w:pPr>
              <w:jc w:val="both"/>
            </w:pPr>
            <w:r>
              <w:t>2</w:t>
            </w:r>
          </w:p>
        </w:tc>
        <w:tc>
          <w:tcPr>
            <w:tcW w:w="2320" w:type="dxa"/>
          </w:tcPr>
          <w:p w:rsidR="00AB74BB" w:rsidRDefault="00AB74BB" w:rsidP="00D35793">
            <w:pPr>
              <w:jc w:val="both"/>
            </w:pPr>
            <w:proofErr w:type="spellStart"/>
            <w:r>
              <w:t>Pred_BI</w:t>
            </w:r>
            <w:proofErr w:type="spellEnd"/>
          </w:p>
        </w:tc>
        <w:tc>
          <w:tcPr>
            <w:tcW w:w="2503" w:type="dxa"/>
          </w:tcPr>
          <w:p w:rsidR="00AB74BB" w:rsidRDefault="00AB74BB" w:rsidP="00D35793">
            <w:pPr>
              <w:jc w:val="both"/>
            </w:pPr>
            <w:r>
              <w:t>-</w:t>
            </w:r>
          </w:p>
        </w:tc>
      </w:tr>
    </w:tbl>
    <w:p w:rsidR="00D35793" w:rsidRDefault="00D35793" w:rsidP="00D35793">
      <w:pPr>
        <w:jc w:val="both"/>
        <w:rPr>
          <w:b/>
          <w:szCs w:val="22"/>
        </w:rPr>
      </w:pPr>
      <w:proofErr w:type="gramStart"/>
      <w:r w:rsidRPr="00D35793">
        <w:rPr>
          <w:b/>
        </w:rPr>
        <w:t>Table 1.</w:t>
      </w:r>
      <w:proofErr w:type="gramEnd"/>
      <w:r w:rsidRPr="00D35793">
        <w:rPr>
          <w:b/>
        </w:rPr>
        <w:t xml:space="preserve"> </w:t>
      </w:r>
      <w:r w:rsidRPr="00D35793">
        <w:rPr>
          <w:b/>
          <w:szCs w:val="22"/>
        </w:rPr>
        <w:t xml:space="preserve">CABAC </w:t>
      </w:r>
      <w:proofErr w:type="spellStart"/>
      <w:r w:rsidRPr="00D35793">
        <w:rPr>
          <w:b/>
          <w:szCs w:val="22"/>
        </w:rPr>
        <w:t>binarization</w:t>
      </w:r>
      <w:proofErr w:type="spellEnd"/>
      <w:r w:rsidRPr="00D35793">
        <w:rPr>
          <w:b/>
          <w:szCs w:val="22"/>
        </w:rPr>
        <w:t xml:space="preserve"> table </w:t>
      </w:r>
      <w:r w:rsidR="00252009">
        <w:rPr>
          <w:b/>
          <w:szCs w:val="22"/>
        </w:rPr>
        <w:t xml:space="preserve">for </w:t>
      </w:r>
      <w:proofErr w:type="spellStart"/>
      <w:r w:rsidR="00E73113">
        <w:rPr>
          <w:b/>
          <w:szCs w:val="22"/>
        </w:rPr>
        <w:t>inter_pred_idc</w:t>
      </w:r>
      <w:proofErr w:type="spellEnd"/>
      <w:r w:rsidRPr="00D35793">
        <w:rPr>
          <w:b/>
          <w:szCs w:val="22"/>
        </w:rPr>
        <w:t xml:space="preserve"> </w:t>
      </w:r>
      <w:r w:rsidR="00252009">
        <w:rPr>
          <w:b/>
          <w:szCs w:val="22"/>
        </w:rPr>
        <w:t>of</w:t>
      </w:r>
      <w:r w:rsidR="00252009" w:rsidRPr="00D35793">
        <w:rPr>
          <w:b/>
          <w:szCs w:val="22"/>
        </w:rPr>
        <w:t xml:space="preserve"> </w:t>
      </w:r>
      <w:r w:rsidRPr="00D35793">
        <w:rPr>
          <w:b/>
          <w:szCs w:val="22"/>
        </w:rPr>
        <w:t>8x</w:t>
      </w:r>
      <w:r w:rsidR="00252009">
        <w:rPr>
          <w:b/>
          <w:szCs w:val="22"/>
        </w:rPr>
        <w:t>4</w:t>
      </w:r>
      <w:r w:rsidRPr="00D35793">
        <w:rPr>
          <w:b/>
          <w:szCs w:val="22"/>
        </w:rPr>
        <w:t xml:space="preserve"> and 4x8 inter PUs</w:t>
      </w:r>
      <w:r w:rsidR="002148E6">
        <w:rPr>
          <w:b/>
          <w:szCs w:val="22"/>
        </w:rPr>
        <w:t xml:space="preserve"> (FL, </w:t>
      </w:r>
      <w:proofErr w:type="spellStart"/>
      <w:r w:rsidR="002148E6">
        <w:rPr>
          <w:b/>
          <w:szCs w:val="22"/>
        </w:rPr>
        <w:t>cMAX</w:t>
      </w:r>
      <w:proofErr w:type="spellEnd"/>
      <w:r w:rsidR="002148E6">
        <w:rPr>
          <w:b/>
          <w:szCs w:val="22"/>
        </w:rPr>
        <w:t xml:space="preserve"> = 1)</w:t>
      </w:r>
    </w:p>
    <w:p w:rsidR="00D35793" w:rsidRDefault="00D35793" w:rsidP="00D35793">
      <w:pPr>
        <w:jc w:val="both"/>
        <w:rPr>
          <w:b/>
          <w:szCs w:val="22"/>
        </w:rPr>
      </w:pPr>
    </w:p>
    <w:tbl>
      <w:tblPr>
        <w:tblStyle w:val="TableGrid"/>
        <w:tblW w:w="0" w:type="auto"/>
        <w:tblLook w:val="04A0"/>
      </w:tblPr>
      <w:tblGrid>
        <w:gridCol w:w="2086"/>
        <w:gridCol w:w="2667"/>
        <w:gridCol w:w="2320"/>
        <w:gridCol w:w="2503"/>
      </w:tblGrid>
      <w:tr w:rsidR="00252009" w:rsidTr="00AC5BD1">
        <w:tc>
          <w:tcPr>
            <w:tcW w:w="2086" w:type="dxa"/>
          </w:tcPr>
          <w:p w:rsidR="00252009" w:rsidRPr="001D3214" w:rsidRDefault="00252009" w:rsidP="00AC5BD1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Slice_type</w:t>
            </w:r>
            <w:proofErr w:type="spellEnd"/>
          </w:p>
        </w:tc>
        <w:tc>
          <w:tcPr>
            <w:tcW w:w="2667" w:type="dxa"/>
          </w:tcPr>
          <w:p w:rsidR="00252009" w:rsidRPr="001D3214" w:rsidRDefault="00252009" w:rsidP="00AC5BD1">
            <w:pPr>
              <w:jc w:val="both"/>
              <w:rPr>
                <w:b/>
              </w:rPr>
            </w:pPr>
            <w:proofErr w:type="spellStart"/>
            <w:r w:rsidRPr="001D3214">
              <w:rPr>
                <w:b/>
              </w:rPr>
              <w:t>inter_pred_</w:t>
            </w:r>
            <w:r>
              <w:rPr>
                <w:b/>
              </w:rPr>
              <w:t>idc</w:t>
            </w:r>
            <w:proofErr w:type="spellEnd"/>
          </w:p>
        </w:tc>
        <w:tc>
          <w:tcPr>
            <w:tcW w:w="2320" w:type="dxa"/>
          </w:tcPr>
          <w:p w:rsidR="00252009" w:rsidRPr="001D3214" w:rsidRDefault="00252009" w:rsidP="00AC5BD1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Name of </w:t>
            </w:r>
            <w:proofErr w:type="spellStart"/>
            <w:r>
              <w:rPr>
                <w:b/>
                <w:bCs/>
              </w:rPr>
              <w:t>inter_pred_idc</w:t>
            </w:r>
            <w:proofErr w:type="spellEnd"/>
          </w:p>
        </w:tc>
        <w:tc>
          <w:tcPr>
            <w:tcW w:w="2503" w:type="dxa"/>
          </w:tcPr>
          <w:p w:rsidR="00252009" w:rsidRPr="001D3214" w:rsidRDefault="00252009" w:rsidP="00AC5BD1">
            <w:pPr>
              <w:jc w:val="both"/>
              <w:rPr>
                <w:b/>
              </w:rPr>
            </w:pPr>
            <w:r>
              <w:rPr>
                <w:b/>
              </w:rPr>
              <w:t>bin string</w:t>
            </w:r>
          </w:p>
        </w:tc>
      </w:tr>
      <w:tr w:rsidR="00252009" w:rsidRPr="00AB74BB" w:rsidTr="00AC5BD1">
        <w:tc>
          <w:tcPr>
            <w:tcW w:w="2086" w:type="dxa"/>
          </w:tcPr>
          <w:p w:rsidR="00252009" w:rsidRPr="00AB74BB" w:rsidRDefault="00252009" w:rsidP="00AC5BD1">
            <w:pPr>
              <w:jc w:val="both"/>
            </w:pPr>
            <w:r w:rsidRPr="00AB74BB">
              <w:t>P</w:t>
            </w:r>
          </w:p>
        </w:tc>
        <w:tc>
          <w:tcPr>
            <w:tcW w:w="2667" w:type="dxa"/>
          </w:tcPr>
          <w:p w:rsidR="00252009" w:rsidRPr="00AB74BB" w:rsidRDefault="00252009" w:rsidP="00AC5BD1">
            <w:pPr>
              <w:jc w:val="both"/>
            </w:pPr>
            <w:r w:rsidRPr="00AB74BB">
              <w:t>inferred</w:t>
            </w:r>
          </w:p>
        </w:tc>
        <w:tc>
          <w:tcPr>
            <w:tcW w:w="2320" w:type="dxa"/>
          </w:tcPr>
          <w:p w:rsidR="00252009" w:rsidRPr="00AB74BB" w:rsidRDefault="00252009" w:rsidP="00AC5BD1">
            <w:pPr>
              <w:jc w:val="both"/>
              <w:rPr>
                <w:bCs/>
              </w:rPr>
            </w:pPr>
            <w:r w:rsidRPr="00AB74BB">
              <w:rPr>
                <w:bCs/>
              </w:rPr>
              <w:t>Pred_L0</w:t>
            </w:r>
          </w:p>
        </w:tc>
        <w:tc>
          <w:tcPr>
            <w:tcW w:w="2503" w:type="dxa"/>
          </w:tcPr>
          <w:p w:rsidR="00252009" w:rsidRPr="00AB74BB" w:rsidDel="00AB74BB" w:rsidRDefault="00252009" w:rsidP="00AC5BD1">
            <w:pPr>
              <w:jc w:val="both"/>
            </w:pPr>
            <w:r w:rsidRPr="00AB74BB">
              <w:t>-</w:t>
            </w:r>
          </w:p>
        </w:tc>
      </w:tr>
      <w:tr w:rsidR="00252009" w:rsidTr="00AC5BD1">
        <w:tc>
          <w:tcPr>
            <w:tcW w:w="2086" w:type="dxa"/>
            <w:vMerge w:val="restart"/>
          </w:tcPr>
          <w:p w:rsidR="00252009" w:rsidRDefault="00252009" w:rsidP="00AC5BD1">
            <w:pPr>
              <w:jc w:val="both"/>
            </w:pPr>
            <w:r>
              <w:t>B</w:t>
            </w:r>
          </w:p>
        </w:tc>
        <w:tc>
          <w:tcPr>
            <w:tcW w:w="2667" w:type="dxa"/>
          </w:tcPr>
          <w:p w:rsidR="00252009" w:rsidRDefault="00252009" w:rsidP="00AC5BD1">
            <w:pPr>
              <w:jc w:val="both"/>
            </w:pPr>
            <w:r>
              <w:t xml:space="preserve">0 </w:t>
            </w:r>
          </w:p>
        </w:tc>
        <w:tc>
          <w:tcPr>
            <w:tcW w:w="2320" w:type="dxa"/>
          </w:tcPr>
          <w:p w:rsidR="00252009" w:rsidRPr="00AB74BB" w:rsidRDefault="00252009" w:rsidP="00AC5BD1">
            <w:pPr>
              <w:jc w:val="both"/>
              <w:rPr>
                <w:b/>
              </w:rPr>
            </w:pPr>
            <w:r>
              <w:t xml:space="preserve">Pred_L0 </w:t>
            </w:r>
          </w:p>
        </w:tc>
        <w:tc>
          <w:tcPr>
            <w:tcW w:w="2503" w:type="dxa"/>
          </w:tcPr>
          <w:p w:rsidR="00252009" w:rsidRDefault="00252009" w:rsidP="00AC5BD1">
            <w:pPr>
              <w:jc w:val="both"/>
            </w:pPr>
            <w:r>
              <w:t>00</w:t>
            </w:r>
          </w:p>
        </w:tc>
      </w:tr>
      <w:tr w:rsidR="00252009" w:rsidTr="00AC5BD1">
        <w:trPr>
          <w:trHeight w:val="197"/>
        </w:trPr>
        <w:tc>
          <w:tcPr>
            <w:tcW w:w="2086" w:type="dxa"/>
            <w:vMerge/>
          </w:tcPr>
          <w:p w:rsidR="00252009" w:rsidRDefault="00252009" w:rsidP="00AC5BD1">
            <w:pPr>
              <w:jc w:val="both"/>
            </w:pPr>
          </w:p>
        </w:tc>
        <w:tc>
          <w:tcPr>
            <w:tcW w:w="2667" w:type="dxa"/>
          </w:tcPr>
          <w:p w:rsidR="00252009" w:rsidRDefault="00252009" w:rsidP="00AC5BD1">
            <w:pPr>
              <w:jc w:val="both"/>
            </w:pPr>
            <w:r>
              <w:t>1</w:t>
            </w:r>
          </w:p>
        </w:tc>
        <w:tc>
          <w:tcPr>
            <w:tcW w:w="2320" w:type="dxa"/>
          </w:tcPr>
          <w:p w:rsidR="00252009" w:rsidRDefault="00252009" w:rsidP="00AC5BD1">
            <w:pPr>
              <w:jc w:val="both"/>
            </w:pPr>
            <w:r>
              <w:t>Pred_L1</w:t>
            </w:r>
          </w:p>
        </w:tc>
        <w:tc>
          <w:tcPr>
            <w:tcW w:w="2503" w:type="dxa"/>
          </w:tcPr>
          <w:p w:rsidR="00252009" w:rsidRDefault="00252009" w:rsidP="00AC5BD1">
            <w:pPr>
              <w:jc w:val="both"/>
            </w:pPr>
            <w:r>
              <w:t>01</w:t>
            </w:r>
          </w:p>
        </w:tc>
      </w:tr>
      <w:tr w:rsidR="00252009" w:rsidTr="00AC5BD1">
        <w:trPr>
          <w:trHeight w:val="197"/>
        </w:trPr>
        <w:tc>
          <w:tcPr>
            <w:tcW w:w="2086" w:type="dxa"/>
            <w:vMerge/>
          </w:tcPr>
          <w:p w:rsidR="00252009" w:rsidRDefault="00252009" w:rsidP="00AC5BD1">
            <w:pPr>
              <w:jc w:val="both"/>
            </w:pPr>
          </w:p>
        </w:tc>
        <w:tc>
          <w:tcPr>
            <w:tcW w:w="2667" w:type="dxa"/>
          </w:tcPr>
          <w:p w:rsidR="00252009" w:rsidRDefault="00252009" w:rsidP="00AC5BD1">
            <w:pPr>
              <w:jc w:val="both"/>
            </w:pPr>
            <w:r>
              <w:t>2</w:t>
            </w:r>
          </w:p>
        </w:tc>
        <w:tc>
          <w:tcPr>
            <w:tcW w:w="2320" w:type="dxa"/>
          </w:tcPr>
          <w:p w:rsidR="00252009" w:rsidRDefault="00252009" w:rsidP="00AC5BD1">
            <w:pPr>
              <w:jc w:val="both"/>
            </w:pPr>
            <w:proofErr w:type="spellStart"/>
            <w:r>
              <w:t>Pred_BI</w:t>
            </w:r>
            <w:proofErr w:type="spellEnd"/>
          </w:p>
        </w:tc>
        <w:tc>
          <w:tcPr>
            <w:tcW w:w="2503" w:type="dxa"/>
          </w:tcPr>
          <w:p w:rsidR="00252009" w:rsidRDefault="00252009" w:rsidP="00AC5BD1">
            <w:pPr>
              <w:jc w:val="both"/>
            </w:pPr>
            <w:r>
              <w:t>1</w:t>
            </w:r>
          </w:p>
        </w:tc>
      </w:tr>
    </w:tbl>
    <w:p w:rsidR="00D35793" w:rsidRDefault="00D35793" w:rsidP="00D35793">
      <w:pPr>
        <w:jc w:val="both"/>
        <w:rPr>
          <w:b/>
          <w:szCs w:val="22"/>
        </w:rPr>
      </w:pPr>
      <w:proofErr w:type="gramStart"/>
      <w:r>
        <w:rPr>
          <w:b/>
        </w:rPr>
        <w:t>Table 2</w:t>
      </w:r>
      <w:r w:rsidRPr="00D35793">
        <w:rPr>
          <w:b/>
        </w:rPr>
        <w:t>.</w:t>
      </w:r>
      <w:proofErr w:type="gramEnd"/>
      <w:r w:rsidRPr="00D35793">
        <w:rPr>
          <w:b/>
        </w:rPr>
        <w:t xml:space="preserve"> </w:t>
      </w:r>
      <w:r w:rsidRPr="00D35793">
        <w:rPr>
          <w:b/>
          <w:szCs w:val="22"/>
        </w:rPr>
        <w:t xml:space="preserve">CABAC </w:t>
      </w:r>
      <w:proofErr w:type="spellStart"/>
      <w:r w:rsidRPr="00D35793">
        <w:rPr>
          <w:b/>
          <w:szCs w:val="22"/>
        </w:rPr>
        <w:t>binarization</w:t>
      </w:r>
      <w:proofErr w:type="spellEnd"/>
      <w:r w:rsidRPr="00D35793">
        <w:rPr>
          <w:b/>
          <w:szCs w:val="22"/>
        </w:rPr>
        <w:t xml:space="preserve"> table </w:t>
      </w:r>
      <w:r w:rsidR="00252009">
        <w:rPr>
          <w:b/>
          <w:szCs w:val="22"/>
        </w:rPr>
        <w:t>for</w:t>
      </w:r>
      <w:r w:rsidRPr="00D35793">
        <w:rPr>
          <w:b/>
          <w:szCs w:val="22"/>
        </w:rPr>
        <w:t xml:space="preserve"> </w:t>
      </w:r>
      <w:proofErr w:type="spellStart"/>
      <w:r w:rsidR="00E73113">
        <w:rPr>
          <w:b/>
          <w:szCs w:val="22"/>
        </w:rPr>
        <w:t>inter_pred_idc</w:t>
      </w:r>
      <w:proofErr w:type="spellEnd"/>
      <w:r w:rsidRPr="00D35793">
        <w:rPr>
          <w:b/>
          <w:szCs w:val="22"/>
        </w:rPr>
        <w:t xml:space="preserve"> </w:t>
      </w:r>
      <w:r w:rsidR="00252009">
        <w:rPr>
          <w:b/>
          <w:szCs w:val="22"/>
        </w:rPr>
        <w:t>of</w:t>
      </w:r>
      <w:r w:rsidR="00252009" w:rsidRPr="00D35793">
        <w:rPr>
          <w:b/>
          <w:szCs w:val="22"/>
        </w:rPr>
        <w:t xml:space="preserve"> </w:t>
      </w:r>
      <w:r w:rsidRPr="00D35793">
        <w:rPr>
          <w:b/>
          <w:szCs w:val="22"/>
        </w:rPr>
        <w:t>inter PUs</w:t>
      </w:r>
      <w:r>
        <w:rPr>
          <w:b/>
          <w:szCs w:val="22"/>
        </w:rPr>
        <w:t xml:space="preserve"> of size 8x8 and above</w:t>
      </w:r>
      <w:r w:rsidR="0059313C">
        <w:rPr>
          <w:b/>
          <w:szCs w:val="22"/>
        </w:rPr>
        <w:t xml:space="preserve"> (same as HM7.0)</w:t>
      </w:r>
    </w:p>
    <w:p w:rsidR="00252009" w:rsidRDefault="006B1728" w:rsidP="00D35793">
      <w:pPr>
        <w:jc w:val="both"/>
        <w:rPr>
          <w:szCs w:val="22"/>
        </w:rPr>
      </w:pPr>
      <w:r>
        <w:rPr>
          <w:szCs w:val="22"/>
        </w:rPr>
        <w:t xml:space="preserve">The proposed method introduces the least </w:t>
      </w:r>
      <w:r w:rsidR="00892E6F">
        <w:rPr>
          <w:szCs w:val="22"/>
        </w:rPr>
        <w:t xml:space="preserve">amount of </w:t>
      </w:r>
      <w:r>
        <w:rPr>
          <w:szCs w:val="22"/>
        </w:rPr>
        <w:t xml:space="preserve">changes </w:t>
      </w:r>
      <w:r w:rsidR="00892E6F">
        <w:rPr>
          <w:szCs w:val="22"/>
        </w:rPr>
        <w:t>relative to</w:t>
      </w:r>
      <w:r w:rsidR="00892E6F">
        <w:rPr>
          <w:szCs w:val="22"/>
        </w:rPr>
        <w:t xml:space="preserve"> </w:t>
      </w:r>
      <w:r>
        <w:rPr>
          <w:szCs w:val="22"/>
        </w:rPr>
        <w:t xml:space="preserve">the current design. In HM7.0 an 8x4 or 4x8 inter PU can have list0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 xml:space="preserve">-prediction, list 1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 xml:space="preserve">-prediction or bi-predication </w:t>
      </w:r>
      <w:proofErr w:type="gramStart"/>
      <w:r>
        <w:rPr>
          <w:szCs w:val="22"/>
        </w:rPr>
        <w:t>mode.</w:t>
      </w:r>
      <w:proofErr w:type="gramEnd"/>
      <w:r>
        <w:rPr>
          <w:szCs w:val="22"/>
        </w:rPr>
        <w:t xml:space="preserve"> With the proposed change, the bi-prediction mode is prohibited for </w:t>
      </w:r>
      <w:r w:rsidR="008B398B">
        <w:rPr>
          <w:szCs w:val="22"/>
        </w:rPr>
        <w:t xml:space="preserve">8x4 or 4x8 </w:t>
      </w:r>
      <w:proofErr w:type="gramStart"/>
      <w:r w:rsidR="008B398B">
        <w:rPr>
          <w:szCs w:val="22"/>
        </w:rPr>
        <w:t>inter</w:t>
      </w:r>
      <w:proofErr w:type="gramEnd"/>
      <w:r w:rsidR="008B398B">
        <w:rPr>
          <w:szCs w:val="22"/>
        </w:rPr>
        <w:t xml:space="preserve"> PUs at syntax level.</w:t>
      </w:r>
    </w:p>
    <w:p w:rsidR="006B1728" w:rsidRDefault="006B1728" w:rsidP="00D35793">
      <w:pPr>
        <w:jc w:val="both"/>
        <w:rPr>
          <w:szCs w:val="22"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</w:t>
      </w:r>
      <w:r w:rsidR="002E0FA4">
        <w:rPr>
          <w:szCs w:val="22"/>
        </w:rPr>
        <w:t>7</w:t>
      </w:r>
      <w:r w:rsidR="00773C44">
        <w:rPr>
          <w:szCs w:val="22"/>
        </w:rPr>
        <w:t>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</w:p>
    <w:p w:rsidR="00553BAF" w:rsidRDefault="00553BAF" w:rsidP="005824F7">
      <w:pPr>
        <w:pStyle w:val="Heading1"/>
      </w:pPr>
      <w:r>
        <w:t>Experimental results</w:t>
      </w:r>
    </w:p>
    <w:p w:rsidR="002E0FA4" w:rsidRDefault="005C34F1" w:rsidP="005C34F1">
      <w:pPr>
        <w:jc w:val="both"/>
      </w:pPr>
      <w:r>
        <w:t xml:space="preserve">Table </w:t>
      </w:r>
      <w:r w:rsidR="00BD5945">
        <w:t>3</w:t>
      </w:r>
      <w:r>
        <w:t xml:space="preserve"> summarizes the </w:t>
      </w:r>
      <w:r w:rsidR="002E0FA4">
        <w:t xml:space="preserve">experimental </w:t>
      </w:r>
      <w:r>
        <w:t xml:space="preserve">results </w:t>
      </w:r>
      <w:r w:rsidR="002E0FA4">
        <w:t xml:space="preserve">of proposed algorithm. By fixing the </w:t>
      </w:r>
      <w:proofErr w:type="spellStart"/>
      <w:r w:rsidR="00E73113">
        <w:t>inter_pred_idc</w:t>
      </w:r>
      <w:proofErr w:type="spellEnd"/>
      <w:r w:rsidR="002E0FA4">
        <w:t xml:space="preserve"> coding for 8x4 and 4x8 inter PUs, an </w:t>
      </w:r>
      <w:r w:rsidR="002E0FA4">
        <w:rPr>
          <w:szCs w:val="22"/>
        </w:rPr>
        <w:t xml:space="preserve">average gain of </w:t>
      </w:r>
      <w:r w:rsidR="002E0FA4" w:rsidRPr="00781788">
        <w:rPr>
          <w:szCs w:val="22"/>
        </w:rPr>
        <w:t>0.</w:t>
      </w:r>
      <w:r w:rsidR="002E0FA4">
        <w:rPr>
          <w:szCs w:val="22"/>
        </w:rPr>
        <w:t>0</w:t>
      </w:r>
      <w:r w:rsidR="002E0FA4" w:rsidRPr="00781788">
        <w:rPr>
          <w:szCs w:val="22"/>
        </w:rPr>
        <w:t>/0.</w:t>
      </w:r>
      <w:r w:rsidR="002E0FA4">
        <w:rPr>
          <w:szCs w:val="22"/>
        </w:rPr>
        <w:t>0</w:t>
      </w:r>
      <w:r w:rsidR="002E0FA4" w:rsidRPr="00781788">
        <w:rPr>
          <w:szCs w:val="22"/>
        </w:rPr>
        <w:t>/0.</w:t>
      </w:r>
      <w:r w:rsidR="002E0FA4">
        <w:rPr>
          <w:szCs w:val="22"/>
        </w:rPr>
        <w:t>1</w:t>
      </w:r>
      <w:r w:rsidR="002E0FA4" w:rsidRPr="00781788">
        <w:rPr>
          <w:szCs w:val="22"/>
        </w:rPr>
        <w:t>/0.</w:t>
      </w:r>
      <w:r w:rsidR="002E0FA4">
        <w:rPr>
          <w:szCs w:val="22"/>
        </w:rPr>
        <w:t>1 (% in RA-Main/RA-HE10/LB-Main/LB-HE10) is observed.</w:t>
      </w:r>
    </w:p>
    <w:p w:rsidR="002E0FA4" w:rsidRDefault="002E0FA4" w:rsidP="005C34F1">
      <w:pPr>
        <w:jc w:val="both"/>
      </w:pP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57"/>
        <w:gridCol w:w="1056"/>
        <w:gridCol w:w="1067"/>
      </w:tblGrid>
      <w:tr w:rsidR="002E0FA4" w:rsidRPr="002E0FA4" w:rsidTr="002E0FA4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0FA4" w:rsidRPr="002E0FA4" w:rsidTr="002E0F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E0FA4" w:rsidRPr="002E0FA4" w:rsidTr="002E0F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E0FA4" w:rsidRPr="002E0FA4" w:rsidTr="002E0F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E0FA4" w:rsidRPr="002E0FA4" w:rsidTr="002E0FA4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E0FA4" w:rsidRPr="002E0FA4" w:rsidTr="002E0F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E0FA4" w:rsidRPr="002E0FA4" w:rsidTr="002E0FA4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2E0FA4" w:rsidRPr="002E0FA4" w:rsidTr="002E0FA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2E0FA4" w:rsidRPr="002E0FA4" w:rsidTr="002E0FA4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FA4" w:rsidRPr="002E0FA4" w:rsidRDefault="002E0FA4" w:rsidP="002E0F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E0FA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7007A7" w:rsidRPr="00592844" w:rsidRDefault="007007A7" w:rsidP="007007A7">
      <w:pPr>
        <w:rPr>
          <w:b/>
        </w:rPr>
      </w:pPr>
      <w:proofErr w:type="gramStart"/>
      <w:r w:rsidRPr="00592844">
        <w:rPr>
          <w:b/>
        </w:rPr>
        <w:t xml:space="preserve">Table </w:t>
      </w:r>
      <w:r w:rsidR="00BD5945">
        <w:rPr>
          <w:b/>
        </w:rPr>
        <w:t>3</w:t>
      </w:r>
      <w:r w:rsidRPr="00592844">
        <w:rPr>
          <w:b/>
        </w:rPr>
        <w:t>.</w:t>
      </w:r>
      <w:proofErr w:type="gramEnd"/>
      <w:r w:rsidRPr="00592844">
        <w:rPr>
          <w:b/>
        </w:rPr>
        <w:t xml:space="preserve"> Experimental results </w:t>
      </w:r>
      <w:r w:rsidR="002E0FA4">
        <w:rPr>
          <w:b/>
        </w:rPr>
        <w:t>of proposed algorithm</w:t>
      </w:r>
    </w:p>
    <w:p w:rsidR="00D76946" w:rsidRDefault="00D76946" w:rsidP="00D76946">
      <w:pPr>
        <w:pStyle w:val="Heading1"/>
      </w:pPr>
      <w:r>
        <w:t>Conclusions</w:t>
      </w:r>
    </w:p>
    <w:p w:rsidR="00C73348" w:rsidRPr="00DB65C7" w:rsidRDefault="00DB65C7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  <w:r w:rsidRPr="00DB65C7">
        <w:rPr>
          <w:b w:val="0"/>
          <w:sz w:val="22"/>
          <w:szCs w:val="22"/>
        </w:rPr>
        <w:t xml:space="preserve">The </w:t>
      </w:r>
      <w:r>
        <w:rPr>
          <w:b w:val="0"/>
          <w:sz w:val="22"/>
          <w:szCs w:val="22"/>
        </w:rPr>
        <w:t xml:space="preserve">proposed </w:t>
      </w:r>
      <w:r w:rsidR="002E0FA4">
        <w:rPr>
          <w:b w:val="0"/>
          <w:sz w:val="22"/>
          <w:szCs w:val="22"/>
        </w:rPr>
        <w:t>algorithm prohibit</w:t>
      </w:r>
      <w:r w:rsidR="001E69EE">
        <w:rPr>
          <w:b w:val="0"/>
          <w:sz w:val="22"/>
          <w:szCs w:val="22"/>
        </w:rPr>
        <w:t>s</w:t>
      </w:r>
      <w:r w:rsidR="002E0FA4">
        <w:rPr>
          <w:b w:val="0"/>
          <w:sz w:val="22"/>
          <w:szCs w:val="22"/>
        </w:rPr>
        <w:t xml:space="preserve"> bi-predictive mode for 8x4 and 4x8 inter PUs</w:t>
      </w:r>
      <w:r w:rsidR="00F26B03">
        <w:rPr>
          <w:b w:val="0"/>
          <w:sz w:val="22"/>
          <w:szCs w:val="22"/>
        </w:rPr>
        <w:t xml:space="preserve"> and avoids </w:t>
      </w:r>
      <w:r w:rsidR="00BC5F21">
        <w:rPr>
          <w:b w:val="0"/>
          <w:sz w:val="22"/>
          <w:szCs w:val="22"/>
        </w:rPr>
        <w:t xml:space="preserve">potential </w:t>
      </w:r>
      <w:r w:rsidR="00F26B03">
        <w:rPr>
          <w:b w:val="0"/>
          <w:sz w:val="22"/>
          <w:szCs w:val="22"/>
        </w:rPr>
        <w:t>confusion</w:t>
      </w:r>
      <w:r w:rsidR="00BC5F21">
        <w:rPr>
          <w:b w:val="0"/>
          <w:sz w:val="22"/>
          <w:szCs w:val="22"/>
        </w:rPr>
        <w:t>s from both encoder and decoder side</w:t>
      </w:r>
      <w:r w:rsidR="001E69EE">
        <w:rPr>
          <w:b w:val="0"/>
          <w:sz w:val="22"/>
          <w:szCs w:val="22"/>
        </w:rPr>
        <w:t>. It is recommended to adopt the proposed change to clean up the current design</w:t>
      </w:r>
      <w:r>
        <w:rPr>
          <w:b w:val="0"/>
          <w:sz w:val="22"/>
          <w:szCs w:val="22"/>
        </w:rPr>
        <w:t xml:space="preserve">. 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>,”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1</w:t>
      </w:r>
      <w:r w:rsidRPr="00740662">
        <w:rPr>
          <w:szCs w:val="22"/>
          <w:lang w:eastAsia="ja-JP"/>
        </w:rPr>
        <w:t xml:space="preserve">00, </w:t>
      </w:r>
      <w:r w:rsidR="00740662" w:rsidRPr="00740662">
        <w:rPr>
          <w:szCs w:val="22"/>
        </w:rPr>
        <w:t>9th Meeting: Geneva, Switzerland, 27 April – 07 May, 2012</w:t>
      </w:r>
    </w:p>
    <w:p w:rsidR="00740662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0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W.-J.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615A4D" w:rsidRPr="00740662">
        <w:rPr>
          <w:szCs w:val="22"/>
        </w:rPr>
        <w:fldChar w:fldCharType="begin"/>
      </w:r>
      <w:r w:rsidR="0044529E" w:rsidRPr="00740662">
        <w:rPr>
          <w:szCs w:val="22"/>
        </w:rPr>
        <w:instrText>HYPERLINK "mailto:ohm@ient.rwth-aachen.de"</w:instrText>
      </w:r>
      <w:r w:rsidR="00615A4D" w:rsidRPr="00740662">
        <w:rPr>
          <w:szCs w:val="22"/>
        </w:rPr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615A4D" w:rsidRPr="00740662">
        <w:rPr>
          <w:szCs w:val="22"/>
        </w:rPr>
        <w:fldChar w:fldCharType="end"/>
      </w:r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3A7822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 xml:space="preserve">[3] </w:t>
      </w:r>
      <w:r w:rsidR="00740662" w:rsidRPr="00740662">
        <w:rPr>
          <w:szCs w:val="22"/>
          <w:lang w:eastAsia="ja-JP"/>
        </w:rPr>
        <w:t xml:space="preserve">S. Fukushima, M. Ueda and H. </w:t>
      </w:r>
      <w:proofErr w:type="spellStart"/>
      <w:r w:rsidR="00740662" w:rsidRPr="00740662">
        <w:rPr>
          <w:szCs w:val="22"/>
          <w:lang w:eastAsia="ja-JP"/>
        </w:rPr>
        <w:t>Takehara</w:t>
      </w:r>
      <w:proofErr w:type="spellEnd"/>
      <w:r w:rsidR="00A05F12" w:rsidRPr="00740662">
        <w:rPr>
          <w:szCs w:val="22"/>
          <w:lang w:eastAsia="ja-JP"/>
        </w:rPr>
        <w:t>, “</w:t>
      </w:r>
      <w:r w:rsidR="00740662" w:rsidRPr="00740662">
        <w:rPr>
          <w:szCs w:val="22"/>
        </w:rPr>
        <w:t>AHG7: Bi-</w:t>
      </w:r>
      <w:proofErr w:type="spellStart"/>
      <w:r w:rsidR="00740662" w:rsidRPr="00740662">
        <w:rPr>
          <w:szCs w:val="22"/>
        </w:rPr>
        <w:t>pred</w:t>
      </w:r>
      <w:proofErr w:type="spellEnd"/>
      <w:r w:rsidR="00740662" w:rsidRPr="00740662">
        <w:rPr>
          <w:szCs w:val="22"/>
        </w:rPr>
        <w:t xml:space="preserve"> restriction for small PUs</w:t>
      </w:r>
      <w:r w:rsidR="00A05F12" w:rsidRPr="00740662">
        <w:rPr>
          <w:szCs w:val="22"/>
          <w:lang w:val="en-CA" w:eastAsia="ja-JP"/>
        </w:rPr>
        <w:t xml:space="preserve">,” </w:t>
      </w:r>
      <w:r w:rsidR="00A05F12" w:rsidRPr="00740662">
        <w:rPr>
          <w:szCs w:val="22"/>
          <w:lang w:eastAsia="ja-JP"/>
        </w:rPr>
        <w:t xml:space="preserve"> JCT-VC Document,  JCTVC-I0</w:t>
      </w:r>
      <w:r w:rsidR="00740662" w:rsidRPr="00740662">
        <w:rPr>
          <w:szCs w:val="22"/>
          <w:lang w:eastAsia="ja-JP"/>
        </w:rPr>
        <w:t>297</w:t>
      </w:r>
      <w:r w:rsidR="00A05F12" w:rsidRPr="00740662">
        <w:rPr>
          <w:szCs w:val="22"/>
          <w:lang w:eastAsia="ja-JP"/>
        </w:rPr>
        <w:t xml:space="preserve">, </w:t>
      </w:r>
      <w:r w:rsidR="00A05F12" w:rsidRPr="00740662">
        <w:rPr>
          <w:szCs w:val="22"/>
        </w:rPr>
        <w:t>9th Meeting: Geneva, Switzerland, 27 April – 07 May, 2012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906A42" w:rsidRDefault="00906A42" w:rsidP="00906A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</w:p>
    <w:p w:rsidR="00295C7C" w:rsidRDefault="00295C7C" w:rsidP="00906A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  <w:r>
        <w:rPr>
          <w:szCs w:val="22"/>
        </w:rPr>
        <w:t xml:space="preserve">In </w:t>
      </w:r>
      <w:bookmarkStart w:id="1" w:name="_Ref292722366"/>
      <w:bookmarkStart w:id="2" w:name="_Toc327299948"/>
      <w:r w:rsidRPr="003F17AE">
        <w:rPr>
          <w:lang w:val="en-GB"/>
        </w:rPr>
        <w:t xml:space="preserve">Table </w:t>
      </w:r>
      <w:r w:rsidR="00615A4D" w:rsidRPr="003F17AE">
        <w:rPr>
          <w:lang w:val="en-GB"/>
        </w:rPr>
        <w:fldChar w:fldCharType="begin" w:fldLock="1"/>
      </w:r>
      <w:r w:rsidRPr="003F17AE">
        <w:rPr>
          <w:lang w:val="en-GB"/>
        </w:rPr>
        <w:instrText xml:space="preserve"> STYLEREF 1 \s </w:instrText>
      </w:r>
      <w:r w:rsidR="00615A4D" w:rsidRPr="003F17AE">
        <w:rPr>
          <w:lang w:val="en-GB"/>
        </w:rPr>
        <w:fldChar w:fldCharType="separate"/>
      </w:r>
      <w:r>
        <w:rPr>
          <w:noProof/>
          <w:lang w:val="en-GB"/>
        </w:rPr>
        <w:t>9</w:t>
      </w:r>
      <w:r w:rsidR="00615A4D" w:rsidRPr="003F17AE">
        <w:rPr>
          <w:lang w:val="en-GB"/>
        </w:rPr>
        <w:fldChar w:fldCharType="end"/>
      </w:r>
      <w:r w:rsidRPr="003F17AE">
        <w:rPr>
          <w:lang w:val="en-GB"/>
        </w:rPr>
        <w:noBreakHyphen/>
      </w:r>
      <w:r w:rsidR="00615A4D" w:rsidRPr="003F17AE">
        <w:rPr>
          <w:lang w:val="en-GB"/>
        </w:rPr>
        <w:fldChar w:fldCharType="begin" w:fldLock="1"/>
      </w:r>
      <w:r w:rsidRPr="003F17AE">
        <w:rPr>
          <w:lang w:val="en-GB"/>
        </w:rPr>
        <w:instrText xml:space="preserve"> SEQ Table \* ARABIC \s 1 </w:instrText>
      </w:r>
      <w:r w:rsidR="00615A4D" w:rsidRPr="003F17AE">
        <w:rPr>
          <w:lang w:val="en-GB"/>
        </w:rPr>
        <w:fldChar w:fldCharType="separate"/>
      </w:r>
      <w:r>
        <w:rPr>
          <w:noProof/>
          <w:lang w:val="en-GB"/>
        </w:rPr>
        <w:t>39</w:t>
      </w:r>
      <w:r w:rsidR="00615A4D" w:rsidRPr="003F17AE">
        <w:rPr>
          <w:lang w:val="en-GB"/>
        </w:rPr>
        <w:fldChar w:fldCharType="end"/>
      </w:r>
      <w:bookmarkEnd w:id="1"/>
      <w:r w:rsidRPr="003F17AE">
        <w:rPr>
          <w:lang w:val="en-GB"/>
        </w:rPr>
        <w:t xml:space="preserve"> – Assignment of </w:t>
      </w:r>
      <w:proofErr w:type="spellStart"/>
      <w:r w:rsidRPr="003F17AE">
        <w:rPr>
          <w:lang w:val="en-GB"/>
        </w:rPr>
        <w:t>ctxIdxInc</w:t>
      </w:r>
      <w:proofErr w:type="spellEnd"/>
      <w:r w:rsidRPr="003F17AE">
        <w:rPr>
          <w:lang w:val="en-GB"/>
        </w:rPr>
        <w:t xml:space="preserve"> to </w:t>
      </w:r>
      <w:proofErr w:type="spellStart"/>
      <w:r w:rsidRPr="003F17AE">
        <w:rPr>
          <w:lang w:val="en-GB"/>
        </w:rPr>
        <w:t>binIdx</w:t>
      </w:r>
      <w:proofErr w:type="spellEnd"/>
      <w:r w:rsidRPr="003F17AE">
        <w:rPr>
          <w:lang w:val="en-GB"/>
        </w:rPr>
        <w:t xml:space="preserve"> for all </w:t>
      </w:r>
      <w:proofErr w:type="spellStart"/>
      <w:r w:rsidRPr="003F17AE">
        <w:rPr>
          <w:lang w:val="en-GB"/>
        </w:rPr>
        <w:t>ctxIdxTable</w:t>
      </w:r>
      <w:proofErr w:type="spellEnd"/>
      <w:r w:rsidRPr="003F17AE">
        <w:rPr>
          <w:lang w:val="en-GB"/>
        </w:rPr>
        <w:t xml:space="preserve"> and </w:t>
      </w:r>
      <w:proofErr w:type="spellStart"/>
      <w:r w:rsidRPr="003F17AE">
        <w:rPr>
          <w:lang w:val="en-GB"/>
        </w:rPr>
        <w:t>ctxIdxOffset</w:t>
      </w:r>
      <w:proofErr w:type="spellEnd"/>
      <w:r w:rsidRPr="003F17AE">
        <w:rPr>
          <w:lang w:val="en-GB"/>
        </w:rPr>
        <w:t xml:space="preserve"> values</w:t>
      </w:r>
      <w:bookmarkEnd w:id="2"/>
    </w:p>
    <w:p w:rsidR="00906A42" w:rsidRDefault="00906A42" w:rsidP="00865C2D">
      <w:pPr>
        <w:spacing w:before="60" w:after="60"/>
        <w:rPr>
          <w:sz w:val="28"/>
          <w:szCs w:val="28"/>
          <w:highlight w:val="yellow"/>
          <w:lang w:eastAsia="ja-JP"/>
        </w:rPr>
      </w:pPr>
    </w:p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355"/>
        <w:gridCol w:w="880"/>
        <w:gridCol w:w="506"/>
        <w:gridCol w:w="1864"/>
        <w:gridCol w:w="1890"/>
        <w:gridCol w:w="810"/>
        <w:gridCol w:w="1071"/>
        <w:gridCol w:w="573"/>
      </w:tblGrid>
      <w:tr w:rsidR="00295C7C" w:rsidRPr="003F17AE" w:rsidTr="00AC5BD1">
        <w:trPr>
          <w:tblHeader/>
          <w:jc w:val="center"/>
        </w:trPr>
        <w:tc>
          <w:tcPr>
            <w:tcW w:w="2355" w:type="dxa"/>
            <w:vMerge w:val="restart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3F17AE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1386" w:type="dxa"/>
            <w:gridSpan w:val="2"/>
            <w:vMerge w:val="restart"/>
            <w:shd w:val="clear" w:color="auto" w:fill="auto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3F17AE">
              <w:rPr>
                <w:b/>
                <w:sz w:val="16"/>
                <w:szCs w:val="16"/>
              </w:rPr>
              <w:t>ctxIdxTable</w:t>
            </w:r>
            <w:proofErr w:type="spellEnd"/>
            <w:r w:rsidRPr="003F17AE">
              <w:rPr>
                <w:b/>
                <w:sz w:val="16"/>
                <w:szCs w:val="16"/>
              </w:rPr>
              <w:t xml:space="preserve">, </w:t>
            </w:r>
            <w:r w:rsidRPr="003F17AE">
              <w:rPr>
                <w:b/>
                <w:sz w:val="16"/>
                <w:szCs w:val="16"/>
              </w:rPr>
              <w:br/>
            </w:r>
            <w:proofErr w:type="spellStart"/>
            <w:r w:rsidRPr="003F17AE">
              <w:rPr>
                <w:b/>
                <w:sz w:val="16"/>
                <w:szCs w:val="16"/>
              </w:rPr>
              <w:t>ctxIdxOffset</w:t>
            </w:r>
            <w:proofErr w:type="spellEnd"/>
          </w:p>
        </w:tc>
        <w:tc>
          <w:tcPr>
            <w:tcW w:w="6208" w:type="dxa"/>
            <w:gridSpan w:val="5"/>
            <w:shd w:val="clear" w:color="auto" w:fill="auto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3F17AE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295C7C" w:rsidRPr="003F17AE" w:rsidTr="00295C7C">
        <w:trPr>
          <w:tblHeader/>
          <w:jc w:val="center"/>
        </w:trPr>
        <w:tc>
          <w:tcPr>
            <w:tcW w:w="2355" w:type="dxa"/>
            <w:vMerge/>
          </w:tcPr>
          <w:p w:rsidR="00295C7C" w:rsidRPr="003F17AE" w:rsidRDefault="00295C7C" w:rsidP="00AC5BD1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vMerge/>
            <w:shd w:val="clear" w:color="auto" w:fill="auto"/>
          </w:tcPr>
          <w:p w:rsidR="00295C7C" w:rsidRPr="003F17AE" w:rsidRDefault="00295C7C" w:rsidP="00AC5BD1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auto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3F17AE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3F17A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3F17AE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3F17AE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295C7C" w:rsidRPr="003F17AE" w:rsidRDefault="00295C7C" w:rsidP="00AC5BD1">
            <w:pPr>
              <w:keepNext/>
              <w:jc w:val="center"/>
              <w:rPr>
                <w:b/>
                <w:sz w:val="16"/>
                <w:szCs w:val="16"/>
              </w:rPr>
            </w:pPr>
            <w:r w:rsidRPr="003F17AE">
              <w:rPr>
                <w:b/>
                <w:sz w:val="16"/>
                <w:szCs w:val="16"/>
              </w:rPr>
              <w:t>&gt;=4</w:t>
            </w:r>
          </w:p>
        </w:tc>
      </w:tr>
      <w:tr w:rsidR="00295C7C" w:rsidRPr="003F17AE" w:rsidTr="00295C7C">
        <w:trPr>
          <w:jc w:val="center"/>
        </w:trPr>
        <w:tc>
          <w:tcPr>
            <w:tcW w:w="2355" w:type="dxa"/>
          </w:tcPr>
          <w:p w:rsidR="00295C7C" w:rsidRPr="003F17AE" w:rsidRDefault="00295C7C" w:rsidP="00AC5BD1">
            <w:pPr>
              <w:keepNext/>
              <w:rPr>
                <w:sz w:val="16"/>
                <w:szCs w:val="16"/>
              </w:rPr>
            </w:pPr>
            <w:proofErr w:type="spellStart"/>
            <w:r w:rsidRPr="003F17AE">
              <w:rPr>
                <w:sz w:val="16"/>
                <w:szCs w:val="16"/>
                <w:lang w:eastAsia="ko-KR"/>
              </w:rPr>
              <w:t>inter_pred_</w:t>
            </w:r>
            <w:r>
              <w:rPr>
                <w:sz w:val="16"/>
                <w:szCs w:val="16"/>
                <w:lang w:eastAsia="ko-KR"/>
              </w:rPr>
              <w:t>idc</w:t>
            </w:r>
            <w:proofErr w:type="spellEnd"/>
          </w:p>
        </w:tc>
        <w:tc>
          <w:tcPr>
            <w:tcW w:w="880" w:type="dxa"/>
            <w:shd w:val="clear" w:color="auto" w:fill="auto"/>
          </w:tcPr>
          <w:p w:rsidR="00295C7C" w:rsidRPr="00066987" w:rsidRDefault="00615A4D" w:rsidP="00AC5BD1">
            <w:pPr>
              <w:keepNext/>
              <w:rPr>
                <w:sz w:val="16"/>
                <w:szCs w:val="16"/>
                <w:lang w:eastAsia="ko-KR"/>
              </w:rPr>
            </w:pPr>
            <w:fldSimple w:instr=" REF _Ref317087966 \h  \* MERGEFORMAT " w:fldLock="1">
              <w:r w:rsidR="00295C7C" w:rsidRPr="00A66C0B">
                <w:rPr>
                  <w:sz w:val="16"/>
                  <w:szCs w:val="16"/>
                </w:rPr>
                <w:t xml:space="preserve">Table </w:t>
              </w:r>
              <w:r w:rsidR="00295C7C" w:rsidRPr="00A66C0B">
                <w:rPr>
                  <w:noProof/>
                  <w:sz w:val="16"/>
                  <w:szCs w:val="16"/>
                </w:rPr>
                <w:t>9</w:t>
              </w:r>
              <w:r w:rsidR="00295C7C" w:rsidRPr="00A66C0B">
                <w:rPr>
                  <w:noProof/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506" w:type="dxa"/>
            <w:shd w:val="clear" w:color="auto" w:fill="auto"/>
          </w:tcPr>
          <w:p w:rsidR="00295C7C" w:rsidRPr="003F17AE" w:rsidRDefault="00295C7C" w:rsidP="00AC5BD1">
            <w:pPr>
              <w:keepNext/>
              <w:rPr>
                <w:sz w:val="16"/>
                <w:szCs w:val="16"/>
              </w:rPr>
            </w:pPr>
            <w:r w:rsidRPr="003F17AE">
              <w:rPr>
                <w:sz w:val="16"/>
                <w:szCs w:val="16"/>
              </w:rPr>
              <w:t>0</w:t>
            </w:r>
          </w:p>
        </w:tc>
        <w:tc>
          <w:tcPr>
            <w:tcW w:w="1864" w:type="dxa"/>
            <w:shd w:val="clear" w:color="auto" w:fill="auto"/>
          </w:tcPr>
          <w:p w:rsidR="00295C7C" w:rsidRDefault="00295C7C" w:rsidP="00AC5BD1">
            <w:pPr>
              <w:keepNext/>
              <w:jc w:val="center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  <w:highlight w:val="yellow"/>
                <w:lang w:eastAsia="ko-KR"/>
              </w:rPr>
              <w:t>If  (</w:t>
            </w:r>
            <w:proofErr w:type="spellStart"/>
            <w:r w:rsidRPr="00295C7C">
              <w:rPr>
                <w:sz w:val="16"/>
                <w:szCs w:val="16"/>
                <w:highlight w:val="yellow"/>
                <w:lang w:eastAsia="ko-KR"/>
              </w:rPr>
              <w:t>nPSW</w:t>
            </w:r>
            <w:proofErr w:type="spellEnd"/>
            <w:r w:rsidRPr="00295C7C">
              <w:rPr>
                <w:sz w:val="16"/>
                <w:szCs w:val="16"/>
                <w:highlight w:val="yellow"/>
                <w:lang w:eastAsia="ko-KR"/>
              </w:rPr>
              <w:t xml:space="preserve"> + </w:t>
            </w:r>
            <w:proofErr w:type="spellStart"/>
            <w:r w:rsidRPr="00295C7C">
              <w:rPr>
                <w:sz w:val="16"/>
                <w:szCs w:val="16"/>
                <w:highlight w:val="yellow"/>
                <w:lang w:eastAsia="ko-KR"/>
              </w:rPr>
              <w:t>nPSH</w:t>
            </w:r>
            <w:proofErr w:type="spellEnd"/>
            <w:r w:rsidRPr="00295C7C">
              <w:rPr>
                <w:sz w:val="16"/>
                <w:szCs w:val="16"/>
                <w:highlight w:val="yellow"/>
                <w:lang w:eastAsia="ko-KR"/>
              </w:rPr>
              <w:t xml:space="preserve"> != 12)</w:t>
            </w:r>
            <w:r w:rsidRPr="00295C7C">
              <w:rPr>
                <w:sz w:val="16"/>
                <w:szCs w:val="16"/>
                <w:lang w:eastAsia="ko-KR"/>
              </w:rPr>
              <w:t xml:space="preserve"> </w:t>
            </w:r>
            <w:proofErr w:type="spellStart"/>
            <w:r w:rsidRPr="00295C7C">
              <w:rPr>
                <w:sz w:val="16"/>
                <w:szCs w:val="16"/>
              </w:rPr>
              <w:t>ctDepth</w:t>
            </w:r>
            <w:proofErr w:type="spellEnd"/>
          </w:p>
          <w:p w:rsidR="00295C7C" w:rsidRDefault="00295C7C" w:rsidP="00AC5BD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295C7C">
              <w:rPr>
                <w:sz w:val="16"/>
                <w:szCs w:val="16"/>
                <w:highlight w:val="yellow"/>
              </w:rPr>
              <w:t xml:space="preserve">Otherwise </w:t>
            </w:r>
          </w:p>
          <w:p w:rsidR="00295C7C" w:rsidRPr="00295C7C" w:rsidRDefault="00295C7C" w:rsidP="00AC5BD1">
            <w:pPr>
              <w:keepNext/>
              <w:jc w:val="center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1890" w:type="dxa"/>
            <w:shd w:val="clear" w:color="auto" w:fill="auto"/>
          </w:tcPr>
          <w:p w:rsidR="00295C7C" w:rsidRDefault="00295C7C" w:rsidP="00AC5BD1">
            <w:pPr>
              <w:keepNext/>
              <w:jc w:val="center"/>
              <w:rPr>
                <w:sz w:val="16"/>
                <w:szCs w:val="16"/>
                <w:lang w:eastAsia="ko-KR"/>
              </w:rPr>
            </w:pPr>
            <w:r w:rsidRPr="00295C7C">
              <w:rPr>
                <w:sz w:val="16"/>
                <w:szCs w:val="16"/>
                <w:highlight w:val="yellow"/>
                <w:lang w:eastAsia="ko-KR"/>
              </w:rPr>
              <w:t>If  (</w:t>
            </w:r>
            <w:proofErr w:type="spellStart"/>
            <w:r w:rsidRPr="00295C7C">
              <w:rPr>
                <w:sz w:val="16"/>
                <w:szCs w:val="16"/>
                <w:highlight w:val="yellow"/>
                <w:lang w:eastAsia="ko-KR"/>
              </w:rPr>
              <w:t>nPSW</w:t>
            </w:r>
            <w:proofErr w:type="spellEnd"/>
            <w:r w:rsidRPr="00295C7C">
              <w:rPr>
                <w:sz w:val="16"/>
                <w:szCs w:val="16"/>
                <w:highlight w:val="yellow"/>
                <w:lang w:eastAsia="ko-KR"/>
              </w:rPr>
              <w:t xml:space="preserve"> + </w:t>
            </w:r>
            <w:proofErr w:type="spellStart"/>
            <w:r w:rsidRPr="00295C7C">
              <w:rPr>
                <w:sz w:val="16"/>
                <w:szCs w:val="16"/>
                <w:highlight w:val="yellow"/>
                <w:lang w:eastAsia="ko-KR"/>
              </w:rPr>
              <w:t>nPSH</w:t>
            </w:r>
            <w:proofErr w:type="spellEnd"/>
            <w:r w:rsidRPr="00295C7C">
              <w:rPr>
                <w:sz w:val="16"/>
                <w:szCs w:val="16"/>
                <w:highlight w:val="yellow"/>
                <w:lang w:eastAsia="ko-KR"/>
              </w:rPr>
              <w:t xml:space="preserve"> != 12)</w:t>
            </w:r>
            <w:r>
              <w:rPr>
                <w:sz w:val="16"/>
                <w:szCs w:val="16"/>
                <w:lang w:eastAsia="ko-KR"/>
              </w:rPr>
              <w:t xml:space="preserve"> </w:t>
            </w:r>
          </w:p>
          <w:p w:rsidR="00295C7C" w:rsidRDefault="00295C7C" w:rsidP="00AC5BD1">
            <w:pPr>
              <w:keepNext/>
              <w:jc w:val="center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  <w:lang w:eastAsia="ko-KR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  <w:p w:rsidR="00295C7C" w:rsidRPr="00295C7C" w:rsidRDefault="00295C7C" w:rsidP="00AC5BD1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295C7C">
              <w:rPr>
                <w:sz w:val="16"/>
                <w:szCs w:val="16"/>
                <w:highlight w:val="yellow"/>
              </w:rPr>
              <w:t xml:space="preserve">Otherwise </w:t>
            </w:r>
          </w:p>
          <w:p w:rsidR="00295C7C" w:rsidRPr="003F17AE" w:rsidRDefault="00295C7C" w:rsidP="00AC5BD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295C7C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295C7C" w:rsidRPr="003F17AE" w:rsidRDefault="00295C7C" w:rsidP="00AC5BD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3F17AE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71" w:type="dxa"/>
            <w:shd w:val="clear" w:color="auto" w:fill="auto"/>
          </w:tcPr>
          <w:p w:rsidR="00295C7C" w:rsidRPr="003F17AE" w:rsidRDefault="00295C7C" w:rsidP="00AC5BD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3F17AE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573" w:type="dxa"/>
            <w:shd w:val="clear" w:color="auto" w:fill="auto"/>
          </w:tcPr>
          <w:p w:rsidR="00295C7C" w:rsidRPr="003F17AE" w:rsidRDefault="00295C7C" w:rsidP="00AC5BD1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3F17AE">
              <w:rPr>
                <w:sz w:val="16"/>
                <w:szCs w:val="16"/>
              </w:rPr>
              <w:t>na</w:t>
            </w:r>
            <w:proofErr w:type="spellEnd"/>
          </w:p>
        </w:tc>
      </w:tr>
    </w:tbl>
    <w:p w:rsidR="00295C7C" w:rsidRDefault="00295C7C" w:rsidP="00865C2D">
      <w:pPr>
        <w:spacing w:before="60" w:after="60"/>
        <w:rPr>
          <w:szCs w:val="22"/>
          <w:lang w:eastAsia="ja-JP"/>
        </w:rPr>
      </w:pPr>
    </w:p>
    <w:p w:rsidR="00A62845" w:rsidRPr="003F17AE" w:rsidRDefault="00A62845" w:rsidP="000E7D66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bookmarkStart w:id="3" w:name="_Ref288896079"/>
      <w:bookmarkStart w:id="4" w:name="_Toc311220000"/>
      <w:bookmarkStart w:id="5" w:name="_Toc317198845"/>
      <w:bookmarkStart w:id="6" w:name="_Toc327299749"/>
      <w:r w:rsidRPr="00295C7C">
        <w:rPr>
          <w:highlight w:val="yellow"/>
        </w:rPr>
        <w:lastRenderedPageBreak/>
        <w:t>9.2.2</w:t>
      </w:r>
      <w:proofErr w:type="gramStart"/>
      <w:r w:rsidRPr="00295C7C">
        <w:rPr>
          <w:highlight w:val="yellow"/>
        </w:rPr>
        <w:t>.x</w:t>
      </w:r>
      <w:proofErr w:type="gramEnd"/>
      <w:r w:rsidRPr="00295C7C">
        <w:rPr>
          <w:highlight w:val="yellow"/>
        </w:rPr>
        <w:t xml:space="preserve"> </w:t>
      </w:r>
      <w:proofErr w:type="spellStart"/>
      <w:r w:rsidRPr="00295C7C">
        <w:rPr>
          <w:highlight w:val="yellow"/>
        </w:rPr>
        <w:t>Binarization</w:t>
      </w:r>
      <w:proofErr w:type="spellEnd"/>
      <w:r w:rsidRPr="00295C7C">
        <w:rPr>
          <w:highlight w:val="yellow"/>
        </w:rPr>
        <w:t xml:space="preserve"> process for </w:t>
      </w:r>
      <w:bookmarkEnd w:id="3"/>
      <w:bookmarkEnd w:id="4"/>
      <w:bookmarkEnd w:id="5"/>
      <w:bookmarkEnd w:id="6"/>
      <w:proofErr w:type="spellStart"/>
      <w:r w:rsidRPr="00295C7C">
        <w:rPr>
          <w:highlight w:val="yellow"/>
        </w:rPr>
        <w:t>inter_pred_idc</w:t>
      </w:r>
      <w:proofErr w:type="spellEnd"/>
    </w:p>
    <w:p w:rsidR="004D6C43" w:rsidRDefault="00A62845" w:rsidP="00A62845">
      <w:pPr>
        <w:rPr>
          <w:lang w:eastAsia="ko-KR"/>
        </w:rPr>
      </w:pPr>
      <w:r w:rsidRPr="003F17AE">
        <w:t xml:space="preserve">Input to this process is a request for a </w:t>
      </w:r>
      <w:proofErr w:type="spellStart"/>
      <w:r w:rsidRPr="003F17AE">
        <w:t>binarization</w:t>
      </w:r>
      <w:proofErr w:type="spellEnd"/>
      <w:r w:rsidRPr="003F17AE">
        <w:t xml:space="preserve"> for </w:t>
      </w:r>
      <w:r w:rsidRPr="003F17AE">
        <w:rPr>
          <w:lang w:eastAsia="ko-KR"/>
        </w:rPr>
        <w:t xml:space="preserve">the </w:t>
      </w:r>
      <w:r w:rsidRPr="003F17AE">
        <w:t>syntax element</w:t>
      </w:r>
      <w:r w:rsidRPr="003F17AE">
        <w:rPr>
          <w:lang w:eastAsia="ko-KR"/>
        </w:rPr>
        <w:t xml:space="preserve"> </w:t>
      </w:r>
      <w:proofErr w:type="spellStart"/>
      <w:r>
        <w:rPr>
          <w:lang w:eastAsia="ko-KR"/>
        </w:rPr>
        <w:t>inter_pred_idc</w:t>
      </w:r>
      <w:proofErr w:type="spellEnd"/>
      <w:r w:rsidR="004D6C43">
        <w:rPr>
          <w:lang w:eastAsia="ko-KR"/>
        </w:rPr>
        <w:t xml:space="preserve">, </w:t>
      </w:r>
      <w:proofErr w:type="spellStart"/>
      <w:r w:rsidR="004D6C43">
        <w:rPr>
          <w:lang w:eastAsia="ko-KR"/>
        </w:rPr>
        <w:t>slice_type</w:t>
      </w:r>
      <w:proofErr w:type="spellEnd"/>
      <w:r w:rsidRPr="003F17AE">
        <w:rPr>
          <w:lang w:eastAsia="ko-KR"/>
        </w:rPr>
        <w:t xml:space="preserve"> </w:t>
      </w:r>
      <w:r w:rsidRPr="00BD5945">
        <w:rPr>
          <w:highlight w:val="yellow"/>
          <w:lang w:eastAsia="ko-KR"/>
        </w:rPr>
        <w:t xml:space="preserve">and </w:t>
      </w:r>
      <w:r w:rsidR="004D6C43" w:rsidRPr="00BD5945">
        <w:rPr>
          <w:highlight w:val="yellow"/>
          <w:lang w:eastAsia="ko-KR"/>
        </w:rPr>
        <w:t xml:space="preserve">variables specifying the width and the height of the prediction unit, </w:t>
      </w:r>
      <w:proofErr w:type="spellStart"/>
      <w:r w:rsidR="004D6C43" w:rsidRPr="00BD5945">
        <w:rPr>
          <w:highlight w:val="yellow"/>
          <w:lang w:eastAsia="ko-KR"/>
        </w:rPr>
        <w:t>nPSW</w:t>
      </w:r>
      <w:proofErr w:type="spellEnd"/>
      <w:r w:rsidR="004D6C43" w:rsidRPr="00BD5945">
        <w:rPr>
          <w:highlight w:val="yellow"/>
          <w:lang w:eastAsia="ko-KR"/>
        </w:rPr>
        <w:t xml:space="preserve"> and </w:t>
      </w:r>
      <w:proofErr w:type="spellStart"/>
      <w:r w:rsidR="004D6C43" w:rsidRPr="00BD5945">
        <w:rPr>
          <w:highlight w:val="yellow"/>
          <w:lang w:eastAsia="ko-KR"/>
        </w:rPr>
        <w:t>nPSH</w:t>
      </w:r>
      <w:proofErr w:type="spellEnd"/>
      <w:r w:rsidR="004D6C43" w:rsidRPr="00BD5945">
        <w:rPr>
          <w:highlight w:val="yellow"/>
          <w:lang w:eastAsia="ko-KR"/>
        </w:rPr>
        <w:t>.</w:t>
      </w:r>
    </w:p>
    <w:p w:rsidR="00A62845" w:rsidRPr="003F17AE" w:rsidRDefault="00A62845" w:rsidP="00A62845">
      <w:pPr>
        <w:rPr>
          <w:lang w:eastAsia="ko-KR"/>
        </w:rPr>
      </w:pPr>
      <w:r w:rsidRPr="003F17AE">
        <w:t xml:space="preserve">Output of this process is the </w:t>
      </w:r>
      <w:proofErr w:type="spellStart"/>
      <w:r w:rsidRPr="003F17AE">
        <w:t>binarization</w:t>
      </w:r>
      <w:proofErr w:type="spellEnd"/>
      <w:r w:rsidRPr="003F17AE">
        <w:t xml:space="preserve"> of the syntax element.</w:t>
      </w:r>
      <w:r w:rsidRPr="003F17AE">
        <w:rPr>
          <w:lang w:eastAsia="ko-KR"/>
        </w:rPr>
        <w:t xml:space="preserve"> </w:t>
      </w:r>
    </w:p>
    <w:p w:rsidR="00A62845" w:rsidRDefault="00A62845" w:rsidP="00A62845">
      <w:r w:rsidRPr="003F17AE">
        <w:rPr>
          <w:lang w:eastAsia="ko-KR"/>
        </w:rPr>
        <w:t>T</w:t>
      </w:r>
      <w:r w:rsidRPr="003F17AE">
        <w:t xml:space="preserve">he </w:t>
      </w:r>
      <w:proofErr w:type="spellStart"/>
      <w:r w:rsidRPr="003F17AE">
        <w:t>binarization</w:t>
      </w:r>
      <w:proofErr w:type="spellEnd"/>
      <w:r w:rsidRPr="003F17AE">
        <w:t xml:space="preserve"> for </w:t>
      </w:r>
      <w:proofErr w:type="spellStart"/>
      <w:r w:rsidR="00262000" w:rsidRPr="00295C7C">
        <w:rPr>
          <w:highlight w:val="yellow"/>
        </w:rPr>
        <w:t>inter_pred_idc</w:t>
      </w:r>
      <w:proofErr w:type="spellEnd"/>
      <w:r w:rsidR="00262000" w:rsidRPr="003F17AE" w:rsidDel="00262000">
        <w:rPr>
          <w:lang w:eastAsia="ko-KR"/>
        </w:rPr>
        <w:t xml:space="preserve"> </w:t>
      </w:r>
      <w:r w:rsidRPr="003F17AE">
        <w:t xml:space="preserve">is given by </w:t>
      </w:r>
      <w:r w:rsidR="000E7D66">
        <w:t xml:space="preserve">Table 9-xx </w:t>
      </w:r>
      <w:r w:rsidRPr="003F17AE">
        <w:t xml:space="preserve">depending on </w:t>
      </w:r>
      <w:proofErr w:type="spellStart"/>
      <w:r w:rsidR="000E7D66">
        <w:t>inter_pred_idc</w:t>
      </w:r>
      <w:proofErr w:type="spellEnd"/>
      <w:r w:rsidRPr="003F17AE">
        <w:t xml:space="preserve">, </w:t>
      </w:r>
      <w:proofErr w:type="spellStart"/>
      <w:r w:rsidR="000E7D66">
        <w:rPr>
          <w:lang w:eastAsia="ko-KR"/>
        </w:rPr>
        <w:t>slice_type</w:t>
      </w:r>
      <w:proofErr w:type="spellEnd"/>
      <w:r w:rsidR="000E7D66" w:rsidRPr="003F17AE">
        <w:rPr>
          <w:lang w:eastAsia="ko-KR"/>
        </w:rPr>
        <w:t xml:space="preserve"> </w:t>
      </w:r>
      <w:r w:rsidR="000E7D66">
        <w:rPr>
          <w:lang w:eastAsia="ko-KR"/>
        </w:rPr>
        <w:t xml:space="preserve">and </w:t>
      </w:r>
      <w:r w:rsidR="000E7D66">
        <w:t xml:space="preserve">prediction unit size </w:t>
      </w:r>
      <w:proofErr w:type="spellStart"/>
      <w:r w:rsidR="000E7D66" w:rsidRPr="003F17AE">
        <w:rPr>
          <w:lang w:eastAsia="ko-KR"/>
        </w:rPr>
        <w:t>nPSW</w:t>
      </w:r>
      <w:proofErr w:type="spellEnd"/>
      <w:r w:rsidR="000E7D66" w:rsidRPr="003F17AE">
        <w:rPr>
          <w:lang w:eastAsia="ko-KR"/>
        </w:rPr>
        <w:t xml:space="preserve"> and </w:t>
      </w:r>
      <w:proofErr w:type="spellStart"/>
      <w:r w:rsidR="000E7D66" w:rsidRPr="003F17AE">
        <w:rPr>
          <w:lang w:eastAsia="ko-KR"/>
        </w:rPr>
        <w:t>nPSH</w:t>
      </w:r>
      <w:proofErr w:type="spellEnd"/>
      <w:r w:rsidRPr="003F17AE">
        <w:t>.</w:t>
      </w:r>
    </w:p>
    <w:p w:rsidR="000E7D66" w:rsidRDefault="000E7D66" w:rsidP="00A62845"/>
    <w:p w:rsidR="004D6C43" w:rsidRPr="000E7D66" w:rsidRDefault="000E7D66" w:rsidP="000E7D66">
      <w:pPr>
        <w:pStyle w:val="Caption"/>
        <w:rPr>
          <w:lang w:val="en-GB" w:eastAsia="ko-KR"/>
        </w:rPr>
      </w:pPr>
      <w:bookmarkStart w:id="7" w:name="_Ref285722862"/>
      <w:bookmarkStart w:id="8" w:name="_Ref288895446"/>
      <w:bookmarkStart w:id="9" w:name="_Toc287363945"/>
      <w:bookmarkStart w:id="10" w:name="_Toc327299945"/>
      <w:r w:rsidRPr="003F17AE">
        <w:rPr>
          <w:lang w:val="en-GB"/>
        </w:rPr>
        <w:t xml:space="preserve">Table </w:t>
      </w:r>
      <w:r w:rsidR="00615A4D" w:rsidRPr="003F17AE">
        <w:rPr>
          <w:lang w:val="en-GB"/>
        </w:rPr>
        <w:fldChar w:fldCharType="begin" w:fldLock="1"/>
      </w:r>
      <w:r w:rsidRPr="003F17AE">
        <w:rPr>
          <w:lang w:val="en-GB"/>
        </w:rPr>
        <w:instrText xml:space="preserve"> STYLEREF 1 \s </w:instrText>
      </w:r>
      <w:r w:rsidR="00615A4D" w:rsidRPr="003F17AE">
        <w:rPr>
          <w:lang w:val="en-GB"/>
        </w:rPr>
        <w:fldChar w:fldCharType="separate"/>
      </w:r>
      <w:r>
        <w:rPr>
          <w:noProof/>
          <w:lang w:val="en-GB"/>
        </w:rPr>
        <w:t>9</w:t>
      </w:r>
      <w:r w:rsidR="00615A4D" w:rsidRPr="003F17AE">
        <w:rPr>
          <w:lang w:val="en-GB"/>
        </w:rPr>
        <w:fldChar w:fldCharType="end"/>
      </w:r>
      <w:r w:rsidRPr="003F17AE">
        <w:rPr>
          <w:lang w:val="en-GB"/>
        </w:rPr>
        <w:noBreakHyphen/>
      </w:r>
      <w:bookmarkEnd w:id="7"/>
      <w:bookmarkEnd w:id="8"/>
      <w:r>
        <w:rPr>
          <w:lang w:val="en-GB"/>
        </w:rPr>
        <w:t>xx</w:t>
      </w:r>
      <w:r w:rsidRPr="003F17AE">
        <w:rPr>
          <w:lang w:val="en-GB"/>
        </w:rPr>
        <w:t xml:space="preserve"> – </w:t>
      </w:r>
      <w:proofErr w:type="spellStart"/>
      <w:r w:rsidRPr="003F17AE">
        <w:rPr>
          <w:lang w:val="en-GB"/>
        </w:rPr>
        <w:t>Binarization</w:t>
      </w:r>
      <w:proofErr w:type="spellEnd"/>
      <w:r w:rsidRPr="003F17AE">
        <w:rPr>
          <w:lang w:val="en-GB"/>
        </w:rPr>
        <w:t xml:space="preserve"> for </w:t>
      </w:r>
      <w:bookmarkEnd w:id="9"/>
      <w:bookmarkEnd w:id="10"/>
      <w:proofErr w:type="spellStart"/>
      <w:r>
        <w:rPr>
          <w:lang w:val="en-GB"/>
        </w:rPr>
        <w:t>inter_pred_idc</w:t>
      </w:r>
      <w:proofErr w:type="spellEnd"/>
    </w:p>
    <w:tbl>
      <w:tblPr>
        <w:tblW w:w="9464" w:type="dxa"/>
        <w:jc w:val="center"/>
        <w:tblInd w:w="-3619" w:type="dxa"/>
        <w:tblCellMar>
          <w:left w:w="0" w:type="dxa"/>
          <w:right w:w="0" w:type="dxa"/>
        </w:tblCellMar>
        <w:tblLook w:val="04A0"/>
      </w:tblPr>
      <w:tblGrid>
        <w:gridCol w:w="1094"/>
        <w:gridCol w:w="1554"/>
        <w:gridCol w:w="2272"/>
        <w:gridCol w:w="2242"/>
        <w:gridCol w:w="30"/>
        <w:gridCol w:w="2272"/>
      </w:tblGrid>
      <w:tr w:rsidR="000E7D66" w:rsidTr="0019515D">
        <w:trPr>
          <w:cantSplit/>
          <w:jc w:val="center"/>
        </w:trPr>
        <w:tc>
          <w:tcPr>
            <w:tcW w:w="10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E7D66" w:rsidRPr="00295C7C" w:rsidRDefault="000E7D66">
            <w:pPr>
              <w:rPr>
                <w:rFonts w:eastAsiaTheme="minorEastAsia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95C7C">
              <w:rPr>
                <w:b/>
                <w:bCs/>
                <w:sz w:val="16"/>
                <w:szCs w:val="16"/>
              </w:rPr>
              <w:t>slice_type</w:t>
            </w:r>
            <w:proofErr w:type="spellEnd"/>
          </w:p>
        </w:tc>
        <w:tc>
          <w:tcPr>
            <w:tcW w:w="155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E7D66" w:rsidRPr="00295C7C" w:rsidRDefault="000E7D66">
            <w:pPr>
              <w:rPr>
                <w:rFonts w:eastAsiaTheme="minorEastAsia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95C7C">
              <w:rPr>
                <w:b/>
                <w:bCs/>
                <w:sz w:val="16"/>
                <w:szCs w:val="16"/>
              </w:rPr>
              <w:t>inter_pred_idc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E7D66" w:rsidRPr="00295C7C" w:rsidRDefault="000E7D66">
            <w:pPr>
              <w:rPr>
                <w:rFonts w:eastAsiaTheme="minorEastAsia"/>
                <w:b/>
                <w:bCs/>
                <w:sz w:val="16"/>
                <w:szCs w:val="16"/>
                <w:lang w:val="en-GB"/>
              </w:rPr>
            </w:pPr>
            <w:r w:rsidRPr="00295C7C">
              <w:rPr>
                <w:b/>
                <w:bCs/>
                <w:sz w:val="16"/>
                <w:szCs w:val="16"/>
              </w:rPr>
              <w:t xml:space="preserve">Name of </w:t>
            </w:r>
            <w:proofErr w:type="spellStart"/>
            <w:r w:rsidRPr="00295C7C">
              <w:rPr>
                <w:b/>
                <w:bCs/>
                <w:sz w:val="16"/>
                <w:szCs w:val="16"/>
              </w:rPr>
              <w:t>inter_pred_idc</w:t>
            </w:r>
            <w:proofErr w:type="spellEnd"/>
          </w:p>
        </w:tc>
        <w:tc>
          <w:tcPr>
            <w:tcW w:w="4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7D66" w:rsidRPr="00295C7C" w:rsidRDefault="000E7D66" w:rsidP="000E7D66">
            <w:pPr>
              <w:jc w:val="center"/>
              <w:rPr>
                <w:b/>
                <w:bCs/>
                <w:sz w:val="16"/>
                <w:szCs w:val="16"/>
              </w:rPr>
            </w:pPr>
            <w:r w:rsidRPr="00295C7C">
              <w:rPr>
                <w:b/>
                <w:bCs/>
                <w:sz w:val="16"/>
                <w:szCs w:val="16"/>
              </w:rPr>
              <w:t>Bin String</w:t>
            </w:r>
          </w:p>
        </w:tc>
      </w:tr>
      <w:tr w:rsidR="000E7D66" w:rsidTr="00BD5945">
        <w:trPr>
          <w:cantSplit/>
          <w:jc w:val="center"/>
        </w:trPr>
        <w:tc>
          <w:tcPr>
            <w:tcW w:w="10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E7D66" w:rsidRPr="00295C7C" w:rsidRDefault="000E7D6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E7D66" w:rsidRPr="00295C7C" w:rsidRDefault="000E7D6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0E7D66" w:rsidRPr="00295C7C" w:rsidRDefault="000E7D6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7D66" w:rsidRPr="00BD5945" w:rsidRDefault="000E7D66" w:rsidP="000E7D66">
            <w:pPr>
              <w:rPr>
                <w:b/>
                <w:bCs/>
                <w:sz w:val="16"/>
                <w:szCs w:val="16"/>
                <w:highlight w:val="yellow"/>
              </w:rPr>
            </w:pPr>
            <w:r w:rsidRPr="00BD5945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BD5945">
              <w:rPr>
                <w:sz w:val="16"/>
                <w:szCs w:val="16"/>
                <w:highlight w:val="yellow"/>
                <w:lang w:eastAsia="ko-KR"/>
              </w:rPr>
              <w:t>nPSW</w:t>
            </w:r>
            <w:proofErr w:type="spellEnd"/>
            <w:r w:rsidRPr="00BD5945">
              <w:rPr>
                <w:sz w:val="16"/>
                <w:szCs w:val="16"/>
                <w:highlight w:val="yellow"/>
                <w:lang w:eastAsia="ko-KR"/>
              </w:rPr>
              <w:t xml:space="preserve"> + </w:t>
            </w:r>
            <w:proofErr w:type="spellStart"/>
            <w:r w:rsidRPr="00BD5945">
              <w:rPr>
                <w:sz w:val="16"/>
                <w:szCs w:val="16"/>
                <w:highlight w:val="yellow"/>
                <w:lang w:eastAsia="ko-KR"/>
              </w:rPr>
              <w:t>nPSH</w:t>
            </w:r>
            <w:proofErr w:type="spellEnd"/>
            <w:r w:rsidRPr="00BD5945">
              <w:rPr>
                <w:sz w:val="16"/>
                <w:szCs w:val="16"/>
                <w:highlight w:val="yellow"/>
                <w:lang w:eastAsia="ko-KR"/>
              </w:rPr>
              <w:t xml:space="preserve"> != 12 </w:t>
            </w:r>
          </w:p>
        </w:tc>
        <w:tc>
          <w:tcPr>
            <w:tcW w:w="23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E7D66" w:rsidRPr="00BD5945" w:rsidRDefault="000E7D66">
            <w:pPr>
              <w:rPr>
                <w:b/>
                <w:bCs/>
                <w:sz w:val="16"/>
                <w:szCs w:val="16"/>
                <w:highlight w:val="yellow"/>
              </w:rPr>
            </w:pPr>
            <w:r w:rsidRPr="00BD5945">
              <w:rPr>
                <w:b/>
                <w:bCs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BD5945">
              <w:rPr>
                <w:sz w:val="16"/>
                <w:szCs w:val="16"/>
                <w:highlight w:val="yellow"/>
                <w:lang w:eastAsia="ko-KR"/>
              </w:rPr>
              <w:t>nPSW</w:t>
            </w:r>
            <w:proofErr w:type="spellEnd"/>
            <w:r w:rsidRPr="00BD5945">
              <w:rPr>
                <w:sz w:val="16"/>
                <w:szCs w:val="16"/>
                <w:highlight w:val="yellow"/>
                <w:lang w:eastAsia="ko-KR"/>
              </w:rPr>
              <w:t xml:space="preserve"> + </w:t>
            </w:r>
            <w:proofErr w:type="spellStart"/>
            <w:r w:rsidRPr="00BD5945">
              <w:rPr>
                <w:sz w:val="16"/>
                <w:szCs w:val="16"/>
                <w:highlight w:val="yellow"/>
                <w:lang w:eastAsia="ko-KR"/>
              </w:rPr>
              <w:t>nPSH</w:t>
            </w:r>
            <w:proofErr w:type="spellEnd"/>
            <w:r w:rsidRPr="00BD5945">
              <w:rPr>
                <w:sz w:val="16"/>
                <w:szCs w:val="16"/>
                <w:highlight w:val="yellow"/>
                <w:lang w:eastAsia="ko-KR"/>
              </w:rPr>
              <w:t xml:space="preserve"> == 12</w:t>
            </w:r>
          </w:p>
        </w:tc>
      </w:tr>
      <w:tr w:rsidR="004D6C43" w:rsidTr="00BD5945">
        <w:trPr>
          <w:cantSplit/>
          <w:jc w:val="center"/>
        </w:trPr>
        <w:tc>
          <w:tcPr>
            <w:tcW w:w="10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P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inferred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Pred_L0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295C7C" w:rsidRDefault="004D6C43">
            <w:pPr>
              <w:jc w:val="both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3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295C7C" w:rsidRDefault="004D6C43">
            <w:pPr>
              <w:jc w:val="both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</w:rPr>
              <w:t xml:space="preserve"> -</w:t>
            </w:r>
          </w:p>
        </w:tc>
      </w:tr>
      <w:tr w:rsidR="004D6C43" w:rsidTr="004D6C43">
        <w:trPr>
          <w:cantSplit/>
          <w:jc w:val="center"/>
        </w:trPr>
        <w:tc>
          <w:tcPr>
            <w:tcW w:w="10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B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Pred_L0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295C7C" w:rsidRDefault="004D6C43">
            <w:pPr>
              <w:jc w:val="both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</w:rPr>
              <w:t xml:space="preserve"> 00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BD5945" w:rsidRDefault="004D6C43">
            <w:pPr>
              <w:jc w:val="both"/>
              <w:rPr>
                <w:sz w:val="16"/>
                <w:szCs w:val="16"/>
                <w:highlight w:val="yellow"/>
              </w:rPr>
            </w:pPr>
            <w:r w:rsidRPr="00BD5945">
              <w:rPr>
                <w:sz w:val="16"/>
                <w:szCs w:val="16"/>
                <w:highlight w:val="yellow"/>
              </w:rPr>
              <w:t xml:space="preserve"> 0</w:t>
            </w:r>
          </w:p>
        </w:tc>
      </w:tr>
      <w:tr w:rsidR="004D6C43" w:rsidTr="004D6C43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6C43" w:rsidRPr="00295C7C" w:rsidRDefault="004D6C43">
            <w:pPr>
              <w:rPr>
                <w:rFonts w:eastAsiaTheme="minorEastAsia"/>
                <w:sz w:val="16"/>
                <w:szCs w:val="16"/>
                <w:lang w:val="en-GB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Pred_L1</w:t>
            </w:r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295C7C" w:rsidRDefault="004D6C43">
            <w:pPr>
              <w:jc w:val="both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</w:rPr>
              <w:t xml:space="preserve"> 01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BD5945" w:rsidRDefault="004D6C43">
            <w:pPr>
              <w:jc w:val="both"/>
              <w:rPr>
                <w:sz w:val="16"/>
                <w:szCs w:val="16"/>
                <w:highlight w:val="yellow"/>
              </w:rPr>
            </w:pPr>
            <w:r w:rsidRPr="00BD5945">
              <w:rPr>
                <w:sz w:val="16"/>
                <w:szCs w:val="16"/>
                <w:highlight w:val="yellow"/>
              </w:rPr>
              <w:t xml:space="preserve"> 1</w:t>
            </w:r>
          </w:p>
        </w:tc>
      </w:tr>
      <w:tr w:rsidR="004D6C43" w:rsidTr="004D6C43">
        <w:trPr>
          <w:cantSplit/>
          <w:jc w:val="center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r w:rsidRPr="00295C7C">
              <w:rPr>
                <w:sz w:val="16"/>
                <w:szCs w:val="16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4D6C43" w:rsidRPr="00295C7C" w:rsidRDefault="004D6C43">
            <w:pPr>
              <w:jc w:val="both"/>
              <w:rPr>
                <w:rFonts w:eastAsiaTheme="minorEastAsia"/>
                <w:sz w:val="16"/>
                <w:szCs w:val="16"/>
                <w:lang w:val="en-GB"/>
              </w:rPr>
            </w:pPr>
            <w:proofErr w:type="spellStart"/>
            <w:r w:rsidRPr="00295C7C">
              <w:rPr>
                <w:sz w:val="16"/>
                <w:szCs w:val="16"/>
              </w:rPr>
              <w:t>Pred_BI</w:t>
            </w:r>
            <w:proofErr w:type="spellEnd"/>
          </w:p>
        </w:tc>
        <w:tc>
          <w:tcPr>
            <w:tcW w:w="22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295C7C" w:rsidRDefault="004D6C43">
            <w:pPr>
              <w:jc w:val="both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</w:rPr>
              <w:t xml:space="preserve"> 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C43" w:rsidRPr="00295C7C" w:rsidRDefault="004D6C43">
            <w:pPr>
              <w:jc w:val="both"/>
              <w:rPr>
                <w:sz w:val="16"/>
                <w:szCs w:val="16"/>
              </w:rPr>
            </w:pPr>
            <w:r w:rsidRPr="00295C7C">
              <w:rPr>
                <w:sz w:val="16"/>
                <w:szCs w:val="16"/>
              </w:rPr>
              <w:t xml:space="preserve"> -</w:t>
            </w:r>
          </w:p>
        </w:tc>
      </w:tr>
    </w:tbl>
    <w:p w:rsidR="000E7D66" w:rsidRDefault="000E7D66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</w:p>
    <w:p w:rsidR="000E7D66" w:rsidRDefault="000E7D66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</w:p>
    <w:p w:rsidR="000E7D66" w:rsidRPr="00183542" w:rsidRDefault="000E7D66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</w:p>
    <w:sectPr w:rsidR="000E7D66" w:rsidRPr="0018354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5B5" w:rsidRDefault="003265B5">
      <w:r>
        <w:separator/>
      </w:r>
    </w:p>
  </w:endnote>
  <w:endnote w:type="continuationSeparator" w:id="0">
    <w:p w:rsidR="003265B5" w:rsidRDefault="00326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AEB" w:rsidRDefault="009E1AEB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15A4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15A4D">
      <w:rPr>
        <w:rStyle w:val="PageNumber"/>
      </w:rPr>
      <w:fldChar w:fldCharType="separate"/>
    </w:r>
    <w:r w:rsidR="0089661A">
      <w:rPr>
        <w:rStyle w:val="PageNumber"/>
        <w:noProof/>
      </w:rPr>
      <w:t>4</w:t>
    </w:r>
    <w:r w:rsidR="00615A4D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5B5" w:rsidRDefault="003265B5">
      <w:r>
        <w:separator/>
      </w:r>
    </w:p>
  </w:footnote>
  <w:footnote w:type="continuationSeparator" w:id="0">
    <w:p w:rsidR="003265B5" w:rsidRDefault="003265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318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65889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BF5"/>
    <w:rsid w:val="000D3DC7"/>
    <w:rsid w:val="000D4339"/>
    <w:rsid w:val="000D67B0"/>
    <w:rsid w:val="000D71B1"/>
    <w:rsid w:val="000E3FCB"/>
    <w:rsid w:val="000E4756"/>
    <w:rsid w:val="000E7D6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2968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148E6"/>
    <w:rsid w:val="0022100E"/>
    <w:rsid w:val="002245A8"/>
    <w:rsid w:val="002259BD"/>
    <w:rsid w:val="002330B3"/>
    <w:rsid w:val="002376AB"/>
    <w:rsid w:val="00252009"/>
    <w:rsid w:val="002564F1"/>
    <w:rsid w:val="0026130C"/>
    <w:rsid w:val="00262000"/>
    <w:rsid w:val="00266916"/>
    <w:rsid w:val="0026740F"/>
    <w:rsid w:val="002678B0"/>
    <w:rsid w:val="00270C34"/>
    <w:rsid w:val="00273BC9"/>
    <w:rsid w:val="00277587"/>
    <w:rsid w:val="00281D6C"/>
    <w:rsid w:val="00287789"/>
    <w:rsid w:val="00292714"/>
    <w:rsid w:val="00295C7C"/>
    <w:rsid w:val="00296AF5"/>
    <w:rsid w:val="002A7B8F"/>
    <w:rsid w:val="002B23DB"/>
    <w:rsid w:val="002B3D3D"/>
    <w:rsid w:val="002B62D4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65B5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290B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6C43"/>
    <w:rsid w:val="004D78B3"/>
    <w:rsid w:val="004E48C8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4A8C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5A4D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2A77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1728"/>
    <w:rsid w:val="006B4227"/>
    <w:rsid w:val="006B43C5"/>
    <w:rsid w:val="006B6B0E"/>
    <w:rsid w:val="006B7E28"/>
    <w:rsid w:val="006C393E"/>
    <w:rsid w:val="006C50BB"/>
    <w:rsid w:val="006C5D39"/>
    <w:rsid w:val="006D27F7"/>
    <w:rsid w:val="006D3A8B"/>
    <w:rsid w:val="006E364F"/>
    <w:rsid w:val="006E4240"/>
    <w:rsid w:val="006E4AEB"/>
    <w:rsid w:val="006E5EAE"/>
    <w:rsid w:val="006F07A6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61E67"/>
    <w:rsid w:val="00763FDF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2E6F"/>
    <w:rsid w:val="00893478"/>
    <w:rsid w:val="008938A6"/>
    <w:rsid w:val="00894645"/>
    <w:rsid w:val="008961A5"/>
    <w:rsid w:val="0089661A"/>
    <w:rsid w:val="008A270E"/>
    <w:rsid w:val="008A4576"/>
    <w:rsid w:val="008A4BE8"/>
    <w:rsid w:val="008B398B"/>
    <w:rsid w:val="008B6040"/>
    <w:rsid w:val="008C6A19"/>
    <w:rsid w:val="008D028C"/>
    <w:rsid w:val="008D58A6"/>
    <w:rsid w:val="008E08D1"/>
    <w:rsid w:val="008E3000"/>
    <w:rsid w:val="008E78A4"/>
    <w:rsid w:val="0090525D"/>
    <w:rsid w:val="0090643A"/>
    <w:rsid w:val="00906A42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1AEB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56B09"/>
    <w:rsid w:val="00A62845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4BB"/>
    <w:rsid w:val="00AB7E12"/>
    <w:rsid w:val="00AC4531"/>
    <w:rsid w:val="00AD1816"/>
    <w:rsid w:val="00AD1EEC"/>
    <w:rsid w:val="00AE03D6"/>
    <w:rsid w:val="00AE4C10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C5F21"/>
    <w:rsid w:val="00BD1781"/>
    <w:rsid w:val="00BD5945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2227"/>
    <w:rsid w:val="00C969FA"/>
    <w:rsid w:val="00CA0B6E"/>
    <w:rsid w:val="00CB6124"/>
    <w:rsid w:val="00CB793D"/>
    <w:rsid w:val="00CC3081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CF7E44"/>
    <w:rsid w:val="00D04299"/>
    <w:rsid w:val="00D047C2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7F66"/>
    <w:rsid w:val="00E407BE"/>
    <w:rsid w:val="00E429C6"/>
    <w:rsid w:val="00E53E20"/>
    <w:rsid w:val="00E575DC"/>
    <w:rsid w:val="00E73113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672"/>
    <w:rsid w:val="00EB2DC3"/>
    <w:rsid w:val="00EB4100"/>
    <w:rsid w:val="00EB4D6F"/>
    <w:rsid w:val="00EB5FB0"/>
    <w:rsid w:val="00EB6217"/>
    <w:rsid w:val="00EB6B1E"/>
    <w:rsid w:val="00EC1490"/>
    <w:rsid w:val="00ED14A9"/>
    <w:rsid w:val="00ED3629"/>
    <w:rsid w:val="00ED50CD"/>
    <w:rsid w:val="00ED7513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B03"/>
    <w:rsid w:val="00F26C43"/>
    <w:rsid w:val="00F32951"/>
    <w:rsid w:val="00F329E1"/>
    <w:rsid w:val="00F34104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TableText">
    <w:name w:val="Table_Text"/>
    <w:basedOn w:val="Normal"/>
    <w:rsid w:val="00A6284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ListBullet">
    <w:name w:val="List Bullet"/>
    <w:basedOn w:val="Normal"/>
    <w:uiPriority w:val="99"/>
    <w:rsid w:val="00A62845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7604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144</cp:revision>
  <cp:lastPrinted>2011-10-30T01:30:00Z</cp:lastPrinted>
  <dcterms:created xsi:type="dcterms:W3CDTF">2012-01-15T00:42:00Z</dcterms:created>
  <dcterms:modified xsi:type="dcterms:W3CDTF">2012-06-29T15:34:00Z</dcterms:modified>
</cp:coreProperties>
</file>