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26109C"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7C6B00">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7C6B00">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012D91">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12D91" w:rsidRPr="005B217D">
              <w:rPr>
                <w:lang w:val="en-CA"/>
              </w:rPr>
              <w:t>H</w:t>
            </w:r>
            <w:r w:rsidR="00012D91">
              <w:rPr>
                <w:u w:val="single"/>
                <w:lang w:val="en-CA"/>
              </w:rPr>
              <w:t>0427</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14BBF">
            <w:pPr>
              <w:spacing w:before="60" w:after="60"/>
              <w:rPr>
                <w:b/>
                <w:szCs w:val="22"/>
                <w:lang w:val="en-CA"/>
              </w:rPr>
            </w:pPr>
            <w:r>
              <w:rPr>
                <w:b/>
                <w:szCs w:val="22"/>
                <w:lang w:val="en-CA"/>
              </w:rPr>
              <w:t xml:space="preserve">Non-CE11: </w:t>
            </w:r>
            <w:r w:rsidR="00D61E2B">
              <w:rPr>
                <w:b/>
                <w:szCs w:val="22"/>
                <w:lang w:val="en-CA"/>
              </w:rPr>
              <w:t>Support modification for parallel calculation of significant map context</w:t>
            </w:r>
            <w:r w:rsidR="00962F3C">
              <w:rPr>
                <w:b/>
                <w:szCs w:val="22"/>
                <w:lang w:val="en-CA"/>
              </w:rPr>
              <w:t>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3D3EA8">
            <w:pPr>
              <w:spacing w:before="60" w:after="60"/>
              <w:rPr>
                <w:szCs w:val="22"/>
                <w:lang w:val="en-CA"/>
              </w:rPr>
            </w:pPr>
            <w:r w:rsidRPr="003D3EA8">
              <w:rPr>
                <w:szCs w:val="22"/>
                <w:lang w:val="en-CA"/>
              </w:rPr>
              <w:t>Input Document to 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3D3EA8">
            <w:pPr>
              <w:spacing w:before="60" w:after="60"/>
              <w:rPr>
                <w:szCs w:val="22"/>
                <w:lang w:val="en-CA"/>
              </w:rPr>
            </w:pPr>
            <w:r w:rsidRPr="006809A0">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3D3EA8" w:rsidRDefault="003D3EA8" w:rsidP="003D3EA8">
            <w:pPr>
              <w:spacing w:before="60" w:after="60"/>
              <w:rPr>
                <w:szCs w:val="22"/>
              </w:rPr>
            </w:pPr>
            <w:r>
              <w:rPr>
                <w:szCs w:val="22"/>
              </w:rPr>
              <w:t>Vadim Seregin</w:t>
            </w:r>
          </w:p>
          <w:p w:rsidR="00953B93" w:rsidRDefault="00E4363C">
            <w:pPr>
              <w:spacing w:before="60" w:after="60"/>
              <w:rPr>
                <w:szCs w:val="22"/>
                <w:lang w:val="en-CA"/>
              </w:rPr>
            </w:pPr>
            <w:r>
              <w:rPr>
                <w:szCs w:val="22"/>
                <w:lang w:val="en-CA"/>
              </w:rPr>
              <w:t>Joel Sole</w:t>
            </w:r>
          </w:p>
          <w:p w:rsidR="003D3EA8" w:rsidRDefault="003D3EA8">
            <w:pPr>
              <w:spacing w:before="60" w:after="60"/>
              <w:rPr>
                <w:szCs w:val="22"/>
                <w:lang w:val="en-CA"/>
              </w:rPr>
            </w:pPr>
            <w:r>
              <w:rPr>
                <w:szCs w:val="22"/>
              </w:rPr>
              <w:t>Marta Karczewicz</w:t>
            </w:r>
          </w:p>
          <w:p w:rsidR="003D3EA8" w:rsidRDefault="003D3EA8">
            <w:pPr>
              <w:spacing w:before="60" w:after="60"/>
              <w:rPr>
                <w:szCs w:val="22"/>
                <w:lang w:val="en-CA"/>
              </w:rPr>
            </w:pPr>
          </w:p>
          <w:p w:rsidR="003D3EA8" w:rsidRPr="005B217D" w:rsidRDefault="003D3EA8">
            <w:pPr>
              <w:spacing w:before="60" w:after="60"/>
              <w:rPr>
                <w:szCs w:val="22"/>
                <w:lang w:val="en-CA"/>
              </w:rPr>
            </w:pPr>
            <w:r w:rsidRPr="0058077E">
              <w:rPr>
                <w:szCs w:val="22"/>
                <w:lang w:val="en-GB" w:eastAsia="ja-JP"/>
              </w:rPr>
              <w:t xml:space="preserve">5775 </w:t>
            </w:r>
            <w:proofErr w:type="spellStart"/>
            <w:r w:rsidRPr="0058077E">
              <w:rPr>
                <w:szCs w:val="22"/>
                <w:lang w:val="en-GB" w:eastAsia="ja-JP"/>
              </w:rPr>
              <w:t>Morehouse</w:t>
            </w:r>
            <w:proofErr w:type="spellEnd"/>
            <w:r w:rsidRPr="0058077E">
              <w:rPr>
                <w:szCs w:val="22"/>
                <w:lang w:val="en-GB" w:eastAsia="ja-JP"/>
              </w:rPr>
              <w:t xml:space="preserve"> Drive</w:t>
            </w:r>
            <w:r w:rsidRPr="0058077E">
              <w:rPr>
                <w:szCs w:val="22"/>
                <w:lang w:val="en-GB" w:eastAsia="ja-JP"/>
              </w:rPr>
              <w:br/>
              <w:t>San Diego, CA 92121, USA</w:t>
            </w:r>
          </w:p>
        </w:tc>
        <w:tc>
          <w:tcPr>
            <w:tcW w:w="900" w:type="dxa"/>
          </w:tcPr>
          <w:p w:rsidR="00E61DAC" w:rsidRPr="005B217D" w:rsidRDefault="00E61DAC" w:rsidP="003D3EA8">
            <w:pPr>
              <w:spacing w:before="60" w:after="60"/>
              <w:rPr>
                <w:szCs w:val="22"/>
                <w:lang w:val="en-CA"/>
              </w:rPr>
            </w:pPr>
            <w:r w:rsidRPr="005B217D">
              <w:rPr>
                <w:szCs w:val="22"/>
                <w:lang w:val="en-CA"/>
              </w:rPr>
              <w:t>Email:</w:t>
            </w:r>
          </w:p>
        </w:tc>
        <w:tc>
          <w:tcPr>
            <w:tcW w:w="3168" w:type="dxa"/>
          </w:tcPr>
          <w:p w:rsidR="00E61DAC" w:rsidRDefault="001F58FD" w:rsidP="003D3EA8">
            <w:pPr>
              <w:spacing w:before="60" w:after="60"/>
              <w:rPr>
                <w:szCs w:val="22"/>
              </w:rPr>
            </w:pPr>
            <w:hyperlink r:id="rId11" w:history="1">
              <w:r w:rsidR="003D3EA8" w:rsidRPr="00267DE0">
                <w:rPr>
                  <w:rStyle w:val="Hyperlink"/>
                  <w:szCs w:val="22"/>
                </w:rPr>
                <w:t>vseregin@qualcomm.com</w:t>
              </w:r>
            </w:hyperlink>
          </w:p>
          <w:p w:rsidR="00E4363C" w:rsidRDefault="001F58FD" w:rsidP="00E4363C">
            <w:pPr>
              <w:spacing w:before="0" w:after="60"/>
              <w:rPr>
                <w:szCs w:val="22"/>
              </w:rPr>
            </w:pPr>
            <w:hyperlink r:id="rId12" w:history="1">
              <w:r w:rsidR="00E4363C" w:rsidRPr="000767BD">
                <w:rPr>
                  <w:rStyle w:val="Hyperlink"/>
                  <w:szCs w:val="22"/>
                </w:rPr>
                <w:t>joels@qualcomm.com</w:t>
              </w:r>
            </w:hyperlink>
          </w:p>
          <w:p w:rsidR="003D3EA8" w:rsidRDefault="001F58FD" w:rsidP="003D3EA8">
            <w:pPr>
              <w:spacing w:before="0" w:after="60"/>
              <w:rPr>
                <w:szCs w:val="22"/>
              </w:rPr>
            </w:pPr>
            <w:hyperlink r:id="rId13" w:history="1">
              <w:r w:rsidR="003D3EA8" w:rsidRPr="0058077E">
                <w:rPr>
                  <w:rStyle w:val="Hyperlink"/>
                  <w:szCs w:val="22"/>
                  <w:lang w:val="en-GB" w:eastAsia="ja-JP"/>
                </w:rPr>
                <w:t>martak@qualcomm.com</w:t>
              </w:r>
            </w:hyperlink>
          </w:p>
          <w:p w:rsidR="003D3EA8" w:rsidRPr="00E4363C" w:rsidRDefault="003D3EA8" w:rsidP="003D3EA8">
            <w:pPr>
              <w:spacing w:before="60" w:after="60"/>
              <w:rPr>
                <w:szCs w:val="22"/>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3D3EA8" w:rsidP="005E6E0F">
            <w:pPr>
              <w:spacing w:before="60" w:after="60"/>
              <w:rPr>
                <w:szCs w:val="22"/>
                <w:lang w:val="en-CA"/>
              </w:rPr>
            </w:pPr>
            <w:r>
              <w:rPr>
                <w:szCs w:val="22"/>
              </w:rPr>
              <w:t xml:space="preserve">Qualcomm </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3D3EA8" w:rsidRDefault="00F45961" w:rsidP="00C97D78">
      <w:pPr>
        <w:rPr>
          <w:lang w:val="en-CA"/>
        </w:rPr>
      </w:pPr>
      <w:bookmarkStart w:id="0" w:name="_GoBack"/>
      <w:bookmarkEnd w:id="0"/>
      <w:r>
        <w:rPr>
          <w:lang w:val="en-CA"/>
        </w:rPr>
        <w:t xml:space="preserve">In </w:t>
      </w:r>
      <w:r w:rsidR="00A455FF">
        <w:rPr>
          <w:lang w:val="en-CA"/>
        </w:rPr>
        <w:t>HM5.0</w:t>
      </w:r>
      <w:r>
        <w:rPr>
          <w:lang w:val="en-CA"/>
        </w:rPr>
        <w:t xml:space="preserve">, for </w:t>
      </w:r>
      <w:r w:rsidR="001D5119">
        <w:rPr>
          <w:lang w:val="en-CA"/>
        </w:rPr>
        <w:t>large transforms</w:t>
      </w:r>
      <w:r>
        <w:rPr>
          <w:lang w:val="en-CA"/>
        </w:rPr>
        <w:t xml:space="preserve">,  </w:t>
      </w:r>
      <w:r w:rsidR="00A455FF">
        <w:rPr>
          <w:lang w:val="en-CA"/>
        </w:rPr>
        <w:t xml:space="preserve">significance map </w:t>
      </w:r>
      <w:r>
        <w:rPr>
          <w:lang w:val="en-CA"/>
        </w:rPr>
        <w:t xml:space="preserve">context calculation is dependent on the number of non-zero coefficients </w:t>
      </w:r>
      <w:r w:rsidR="001D5119">
        <w:rPr>
          <w:lang w:val="en-CA"/>
        </w:rPr>
        <w:t>in a neighborhood support</w:t>
      </w:r>
      <w:r>
        <w:rPr>
          <w:lang w:val="en-CA"/>
        </w:rPr>
        <w:t xml:space="preserve">. </w:t>
      </w:r>
      <w:r w:rsidR="0011268F">
        <w:rPr>
          <w:lang w:val="en-CA"/>
        </w:rPr>
        <w:t xml:space="preserve">Coefficients are removed from the neighbourhood </w:t>
      </w:r>
      <w:r w:rsidR="001D5119">
        <w:rPr>
          <w:lang w:val="en-CA"/>
        </w:rPr>
        <w:t xml:space="preserve">to allow a two parallel context estimation. </w:t>
      </w:r>
      <w:r>
        <w:rPr>
          <w:lang w:val="en-CA"/>
        </w:rPr>
        <w:t xml:space="preserve">In this contribution, having </w:t>
      </w:r>
      <w:r w:rsidR="001D5119">
        <w:rPr>
          <w:lang w:val="en-CA"/>
        </w:rPr>
        <w:t xml:space="preserve">3 and 4 </w:t>
      </w:r>
      <w:r>
        <w:rPr>
          <w:lang w:val="en-CA"/>
        </w:rPr>
        <w:t xml:space="preserve">parallel </w:t>
      </w:r>
      <w:r w:rsidR="001D5119">
        <w:rPr>
          <w:lang w:val="en-CA"/>
        </w:rPr>
        <w:t xml:space="preserve">bin processing is </w:t>
      </w:r>
      <w:r>
        <w:rPr>
          <w:lang w:val="en-CA"/>
        </w:rPr>
        <w:t>studied</w:t>
      </w:r>
      <w:r w:rsidR="00030123">
        <w:rPr>
          <w:lang w:val="en-CA"/>
        </w:rPr>
        <w:t xml:space="preserve"> and proposed. Three methods are analyzed. </w:t>
      </w:r>
      <w:r w:rsidR="002F0EBB">
        <w:rPr>
          <w:lang w:val="en-CA"/>
        </w:rPr>
        <w:t>A</w:t>
      </w:r>
      <w:r w:rsidR="00030123">
        <w:rPr>
          <w:lang w:val="en-CA"/>
        </w:rPr>
        <w:t xml:space="preserve"> recommended approach </w:t>
      </w:r>
      <w:r w:rsidR="00DA5CF4">
        <w:rPr>
          <w:lang w:val="en-CA"/>
        </w:rPr>
        <w:t>has an average BD-rate of 0.1% and doesn’t introduce additional conditions.</w:t>
      </w:r>
    </w:p>
    <w:p w:rsidR="00745F6B" w:rsidRDefault="00745F6B" w:rsidP="00E11923">
      <w:pPr>
        <w:pStyle w:val="Heading1"/>
        <w:rPr>
          <w:lang w:val="en-CA"/>
        </w:rPr>
      </w:pPr>
      <w:r w:rsidRPr="005B217D">
        <w:rPr>
          <w:lang w:val="en-CA"/>
        </w:rPr>
        <w:t>Intr</w:t>
      </w:r>
      <w:r w:rsidR="003D3EA8">
        <w:rPr>
          <w:lang w:val="en-CA"/>
        </w:rPr>
        <w:t>oduction</w:t>
      </w:r>
    </w:p>
    <w:p w:rsidR="007C6B00" w:rsidRDefault="007C6B00" w:rsidP="007C6B00">
      <w:r>
        <w:rPr>
          <w:lang w:val="en-CA"/>
        </w:rPr>
        <w:t xml:space="preserve">In current test model (HM), </w:t>
      </w:r>
      <w:r>
        <w:t xml:space="preserve">five-point support </w:t>
      </w:r>
      <w:r w:rsidRPr="00AF4BE7">
        <w:rPr>
          <w:i/>
        </w:rPr>
        <w:t>S</w:t>
      </w:r>
      <w:r>
        <w:t xml:space="preserve"> is used to define a context model to code significance map of the transform coefficients. The example of the five-point support in blue color, relative to target point marked in purple is shown in Fig. 1. Context model </w:t>
      </w:r>
      <w:proofErr w:type="spellStart"/>
      <w:r>
        <w:rPr>
          <w:i/>
        </w:rPr>
        <w:t>C</w:t>
      </w:r>
      <w:r w:rsidRPr="00AF4BE7">
        <w:rPr>
          <w:i/>
        </w:rPr>
        <w:t>tx</w:t>
      </w:r>
      <w:proofErr w:type="spellEnd"/>
      <w:r>
        <w:t xml:space="preserve"> is </w:t>
      </w:r>
      <w:r w:rsidR="005E6E0F">
        <w:t xml:space="preserve">derived from the </w:t>
      </w:r>
      <w:r>
        <w:t xml:space="preserve"> sum of the significant flags in every point of the support, significance flag is set to </w:t>
      </w:r>
      <w:r w:rsidRPr="00BF513E">
        <w:rPr>
          <w:i/>
        </w:rPr>
        <w:t>1</w:t>
      </w:r>
      <w:r>
        <w:t xml:space="preserve"> if corresponding transform coefficient is nonzero, otherwise significance flag is set to </w:t>
      </w:r>
      <w:r w:rsidRPr="00BF513E">
        <w:rPr>
          <w:i/>
        </w:rPr>
        <w:t>0</w:t>
      </w:r>
      <w:r>
        <w:t xml:space="preserve">. </w:t>
      </w:r>
    </w:p>
    <w:p w:rsidR="007C6B00" w:rsidRDefault="007C6B00" w:rsidP="007C6B00">
      <w:pPr>
        <w:jc w:val="center"/>
        <w:rPr>
          <w:rFonts w:eastAsiaTheme="minorEastAsia"/>
        </w:rPr>
      </w:pPr>
      <m:oMath>
        <m:r>
          <w:rPr>
            <w:rFonts w:ascii="Cambria Math" w:hAnsi="Cambria Math"/>
          </w:rPr>
          <m:t>Ctx= f(</m:t>
        </m:r>
        <m:nary>
          <m:naryPr>
            <m:chr m:val="∑"/>
            <m:limLoc m:val="undOvr"/>
            <m:supHide m:val="1"/>
            <m:ctrlPr>
              <w:rPr>
                <w:rFonts w:ascii="Cambria Math" w:hAnsi="Cambria Math"/>
                <w:i/>
              </w:rPr>
            </m:ctrlPr>
          </m:naryPr>
          <m:sub>
            <m:r>
              <w:rPr>
                <w:rFonts w:ascii="Cambria Math" w:hAnsi="Cambria Math"/>
              </w:rPr>
              <m:t>p ∈ S</m:t>
            </m:r>
          </m:sub>
          <m:sup/>
          <m:e>
            <m:d>
              <m:dPr>
                <m:ctrlPr>
                  <w:rPr>
                    <w:rFonts w:ascii="Cambria Math" w:hAnsi="Cambria Math"/>
                    <w:i/>
                  </w:rPr>
                </m:ctrlPr>
              </m:dPr>
              <m:e>
                <m:sSub>
                  <m:sSubPr>
                    <m:ctrlPr>
                      <w:rPr>
                        <w:rFonts w:ascii="Cambria Math" w:hAnsi="Cambria Math"/>
                        <w:i/>
                      </w:rPr>
                    </m:ctrlPr>
                  </m:sSubPr>
                  <m:e>
                    <m:r>
                      <w:rPr>
                        <w:rFonts w:ascii="Cambria Math" w:hAnsi="Cambria Math"/>
                      </w:rPr>
                      <m:t>coef</m:t>
                    </m:r>
                  </m:e>
                  <m:sub>
                    <m:r>
                      <w:rPr>
                        <w:rFonts w:ascii="Cambria Math" w:hAnsi="Cambria Math"/>
                      </w:rPr>
                      <m:t>p</m:t>
                    </m:r>
                  </m:sub>
                </m:sSub>
                <m:r>
                  <w:rPr>
                    <w:rFonts w:ascii="Cambria Math" w:hAnsi="Cambria Math"/>
                  </w:rPr>
                  <m:t>!=0</m:t>
                </m:r>
              </m:e>
            </m:d>
            <m:r>
              <w:rPr>
                <w:rFonts w:ascii="Cambria Math" w:hAnsi="Cambria Math"/>
              </w:rPr>
              <m:t>)</m:t>
            </m:r>
          </m:e>
        </m:nary>
      </m:oMath>
      <w:r>
        <w:rPr>
          <w:rFonts w:eastAsiaTheme="minorEastAsia"/>
        </w:rPr>
        <w:t xml:space="preserve">                                                 (1)</w:t>
      </w:r>
    </w:p>
    <w:p w:rsidR="007C6B00" w:rsidRDefault="007C6B00" w:rsidP="007C6B00">
      <w:pPr>
        <w:jc w:val="center"/>
      </w:pPr>
    </w:p>
    <w:p w:rsidR="007C6B00" w:rsidRDefault="007C6B00" w:rsidP="007C6B00">
      <w:pPr>
        <w:jc w:val="center"/>
      </w:pPr>
      <w:r>
        <w:object w:dxaOrig="2954" w:dyaOrig="29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45pt;height:147.45pt" o:ole="">
            <v:imagedata r:id="rId14" o:title=""/>
          </v:shape>
          <o:OLEObject Type="Embed" ProgID="Visio.Drawing.11" ShapeID="_x0000_i1025" DrawAspect="Content" ObjectID="_1388586778" r:id="rId15"/>
        </w:object>
      </w:r>
    </w:p>
    <w:p w:rsidR="007C6B00" w:rsidRDefault="007C6B00" w:rsidP="007C6B00">
      <w:pPr>
        <w:jc w:val="center"/>
      </w:pPr>
      <w:r>
        <w:t>Fig. 1. Significance map support and reverse scan order.</w:t>
      </w:r>
    </w:p>
    <w:p w:rsidR="00FE2D39" w:rsidRDefault="00FE2D39" w:rsidP="00FE2D39"/>
    <w:p w:rsidR="00C27261" w:rsidRDefault="00C27261" w:rsidP="00C27261">
      <w:r>
        <w:lastRenderedPageBreak/>
        <w:t xml:space="preserve">However, this support may not be suitable in case there is a requirement to calculate a context of </w:t>
      </w:r>
      <w:r w:rsidR="005E6E0F">
        <w:t xml:space="preserve">more than 2 </w:t>
      </w:r>
      <w:r>
        <w:t>coefficients in parallel, because one or several significance context of transform coefficients are dependent  within</w:t>
      </w:r>
      <w:r w:rsidR="005E6E0F">
        <w:t xml:space="preserve"> the</w:t>
      </w:r>
      <w:r>
        <w:t xml:space="preserve"> support. To illustrate this dependency, let’s consider 4x4 block, shown on Fig. 2.</w:t>
      </w:r>
    </w:p>
    <w:p w:rsidR="00C27261" w:rsidRDefault="00C27261" w:rsidP="00C27261">
      <w:pPr>
        <w:jc w:val="center"/>
      </w:pPr>
      <w:r>
        <w:object w:dxaOrig="8951" w:dyaOrig="3694">
          <v:shape id="_x0000_i1026" type="#_x0000_t75" style="width:447.55pt;height:184.9pt" o:ole="">
            <v:imagedata r:id="rId16" o:title=""/>
          </v:shape>
          <o:OLEObject Type="Embed" ProgID="Visio.Drawing.11" ShapeID="_x0000_i1026" DrawAspect="Content" ObjectID="_1388586779" r:id="rId17"/>
        </w:object>
      </w:r>
    </w:p>
    <w:p w:rsidR="00C27261" w:rsidRDefault="00C27261" w:rsidP="00C27261">
      <w:pPr>
        <w:jc w:val="center"/>
      </w:pPr>
      <w:r>
        <w:t>Fig. 2. Dependency in significance context calculation within support.</w:t>
      </w:r>
    </w:p>
    <w:p w:rsidR="00C27261" w:rsidRDefault="00C27261" w:rsidP="00FE2D39">
      <w:r>
        <w:t xml:space="preserve">To calculate a significance context for the point marked in purple, it is necessary to parse significance flag of the coefficient within the support depicted in red </w:t>
      </w:r>
      <w:r w:rsidR="005E6E0F">
        <w:t xml:space="preserve">in </w:t>
      </w:r>
      <w:r>
        <w:t>Fig. 2(a). So, this necessary parsing introduces a delay if there is a requirement to calculate significance contexts of two coefficients in parallel. To resolve this dependency, it was proposed and adopted in current HM</w:t>
      </w:r>
      <w:r w:rsidR="005E6E0F">
        <w:t xml:space="preserve"> </w:t>
      </w:r>
      <w:r>
        <w:t xml:space="preserve">to remove dependent transform coefficient from the support, making the support with so called “hole”, depicted on Fig. 2(b). The significance flag in the hole is skipped and not taken into account for the context calculation (i.e., assumed to be zero), so there is no need to </w:t>
      </w:r>
      <w:r w:rsidR="005E6E0F">
        <w:t xml:space="preserve">know </w:t>
      </w:r>
      <w:r>
        <w:t xml:space="preserve">the significance flag in </w:t>
      </w:r>
      <w:r w:rsidR="005E6E0F">
        <w:t>that</w:t>
      </w:r>
      <w:r>
        <w:t xml:space="preserve"> point. The support shape depends on the position to allow for better parallel processing. However, in current HM, making </w:t>
      </w:r>
      <w:r w:rsidR="005E6E0F">
        <w:t xml:space="preserve">a </w:t>
      </w:r>
      <w:r>
        <w:t xml:space="preserve">hole in the support as shown on Fig. 2(b), only two significance can be </w:t>
      </w:r>
      <w:r w:rsidR="005E6E0F">
        <w:t xml:space="preserve">computed </w:t>
      </w:r>
      <w:r>
        <w:t>in parallel.</w:t>
      </w:r>
    </w:p>
    <w:p w:rsidR="00C27261" w:rsidRDefault="00C27261" w:rsidP="00C27261">
      <w:pPr>
        <w:pStyle w:val="Heading1"/>
        <w:ind w:left="360" w:hanging="360"/>
        <w:rPr>
          <w:lang w:val="en-CA"/>
        </w:rPr>
      </w:pPr>
      <w:r w:rsidRPr="00C27261">
        <w:rPr>
          <w:lang w:val="en-CA"/>
        </w:rPr>
        <w:t>Proposal</w:t>
      </w:r>
    </w:p>
    <w:p w:rsidR="00C27261" w:rsidRDefault="009D7BFB" w:rsidP="00C27261">
      <w:pPr>
        <w:pStyle w:val="Heading2"/>
      </w:pPr>
      <w:r>
        <w:t xml:space="preserve">Method 1. </w:t>
      </w:r>
      <w:r w:rsidR="00C27261">
        <w:t>Extending the holes for parallel context calculation</w:t>
      </w:r>
    </w:p>
    <w:p w:rsidR="00C27261" w:rsidRDefault="00C27261" w:rsidP="00C27261">
      <w:r>
        <w:t xml:space="preserve">It is desired to be able to calculate more </w:t>
      </w:r>
      <w:r w:rsidR="00C9226C">
        <w:t xml:space="preserve">bins in </w:t>
      </w:r>
      <w:r>
        <w:t xml:space="preserve">parallel. In this case, more holes should be </w:t>
      </w:r>
      <w:r w:rsidR="00166E84">
        <w:t xml:space="preserve">conditionally </w:t>
      </w:r>
      <w:r>
        <w:t xml:space="preserve">inserted in the support, depending on the </w:t>
      </w:r>
      <w:r w:rsidR="00C9226C">
        <w:t>desired degree of parallelization</w:t>
      </w:r>
      <w:r>
        <w:t>.</w:t>
      </w:r>
    </w:p>
    <w:p w:rsidR="00C27261" w:rsidRDefault="00C27261" w:rsidP="00C27261">
      <w:r>
        <w:t xml:space="preserve">On Fig. 3 (a), </w:t>
      </w:r>
      <w:r w:rsidR="00166E84">
        <w:t xml:space="preserve">holes are conditionally inserted for </w:t>
      </w:r>
      <w:r>
        <w:t xml:space="preserve">three context </w:t>
      </w:r>
      <w:r w:rsidR="00166E84">
        <w:t xml:space="preserve">calculated </w:t>
      </w:r>
      <w:r>
        <w:t xml:space="preserve">in parallel. All the significance contexts of the coefficients marked in non-black color </w:t>
      </w:r>
      <w:r w:rsidR="00166E84">
        <w:t>are</w:t>
      </w:r>
      <w:r>
        <w:t xml:space="preserve"> calculated using support with holes. </w:t>
      </w:r>
      <w:r w:rsidR="009D7BFB">
        <w:t>In some cases</w:t>
      </w:r>
      <w:r>
        <w:t xml:space="preserve">, more than one hole in the support </w:t>
      </w:r>
      <w:r w:rsidR="009D7BFB">
        <w:t>is</w:t>
      </w:r>
      <w:r>
        <w:t xml:space="preserve"> necessary as shown on Fig. 3(b),(c),(d). So there are four different supports depending on the current coefficient position. The original support that has no holes, then 2 supports with one hole (beneath and on the right of the coded coefficient), and another support with two holes.</w:t>
      </w:r>
    </w:p>
    <w:p w:rsidR="009D7BFB" w:rsidRDefault="009D7BFB" w:rsidP="009D7BFB">
      <w:pPr>
        <w:jc w:val="center"/>
      </w:pPr>
      <w:r>
        <w:object w:dxaOrig="10064" w:dyaOrig="3561">
          <v:shape id="_x0000_i1027" type="#_x0000_t75" style="width:483.85pt;height:171.65pt" o:ole="">
            <v:imagedata r:id="rId18" o:title=""/>
          </v:shape>
          <o:OLEObject Type="Embed" ProgID="Visio.Drawing.11" ShapeID="_x0000_i1027" DrawAspect="Content" ObjectID="_1388586780" r:id="rId19"/>
        </w:object>
      </w:r>
      <w:r w:rsidRPr="009D7BFB">
        <w:t xml:space="preserve"> </w:t>
      </w:r>
      <w:r>
        <w:t>Fig. 3. Inserting the holes for the three coefficients parallel processing.</w:t>
      </w:r>
    </w:p>
    <w:p w:rsidR="009D7BFB" w:rsidRDefault="009D7BFB" w:rsidP="009D7BFB">
      <w:pPr>
        <w:jc w:val="center"/>
      </w:pPr>
    </w:p>
    <w:p w:rsidR="009D7BFB" w:rsidRDefault="009D7BFB" w:rsidP="009D7BFB">
      <w:r>
        <w:t xml:space="preserve">In a similar way, shown on Fig. 4, </w:t>
      </w:r>
      <w:r w:rsidR="00C9226C">
        <w:t xml:space="preserve">holes </w:t>
      </w:r>
      <w:r>
        <w:t xml:space="preserve">are inserted to have 4 bins processed in parallel. </w:t>
      </w:r>
    </w:p>
    <w:p w:rsidR="009D7BFB" w:rsidRDefault="009D7BFB" w:rsidP="009D7BFB">
      <w:pPr>
        <w:jc w:val="center"/>
      </w:pPr>
      <w:r>
        <w:object w:dxaOrig="11707" w:dyaOrig="7533">
          <v:shape id="_x0000_i1028" type="#_x0000_t75" style="width:483.85pt;height:311.6pt" o:ole="">
            <v:imagedata r:id="rId20" o:title=""/>
          </v:shape>
          <o:OLEObject Type="Embed" ProgID="Visio.Drawing.11" ShapeID="_x0000_i1028" DrawAspect="Content" ObjectID="_1388586781" r:id="rId21"/>
        </w:object>
      </w:r>
    </w:p>
    <w:p w:rsidR="009D7BFB" w:rsidRDefault="009D7BFB" w:rsidP="009D7BFB">
      <w:pPr>
        <w:jc w:val="center"/>
      </w:pPr>
      <w:r>
        <w:t xml:space="preserve">Fig. </w:t>
      </w:r>
      <w:r w:rsidR="00D11F74">
        <w:t>4</w:t>
      </w:r>
      <w:r>
        <w:t>. Inserting the holes for the four coefficients parallel processing.</w:t>
      </w:r>
    </w:p>
    <w:p w:rsidR="009D7BFB" w:rsidRDefault="009D7BFB" w:rsidP="009D7BFB"/>
    <w:p w:rsidR="00C27261" w:rsidRDefault="00C27261" w:rsidP="00C27261">
      <w:pPr>
        <w:pStyle w:val="Heading2"/>
      </w:pPr>
      <w:r>
        <w:rPr>
          <w:lang w:val="en-CA"/>
        </w:rPr>
        <w:t>Method 2.</w:t>
      </w:r>
      <w:r>
        <w:t>Grouping coefficients for parallel context calculation</w:t>
      </w:r>
    </w:p>
    <w:p w:rsidR="009D7BFB" w:rsidRDefault="009D7BFB" w:rsidP="009D7BFB">
      <w:r>
        <w:t>In the method</w:t>
      </w:r>
      <w:r w:rsidR="00CD74FF">
        <w:t xml:space="preserve"> </w:t>
      </w:r>
      <w:r>
        <w:t>1, conditions have to be checked in order to apply the right support to each position. And the number of condition</w:t>
      </w:r>
      <w:r w:rsidR="00C9226C">
        <w:t>s</w:t>
      </w:r>
      <w:r>
        <w:t xml:space="preserve"> </w:t>
      </w:r>
      <w:r w:rsidR="00C9226C">
        <w:t xml:space="preserve">is </w:t>
      </w:r>
      <w:r>
        <w:t xml:space="preserve">increasing with </w:t>
      </w:r>
      <w:r w:rsidR="00C9226C">
        <w:t xml:space="preserve">the </w:t>
      </w:r>
      <w:r>
        <w:t>increase of bins processed in parallel, since more holes should be checked and inserted</w:t>
      </w:r>
      <w:r w:rsidR="00C9226C">
        <w:t xml:space="preserve"> for more positions.</w:t>
      </w:r>
    </w:p>
    <w:p w:rsidR="009D7BFB" w:rsidRDefault="009D7BFB" w:rsidP="009D7BFB">
      <w:r>
        <w:lastRenderedPageBreak/>
        <w:t>However, number of conditions to be checked can be reduced assuming that every group of three or four significant contexts are calculated in parallel and significant flags are parsed right after that. In this case, only coefficient</w:t>
      </w:r>
      <w:r w:rsidR="00C9226C">
        <w:t xml:space="preserve"> l</w:t>
      </w:r>
      <w:r>
        <w:t>ocated in the same group</w:t>
      </w:r>
      <w:r w:rsidR="00C9226C">
        <w:t xml:space="preserve"> </w:t>
      </w:r>
      <w:r>
        <w:t>are excluded from context calculation.</w:t>
      </w:r>
    </w:p>
    <w:p w:rsidR="00D11F74" w:rsidRDefault="00D11F74" w:rsidP="009D7BFB">
      <w:r>
        <w:t>Grouping for three bin parallel processing, is shown on Fig. 5.</w:t>
      </w:r>
    </w:p>
    <w:p w:rsidR="00D11F74" w:rsidRDefault="00D11F74" w:rsidP="00D11F74">
      <w:pPr>
        <w:jc w:val="center"/>
      </w:pPr>
      <w:r>
        <w:object w:dxaOrig="7792" w:dyaOrig="3561">
          <v:shape id="_x0000_i1029" type="#_x0000_t75" style="width:388.8pt;height:178pt" o:ole="">
            <v:imagedata r:id="rId22" o:title=""/>
          </v:shape>
          <o:OLEObject Type="Embed" ProgID="Visio.Drawing.11" ShapeID="_x0000_i1029" DrawAspect="Content" ObjectID="_1388586782" r:id="rId23"/>
        </w:object>
      </w:r>
    </w:p>
    <w:p w:rsidR="00D11F74" w:rsidRDefault="00CD74FF" w:rsidP="00D11F74">
      <w:pPr>
        <w:jc w:val="center"/>
      </w:pPr>
      <w:r>
        <w:t>Fig. 5</w:t>
      </w:r>
      <w:r w:rsidR="00D11F74">
        <w:t>. Inserting the holes for the parallel processing in groups of three coefficients.</w:t>
      </w:r>
    </w:p>
    <w:p w:rsidR="00D11F74" w:rsidRDefault="00D11F74" w:rsidP="00D11F74">
      <w:pPr>
        <w:jc w:val="center"/>
      </w:pPr>
    </w:p>
    <w:p w:rsidR="00D11F74" w:rsidRDefault="00D11F74" w:rsidP="00D11F74">
      <w:r>
        <w:t xml:space="preserve">In a similar way, grouping is done for four bins, shown on Fig. </w:t>
      </w:r>
      <w:r w:rsidR="00CD74FF">
        <w:t>6</w:t>
      </w:r>
      <w:r>
        <w:t>.</w:t>
      </w:r>
    </w:p>
    <w:p w:rsidR="00494390" w:rsidRDefault="00494390" w:rsidP="00D11F74"/>
    <w:p w:rsidR="00494390" w:rsidRDefault="00494390" w:rsidP="00D11F74">
      <w:r>
        <w:object w:dxaOrig="11988" w:dyaOrig="7038">
          <v:shape id="_x0000_i1030" type="#_x0000_t75" style="width:484.4pt;height:284.55pt" o:ole="">
            <v:imagedata r:id="rId24" o:title=""/>
          </v:shape>
          <o:OLEObject Type="Embed" ProgID="Visio.Drawing.11" ShapeID="_x0000_i1030" DrawAspect="Content" ObjectID="_1388586783" r:id="rId25"/>
        </w:object>
      </w:r>
    </w:p>
    <w:p w:rsidR="00494390" w:rsidRDefault="00494390" w:rsidP="00494390">
      <w:pPr>
        <w:jc w:val="center"/>
      </w:pPr>
      <w:r>
        <w:t xml:space="preserve">Fig. </w:t>
      </w:r>
      <w:r w:rsidR="00CD74FF">
        <w:t>6</w:t>
      </w:r>
      <w:r>
        <w:t>. Inserting the holes for the parallel processing in groups of four coefficients.</w:t>
      </w:r>
    </w:p>
    <w:p w:rsidR="00494390" w:rsidRDefault="00CD74FF" w:rsidP="00494390">
      <w:r>
        <w:t>It is seen from the Fig. 5 and 6</w:t>
      </w:r>
      <w:r w:rsidR="00494390">
        <w:t>, number of holes and conditions to be checked is much less than for method</w:t>
      </w:r>
      <w:r w:rsidR="00BA6305">
        <w:t xml:space="preserve"> </w:t>
      </w:r>
      <w:r w:rsidR="00494390">
        <w:t>1.</w:t>
      </w:r>
    </w:p>
    <w:p w:rsidR="00C27261" w:rsidRDefault="00C27261" w:rsidP="00C27261">
      <w:pPr>
        <w:pStyle w:val="Heading2"/>
      </w:pPr>
      <w:r>
        <w:rPr>
          <w:lang w:val="en-CA"/>
        </w:rPr>
        <w:lastRenderedPageBreak/>
        <w:t xml:space="preserve">Method 3. </w:t>
      </w:r>
      <w:r>
        <w:t>Support modification for parallel context calculation</w:t>
      </w:r>
    </w:p>
    <w:p w:rsidR="00494390" w:rsidRDefault="00494390" w:rsidP="00494390">
      <w:r>
        <w:t xml:space="preserve">To reduce number of conditions </w:t>
      </w:r>
      <w:r w:rsidR="004B0CA2">
        <w:t xml:space="preserve">to </w:t>
      </w:r>
      <w:r>
        <w:t xml:space="preserve">be checked further, </w:t>
      </w:r>
      <w:r w:rsidR="00E408AE">
        <w:t xml:space="preserve">context </w:t>
      </w:r>
      <w:r>
        <w:t>support is modified.</w:t>
      </w:r>
      <w:r w:rsidR="00BA6305">
        <w:t xml:space="preserve"> This modified support is applied to calculate significant map context for all coefficient regardless of their positions in the block. </w:t>
      </w:r>
      <w:r w:rsidR="00094B54">
        <w:t xml:space="preserve">New supports are shown on Fig. </w:t>
      </w:r>
      <w:r w:rsidR="00BA6305">
        <w:t>7</w:t>
      </w:r>
      <w:r w:rsidR="00094B54">
        <w:t xml:space="preserve">, where support for three bins is shown on Fig. </w:t>
      </w:r>
      <w:r w:rsidR="00BA6305">
        <w:t>7</w:t>
      </w:r>
      <w:r w:rsidR="00094B54">
        <w:t xml:space="preserve">(a) and for </w:t>
      </w:r>
      <w:r w:rsidR="00E408AE">
        <w:t xml:space="preserve">four </w:t>
      </w:r>
      <w:r w:rsidR="00094B54">
        <w:t xml:space="preserve">bins on Fig. </w:t>
      </w:r>
      <w:r w:rsidR="00BA6305">
        <w:t>7</w:t>
      </w:r>
      <w:r w:rsidR="00094B54">
        <w:t>(b).</w:t>
      </w:r>
    </w:p>
    <w:p w:rsidR="00C27261" w:rsidRPr="00C27261" w:rsidRDefault="00266F99" w:rsidP="004C50DE">
      <w:pPr>
        <w:jc w:val="center"/>
      </w:pPr>
      <w:r>
        <w:object w:dxaOrig="12192" w:dyaOrig="4881">
          <v:shape id="_x0000_i1031" type="#_x0000_t75" style="width:460.2pt;height:183.75pt" o:ole="">
            <v:imagedata r:id="rId26" o:title=""/>
          </v:shape>
          <o:OLEObject Type="Embed" ProgID="Visio.Drawing.11" ShapeID="_x0000_i1031" DrawAspect="Content" ObjectID="_1388586784" r:id="rId27"/>
        </w:object>
      </w:r>
    </w:p>
    <w:p w:rsidR="004C50DE" w:rsidRDefault="004C50DE" w:rsidP="004C50DE">
      <w:pPr>
        <w:jc w:val="center"/>
      </w:pPr>
      <w:r>
        <w:t xml:space="preserve">Fig. </w:t>
      </w:r>
      <w:r w:rsidR="00BA6305">
        <w:t>7</w:t>
      </w:r>
      <w:r>
        <w:t>. Modified support for the parallel processing.</w:t>
      </w:r>
    </w:p>
    <w:p w:rsidR="00C27261" w:rsidRDefault="004B0CA2" w:rsidP="00266F99">
      <w:r>
        <w:t>With this modified supports, only two holes</w:t>
      </w:r>
      <w:r w:rsidR="00CC33B3">
        <w:t xml:space="preserve"> (conditions)</w:t>
      </w:r>
      <w:r>
        <w:t xml:space="preserve"> </w:t>
      </w:r>
      <w:r w:rsidR="00DD5BF3">
        <w:t>are necessary</w:t>
      </w:r>
      <w:r>
        <w:t xml:space="preserve"> be inserted to have 3 and 4 bins</w:t>
      </w:r>
      <w:r w:rsidR="00DD5BF3">
        <w:t xml:space="preserve"> processed in parallel for significant map. The location of that holes are shown on Fig. </w:t>
      </w:r>
      <w:r w:rsidR="00BA6305">
        <w:t>8</w:t>
      </w:r>
      <w:r w:rsidR="00266F99">
        <w:t xml:space="preserve"> </w:t>
      </w:r>
      <w:r w:rsidR="00DD5BF3">
        <w:t xml:space="preserve">and </w:t>
      </w:r>
      <w:r w:rsidR="00BA6305">
        <w:t>9</w:t>
      </w:r>
      <w:r w:rsidR="00DD5BF3">
        <w:t xml:space="preserve"> for 3 and 4 bins respectively. </w:t>
      </w:r>
    </w:p>
    <w:p w:rsidR="00266F99" w:rsidRDefault="00266F99" w:rsidP="00266F99">
      <w:pPr>
        <w:jc w:val="center"/>
      </w:pPr>
      <w:r>
        <w:object w:dxaOrig="5556" w:dyaOrig="3543">
          <v:shape id="_x0000_i1032" type="#_x0000_t75" style="width:277.05pt;height:177.4pt" o:ole="">
            <v:imagedata r:id="rId28" o:title=""/>
          </v:shape>
          <o:OLEObject Type="Embed" ProgID="Visio.Drawing.11" ShapeID="_x0000_i1032" DrawAspect="Content" ObjectID="_1388586785" r:id="rId29"/>
        </w:object>
      </w:r>
    </w:p>
    <w:p w:rsidR="00266F99" w:rsidRDefault="00266F99" w:rsidP="00266F99">
      <w:pPr>
        <w:jc w:val="center"/>
      </w:pPr>
      <w:r>
        <w:t xml:space="preserve">Fig. </w:t>
      </w:r>
      <w:r w:rsidR="00BA6305">
        <w:t>8</w:t>
      </w:r>
      <w:r>
        <w:t>. Modified support and holes for the three bins parallel processing.</w:t>
      </w:r>
    </w:p>
    <w:p w:rsidR="00266F99" w:rsidRDefault="00266F99" w:rsidP="00266F99">
      <w:pPr>
        <w:jc w:val="center"/>
      </w:pPr>
    </w:p>
    <w:p w:rsidR="00266F99" w:rsidRDefault="00266F99" w:rsidP="00266F99">
      <w:pPr>
        <w:jc w:val="center"/>
      </w:pPr>
      <w:r>
        <w:object w:dxaOrig="5465" w:dyaOrig="3543">
          <v:shape id="_x0000_i1033" type="#_x0000_t75" style="width:273pt;height:177.4pt" o:ole="">
            <v:imagedata r:id="rId30" o:title=""/>
          </v:shape>
          <o:OLEObject Type="Embed" ProgID="Visio.Drawing.11" ShapeID="_x0000_i1033" DrawAspect="Content" ObjectID="_1388586786" r:id="rId31"/>
        </w:object>
      </w:r>
    </w:p>
    <w:p w:rsidR="00266F99" w:rsidRDefault="00266F99" w:rsidP="00266F99">
      <w:pPr>
        <w:jc w:val="center"/>
      </w:pPr>
      <w:r>
        <w:t xml:space="preserve">Fig. </w:t>
      </w:r>
      <w:r w:rsidR="00BA6305">
        <w:t>9</w:t>
      </w:r>
      <w:r>
        <w:t>. Modified support and holes for the four bins parallel processing.</w:t>
      </w:r>
    </w:p>
    <w:p w:rsidR="00266F99" w:rsidRDefault="00CC33B3" w:rsidP="00266F99">
      <w:pPr>
        <w:jc w:val="both"/>
      </w:pPr>
      <w:r>
        <w:t>Note that the 3</w:t>
      </w:r>
      <w:r w:rsidR="0026109C">
        <w:t>- and 4</w:t>
      </w:r>
      <w:r>
        <w:t>-bins modified support uses the same number of conditional checks than HM5.0.</w:t>
      </w:r>
    </w:p>
    <w:p w:rsidR="009B38D4" w:rsidRDefault="009B38D4" w:rsidP="009B38D4">
      <w:pPr>
        <w:pStyle w:val="Heading1"/>
        <w:ind w:left="360" w:hanging="360"/>
        <w:rPr>
          <w:lang w:val="en-CA"/>
        </w:rPr>
      </w:pPr>
      <w:r w:rsidRPr="009B38D4">
        <w:rPr>
          <w:lang w:val="en-CA"/>
        </w:rPr>
        <w:t>Simulation results</w:t>
      </w:r>
    </w:p>
    <w:p w:rsidR="009B38D4" w:rsidRDefault="009B38D4" w:rsidP="009B38D4">
      <w:pPr>
        <w:rPr>
          <w:lang w:val="en-CA"/>
        </w:rPr>
      </w:pPr>
      <w:r>
        <w:rPr>
          <w:lang w:val="en-CA"/>
        </w:rPr>
        <w:t>All three methods were implemented on top of HM5.0. And simulations results based on common test conditions are summarised in the Table 1.</w:t>
      </w:r>
      <w:r w:rsidR="00D41C55">
        <w:rPr>
          <w:lang w:val="en-CA"/>
        </w:rPr>
        <w:t xml:space="preserve"> More detailed test data can be found in the accompanied excel  sheets.</w:t>
      </w:r>
    </w:p>
    <w:p w:rsidR="006F6F7B" w:rsidRDefault="006F6F7B" w:rsidP="009B38D4">
      <w:pPr>
        <w:rPr>
          <w:lang w:val="en-CA"/>
        </w:rPr>
      </w:pPr>
      <w:r>
        <w:rPr>
          <w:lang w:val="en-CA"/>
        </w:rPr>
        <w:t>Table 1. Luma BD-rate summary for proposed methods</w:t>
      </w:r>
    </w:p>
    <w:tbl>
      <w:tblPr>
        <w:tblStyle w:val="TableGrid"/>
        <w:tblW w:w="0" w:type="auto"/>
        <w:tblLook w:val="04A0" w:firstRow="1" w:lastRow="0" w:firstColumn="1" w:lastColumn="0" w:noHBand="0" w:noVBand="1"/>
      </w:tblPr>
      <w:tblGrid>
        <w:gridCol w:w="1998"/>
        <w:gridCol w:w="990"/>
        <w:gridCol w:w="1080"/>
        <w:gridCol w:w="1170"/>
        <w:gridCol w:w="1080"/>
        <w:gridCol w:w="1260"/>
        <w:gridCol w:w="990"/>
        <w:gridCol w:w="1008"/>
      </w:tblGrid>
      <w:tr w:rsidR="006F6F7B" w:rsidTr="00550A44">
        <w:trPr>
          <w:trHeight w:val="368"/>
        </w:trPr>
        <w:tc>
          <w:tcPr>
            <w:tcW w:w="1998" w:type="dxa"/>
          </w:tcPr>
          <w:p w:rsidR="006F6F7B" w:rsidRPr="006F6F7B" w:rsidRDefault="006F6F7B">
            <w:pPr>
              <w:pStyle w:val="NormalWeb"/>
              <w:spacing w:before="0" w:beforeAutospacing="0" w:after="0" w:afterAutospacing="0"/>
              <w:rPr>
                <w:bCs/>
                <w:kern w:val="24"/>
                <w:sz w:val="22"/>
                <w:szCs w:val="22"/>
              </w:rPr>
            </w:pP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AI-HE</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AI-LC</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RA-HE</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RA-LC</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RA-HE10</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HE-LB</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bCs/>
                <w:kern w:val="24"/>
                <w:sz w:val="22"/>
                <w:szCs w:val="22"/>
              </w:rPr>
              <w:t>LC-LB</w:t>
            </w:r>
          </w:p>
        </w:tc>
      </w:tr>
      <w:tr w:rsidR="00D41C55" w:rsidTr="00550A44">
        <w:tc>
          <w:tcPr>
            <w:tcW w:w="1998" w:type="dxa"/>
          </w:tcPr>
          <w:p w:rsidR="00D41C55" w:rsidRPr="006F6F7B" w:rsidRDefault="006F6F7B" w:rsidP="00550A44">
            <w:pPr>
              <w:pStyle w:val="NormalWeb"/>
              <w:spacing w:before="0" w:beforeAutospacing="0" w:after="0" w:afterAutospacing="0"/>
              <w:rPr>
                <w:sz w:val="22"/>
                <w:szCs w:val="22"/>
              </w:rPr>
            </w:pPr>
            <w:r>
              <w:rPr>
                <w:bCs/>
                <w:kern w:val="24"/>
                <w:sz w:val="22"/>
                <w:szCs w:val="22"/>
              </w:rPr>
              <w:t xml:space="preserve">Method 1 </w:t>
            </w:r>
            <w:r w:rsidR="00D41C55" w:rsidRPr="006F6F7B">
              <w:rPr>
                <w:bCs/>
                <w:kern w:val="24"/>
                <w:sz w:val="22"/>
                <w:szCs w:val="22"/>
              </w:rPr>
              <w:t>3</w:t>
            </w:r>
            <w:r>
              <w:rPr>
                <w:bCs/>
                <w:kern w:val="24"/>
                <w:sz w:val="22"/>
                <w:szCs w:val="22"/>
              </w:rPr>
              <w:t xml:space="preserve"> </w:t>
            </w:r>
            <w:r w:rsidR="00D41C55" w:rsidRPr="006F6F7B">
              <w:rPr>
                <w:bCs/>
                <w:kern w:val="24"/>
                <w:sz w:val="22"/>
                <w:szCs w:val="22"/>
              </w:rPr>
              <w:t>bins</w:t>
            </w:r>
          </w:p>
        </w:tc>
        <w:tc>
          <w:tcPr>
            <w:tcW w:w="99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0.09</w:t>
            </w:r>
          </w:p>
        </w:tc>
        <w:tc>
          <w:tcPr>
            <w:tcW w:w="108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0.07</w:t>
            </w:r>
          </w:p>
        </w:tc>
        <w:tc>
          <w:tcPr>
            <w:tcW w:w="117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0.06</w:t>
            </w:r>
          </w:p>
        </w:tc>
        <w:tc>
          <w:tcPr>
            <w:tcW w:w="108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0.05</w:t>
            </w:r>
          </w:p>
        </w:tc>
        <w:tc>
          <w:tcPr>
            <w:tcW w:w="126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0.14</w:t>
            </w:r>
          </w:p>
        </w:tc>
        <w:tc>
          <w:tcPr>
            <w:tcW w:w="99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0.06</w:t>
            </w:r>
          </w:p>
        </w:tc>
        <w:tc>
          <w:tcPr>
            <w:tcW w:w="1008" w:type="dxa"/>
            <w:vAlign w:val="center"/>
          </w:tcPr>
          <w:p w:rsidR="00D41C55" w:rsidRPr="006F6F7B" w:rsidRDefault="00D41C55" w:rsidP="006F6F7B">
            <w:pPr>
              <w:pStyle w:val="NormalWeb"/>
              <w:spacing w:before="0" w:beforeAutospacing="0" w:after="0" w:afterAutospacing="0"/>
              <w:jc w:val="center"/>
              <w:rPr>
                <w:sz w:val="22"/>
                <w:szCs w:val="22"/>
              </w:rPr>
            </w:pPr>
            <w:r w:rsidRPr="006F6F7B">
              <w:rPr>
                <w:bCs/>
                <w:kern w:val="24"/>
                <w:sz w:val="22"/>
                <w:szCs w:val="22"/>
              </w:rPr>
              <w:t>0.02</w:t>
            </w:r>
          </w:p>
        </w:tc>
      </w:tr>
      <w:tr w:rsidR="00D41C55" w:rsidTr="00550A44">
        <w:tc>
          <w:tcPr>
            <w:tcW w:w="1998" w:type="dxa"/>
          </w:tcPr>
          <w:p w:rsidR="00D41C55" w:rsidRPr="006F6F7B" w:rsidRDefault="006F6F7B" w:rsidP="00550A44">
            <w:pPr>
              <w:pStyle w:val="NormalWeb"/>
              <w:spacing w:before="0" w:beforeAutospacing="0" w:after="0" w:afterAutospacing="0"/>
              <w:rPr>
                <w:sz w:val="22"/>
                <w:szCs w:val="22"/>
              </w:rPr>
            </w:pPr>
            <w:r>
              <w:rPr>
                <w:bCs/>
                <w:kern w:val="24"/>
                <w:sz w:val="22"/>
                <w:szCs w:val="22"/>
              </w:rPr>
              <w:t>Method 1</w:t>
            </w:r>
            <w:r w:rsidR="00550A44">
              <w:rPr>
                <w:bCs/>
                <w:kern w:val="24"/>
                <w:sz w:val="22"/>
                <w:szCs w:val="22"/>
              </w:rPr>
              <w:t xml:space="preserve"> </w:t>
            </w:r>
            <w:r>
              <w:rPr>
                <w:bCs/>
                <w:kern w:val="24"/>
                <w:sz w:val="22"/>
                <w:szCs w:val="22"/>
              </w:rPr>
              <w:t xml:space="preserve">4 </w:t>
            </w:r>
            <w:r w:rsidRPr="006F6F7B">
              <w:rPr>
                <w:bCs/>
                <w:kern w:val="24"/>
                <w:sz w:val="22"/>
                <w:szCs w:val="22"/>
              </w:rPr>
              <w:t>bins</w:t>
            </w:r>
          </w:p>
        </w:tc>
        <w:tc>
          <w:tcPr>
            <w:tcW w:w="99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0.11</w:t>
            </w:r>
          </w:p>
        </w:tc>
        <w:tc>
          <w:tcPr>
            <w:tcW w:w="108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0.09</w:t>
            </w:r>
          </w:p>
        </w:tc>
        <w:tc>
          <w:tcPr>
            <w:tcW w:w="117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0.08</w:t>
            </w:r>
          </w:p>
        </w:tc>
        <w:tc>
          <w:tcPr>
            <w:tcW w:w="108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0.07</w:t>
            </w:r>
          </w:p>
        </w:tc>
        <w:tc>
          <w:tcPr>
            <w:tcW w:w="126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0.16</w:t>
            </w:r>
          </w:p>
        </w:tc>
        <w:tc>
          <w:tcPr>
            <w:tcW w:w="990"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0.05</w:t>
            </w:r>
          </w:p>
        </w:tc>
        <w:tc>
          <w:tcPr>
            <w:tcW w:w="1008" w:type="dxa"/>
            <w:vAlign w:val="center"/>
          </w:tcPr>
          <w:p w:rsidR="00D41C55" w:rsidRPr="006F6F7B" w:rsidRDefault="00D41C55" w:rsidP="006F6F7B">
            <w:pPr>
              <w:pStyle w:val="NormalWeb"/>
              <w:spacing w:before="0" w:beforeAutospacing="0" w:after="0" w:afterAutospacing="0"/>
              <w:jc w:val="center"/>
              <w:rPr>
                <w:sz w:val="22"/>
                <w:szCs w:val="22"/>
              </w:rPr>
            </w:pPr>
            <w:r w:rsidRPr="006F6F7B">
              <w:rPr>
                <w:color w:val="000000" w:themeColor="dark1"/>
                <w:kern w:val="24"/>
                <w:sz w:val="22"/>
                <w:szCs w:val="22"/>
              </w:rPr>
              <w:t>0.05</w:t>
            </w:r>
          </w:p>
        </w:tc>
      </w:tr>
      <w:tr w:rsidR="006F6F7B" w:rsidTr="00550A44">
        <w:tc>
          <w:tcPr>
            <w:tcW w:w="1998" w:type="dxa"/>
          </w:tcPr>
          <w:p w:rsidR="006F6F7B" w:rsidRPr="006F6F7B" w:rsidRDefault="006F6F7B" w:rsidP="00550A44">
            <w:pPr>
              <w:pStyle w:val="NormalWeb"/>
              <w:spacing w:before="0" w:beforeAutospacing="0" w:after="0" w:afterAutospacing="0"/>
              <w:rPr>
                <w:sz w:val="22"/>
                <w:szCs w:val="22"/>
              </w:rPr>
            </w:pPr>
            <w:r>
              <w:rPr>
                <w:bCs/>
                <w:kern w:val="24"/>
                <w:sz w:val="22"/>
                <w:szCs w:val="22"/>
              </w:rPr>
              <w:t>Method 2</w:t>
            </w:r>
            <w:r w:rsidR="00550A44">
              <w:rPr>
                <w:bCs/>
                <w:kern w:val="24"/>
                <w:sz w:val="22"/>
                <w:szCs w:val="22"/>
              </w:rPr>
              <w:t xml:space="preserve"> </w:t>
            </w:r>
            <w:r w:rsidRPr="006F6F7B">
              <w:rPr>
                <w:bCs/>
                <w:kern w:val="24"/>
                <w:sz w:val="22"/>
                <w:szCs w:val="22"/>
              </w:rPr>
              <w:t>3</w:t>
            </w:r>
            <w:r>
              <w:rPr>
                <w:bCs/>
                <w:kern w:val="24"/>
                <w:sz w:val="22"/>
                <w:szCs w:val="22"/>
              </w:rPr>
              <w:t xml:space="preserve"> </w:t>
            </w:r>
            <w:r w:rsidRPr="006F6F7B">
              <w:rPr>
                <w:bCs/>
                <w:kern w:val="24"/>
                <w:sz w:val="22"/>
                <w:szCs w:val="22"/>
              </w:rPr>
              <w:t>bins</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0.01</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0.01</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0.00</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0.02</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0.04</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0.01</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0.00</w:t>
            </w:r>
          </w:p>
        </w:tc>
      </w:tr>
      <w:tr w:rsidR="006F6F7B" w:rsidTr="00550A44">
        <w:tc>
          <w:tcPr>
            <w:tcW w:w="1998" w:type="dxa"/>
          </w:tcPr>
          <w:p w:rsidR="006F6F7B" w:rsidRPr="006F6F7B" w:rsidRDefault="006F6F7B" w:rsidP="00550A44">
            <w:pPr>
              <w:pStyle w:val="NormalWeb"/>
              <w:spacing w:before="0" w:beforeAutospacing="0" w:after="0" w:afterAutospacing="0"/>
              <w:rPr>
                <w:sz w:val="22"/>
                <w:szCs w:val="22"/>
              </w:rPr>
            </w:pPr>
            <w:r>
              <w:rPr>
                <w:bCs/>
                <w:kern w:val="24"/>
                <w:sz w:val="22"/>
                <w:szCs w:val="22"/>
              </w:rPr>
              <w:t>Method 2</w:t>
            </w:r>
            <w:r w:rsidR="00550A44">
              <w:rPr>
                <w:bCs/>
                <w:kern w:val="24"/>
                <w:sz w:val="22"/>
                <w:szCs w:val="22"/>
              </w:rPr>
              <w:t xml:space="preserve"> </w:t>
            </w:r>
            <w:r>
              <w:rPr>
                <w:bCs/>
                <w:kern w:val="24"/>
                <w:sz w:val="22"/>
                <w:szCs w:val="22"/>
              </w:rPr>
              <w:t xml:space="preserve">4 </w:t>
            </w:r>
            <w:r w:rsidRPr="006F6F7B">
              <w:rPr>
                <w:bCs/>
                <w:kern w:val="24"/>
                <w:sz w:val="22"/>
                <w:szCs w:val="22"/>
              </w:rPr>
              <w:t>bins</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0.12</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0.09</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0.09</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0.08</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0.16</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0.07</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0.02</w:t>
            </w:r>
          </w:p>
        </w:tc>
      </w:tr>
      <w:tr w:rsidR="006F6F7B" w:rsidTr="00550A44">
        <w:tc>
          <w:tcPr>
            <w:tcW w:w="1998" w:type="dxa"/>
          </w:tcPr>
          <w:p w:rsidR="006F6F7B" w:rsidRPr="006F6F7B" w:rsidRDefault="006F6F7B" w:rsidP="00550A44">
            <w:pPr>
              <w:pStyle w:val="NormalWeb"/>
              <w:spacing w:before="0" w:beforeAutospacing="0" w:after="0" w:afterAutospacing="0"/>
              <w:rPr>
                <w:sz w:val="22"/>
                <w:szCs w:val="22"/>
              </w:rPr>
            </w:pPr>
            <w:r>
              <w:rPr>
                <w:bCs/>
                <w:kern w:val="24"/>
                <w:sz w:val="22"/>
                <w:szCs w:val="22"/>
              </w:rPr>
              <w:t xml:space="preserve">Method 3 </w:t>
            </w:r>
            <w:r w:rsidRPr="006F6F7B">
              <w:rPr>
                <w:bCs/>
                <w:kern w:val="24"/>
                <w:sz w:val="22"/>
                <w:szCs w:val="22"/>
              </w:rPr>
              <w:t>3</w:t>
            </w:r>
            <w:r>
              <w:rPr>
                <w:bCs/>
                <w:kern w:val="24"/>
                <w:sz w:val="22"/>
                <w:szCs w:val="22"/>
              </w:rPr>
              <w:t xml:space="preserve"> </w:t>
            </w:r>
            <w:r w:rsidRPr="006F6F7B">
              <w:rPr>
                <w:bCs/>
                <w:kern w:val="24"/>
                <w:sz w:val="22"/>
                <w:szCs w:val="22"/>
              </w:rPr>
              <w:t>bins</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0.11</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0.06</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0.08</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0.05</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0.16</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0.10</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0.04</w:t>
            </w:r>
          </w:p>
        </w:tc>
      </w:tr>
      <w:tr w:rsidR="006F6F7B" w:rsidTr="00550A44">
        <w:tc>
          <w:tcPr>
            <w:tcW w:w="1998" w:type="dxa"/>
          </w:tcPr>
          <w:p w:rsidR="006F6F7B" w:rsidRPr="006F6F7B" w:rsidRDefault="006F6F7B" w:rsidP="00550A44">
            <w:pPr>
              <w:pStyle w:val="NormalWeb"/>
              <w:spacing w:before="0" w:beforeAutospacing="0" w:after="0" w:afterAutospacing="0"/>
              <w:rPr>
                <w:sz w:val="22"/>
                <w:szCs w:val="22"/>
              </w:rPr>
            </w:pPr>
            <w:r>
              <w:rPr>
                <w:bCs/>
                <w:kern w:val="24"/>
                <w:sz w:val="22"/>
                <w:szCs w:val="22"/>
              </w:rPr>
              <w:t>Method 3</w:t>
            </w:r>
            <w:r w:rsidR="00550A44">
              <w:rPr>
                <w:bCs/>
                <w:kern w:val="24"/>
                <w:sz w:val="22"/>
                <w:szCs w:val="22"/>
              </w:rPr>
              <w:t xml:space="preserve"> </w:t>
            </w:r>
            <w:r>
              <w:rPr>
                <w:bCs/>
                <w:kern w:val="24"/>
                <w:sz w:val="22"/>
                <w:szCs w:val="22"/>
              </w:rPr>
              <w:t xml:space="preserve">4 </w:t>
            </w:r>
            <w:r w:rsidRPr="006F6F7B">
              <w:rPr>
                <w:bCs/>
                <w:kern w:val="24"/>
                <w:sz w:val="22"/>
                <w:szCs w:val="22"/>
              </w:rPr>
              <w:t>bins</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0.21</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0.12</w:t>
            </w:r>
          </w:p>
        </w:tc>
        <w:tc>
          <w:tcPr>
            <w:tcW w:w="117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0.17</w:t>
            </w:r>
          </w:p>
        </w:tc>
        <w:tc>
          <w:tcPr>
            <w:tcW w:w="108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0.11</w:t>
            </w:r>
          </w:p>
        </w:tc>
        <w:tc>
          <w:tcPr>
            <w:tcW w:w="126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0.25</w:t>
            </w:r>
          </w:p>
        </w:tc>
        <w:tc>
          <w:tcPr>
            <w:tcW w:w="990"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0.22</w:t>
            </w:r>
          </w:p>
        </w:tc>
        <w:tc>
          <w:tcPr>
            <w:tcW w:w="1008" w:type="dxa"/>
            <w:vAlign w:val="center"/>
          </w:tcPr>
          <w:p w:rsidR="006F6F7B" w:rsidRPr="006F6F7B" w:rsidRDefault="006F6F7B" w:rsidP="006F6F7B">
            <w:pPr>
              <w:pStyle w:val="NormalWeb"/>
              <w:spacing w:before="0" w:beforeAutospacing="0" w:after="0" w:afterAutospacing="0"/>
              <w:jc w:val="center"/>
              <w:rPr>
                <w:sz w:val="22"/>
                <w:szCs w:val="22"/>
              </w:rPr>
            </w:pPr>
            <w:r w:rsidRPr="006F6F7B">
              <w:rPr>
                <w:color w:val="000000" w:themeColor="dark1"/>
                <w:kern w:val="24"/>
                <w:sz w:val="22"/>
                <w:szCs w:val="22"/>
              </w:rPr>
              <w:t>0.07</w:t>
            </w:r>
          </w:p>
        </w:tc>
      </w:tr>
    </w:tbl>
    <w:p w:rsidR="000749A8" w:rsidRPr="00F1380F" w:rsidRDefault="000749A8" w:rsidP="00F1380F">
      <w:pPr>
        <w:pStyle w:val="Heading1"/>
        <w:ind w:left="360" w:hanging="360"/>
        <w:rPr>
          <w:lang w:val="en-CA"/>
        </w:rPr>
      </w:pPr>
      <w:r w:rsidRPr="00F1380F">
        <w:rPr>
          <w:lang w:val="en-CA"/>
        </w:rPr>
        <w:t>Conclusion</w:t>
      </w:r>
    </w:p>
    <w:p w:rsidR="000749A8" w:rsidRPr="005B217D" w:rsidRDefault="009B38D4" w:rsidP="009234A5">
      <w:pPr>
        <w:jc w:val="both"/>
        <w:rPr>
          <w:szCs w:val="22"/>
          <w:lang w:val="en-CA"/>
        </w:rPr>
      </w:pPr>
      <w:r>
        <w:rPr>
          <w:szCs w:val="22"/>
          <w:lang w:val="en-CA"/>
        </w:rPr>
        <w:t>In this contribution, several schemes are studied allowing 3 and 4 significant map context be calculated in parallel. Among all, last scheme with modified support has less holes and conditions to be checked, so we recommend method 3 for adoption in HM.</w:t>
      </w:r>
      <w:r w:rsidR="00CC33B3">
        <w:rPr>
          <w:szCs w:val="22"/>
          <w:lang w:val="en-CA"/>
        </w:rPr>
        <w:t xml:space="preserve"> The 3</w:t>
      </w:r>
      <w:r w:rsidR="0026109C">
        <w:rPr>
          <w:szCs w:val="22"/>
          <w:lang w:val="en-CA"/>
        </w:rPr>
        <w:t xml:space="preserve"> and 4</w:t>
      </w:r>
      <w:r w:rsidR="00CC33B3">
        <w:rPr>
          <w:szCs w:val="22"/>
          <w:lang w:val="en-CA"/>
        </w:rPr>
        <w:t xml:space="preserve"> bins case for method 3 has the same number of conditions than HM5.0.</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Pr="00F1380F" w:rsidRDefault="00F1380F" w:rsidP="00030123">
      <w:pPr>
        <w:jc w:val="both"/>
        <w:rPr>
          <w:szCs w:val="22"/>
        </w:rPr>
      </w:pPr>
      <w:r>
        <w:rPr>
          <w:b/>
          <w:szCs w:val="22"/>
          <w:lang w:val="en-CA"/>
        </w:rPr>
        <w:t>Qualcomm</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sectPr w:rsidR="007F1F8B" w:rsidRPr="00F1380F" w:rsidSect="00A01439">
      <w:footerReference w:type="default" r:id="rId3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8FD" w:rsidRDefault="001F58FD">
      <w:r>
        <w:separator/>
      </w:r>
    </w:p>
  </w:endnote>
  <w:endnote w:type="continuationSeparator" w:id="0">
    <w:p w:rsidR="001F58FD" w:rsidRDefault="001F5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C31777">
      <w:rPr>
        <w:rStyle w:val="PageNumber"/>
      </w:rPr>
      <w:fldChar w:fldCharType="begin"/>
    </w:r>
    <w:r>
      <w:rPr>
        <w:rStyle w:val="PageNumber"/>
      </w:rPr>
      <w:instrText xml:space="preserve"> PAGE </w:instrText>
    </w:r>
    <w:r w:rsidR="00C31777">
      <w:rPr>
        <w:rStyle w:val="PageNumber"/>
      </w:rPr>
      <w:fldChar w:fldCharType="separate"/>
    </w:r>
    <w:r w:rsidR="00012D91">
      <w:rPr>
        <w:rStyle w:val="PageNumber"/>
        <w:noProof/>
      </w:rPr>
      <w:t>1</w:t>
    </w:r>
    <w:r w:rsidR="00C31777">
      <w:rPr>
        <w:rStyle w:val="PageNumber"/>
      </w:rPr>
      <w:fldChar w:fldCharType="end"/>
    </w:r>
    <w:r>
      <w:rPr>
        <w:rStyle w:val="PageNumber"/>
      </w:rPr>
      <w:tab/>
      <w:t xml:space="preserve">Date Saved: </w:t>
    </w:r>
    <w:r w:rsidR="00C31777">
      <w:rPr>
        <w:rStyle w:val="PageNumber"/>
      </w:rPr>
      <w:fldChar w:fldCharType="begin"/>
    </w:r>
    <w:r>
      <w:rPr>
        <w:rStyle w:val="PageNumber"/>
      </w:rPr>
      <w:instrText xml:space="preserve"> SAVEDATE  \@ "yyyy-MM-dd"  \* MERGEFORMAT </w:instrText>
    </w:r>
    <w:r w:rsidR="00C31777">
      <w:rPr>
        <w:rStyle w:val="PageNumber"/>
      </w:rPr>
      <w:fldChar w:fldCharType="separate"/>
    </w:r>
    <w:r w:rsidR="00012D91">
      <w:rPr>
        <w:rStyle w:val="PageNumber"/>
        <w:noProof/>
      </w:rPr>
      <w:t>2012-01-20</w:t>
    </w:r>
    <w:r w:rsidR="00C31777">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8FD" w:rsidRDefault="001F58FD">
      <w:r>
        <w:separator/>
      </w:r>
    </w:p>
  </w:footnote>
  <w:footnote w:type="continuationSeparator" w:id="0">
    <w:p w:rsidR="001F58FD" w:rsidRDefault="001F58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8"/>
  </w:num>
  <w:num w:numId="3">
    <w:abstractNumId w:val="7"/>
  </w:num>
  <w:num w:numId="4">
    <w:abstractNumId w:val="5"/>
  </w:num>
  <w:num w:numId="5">
    <w:abstractNumId w:val="6"/>
  </w:num>
  <w:num w:numId="6">
    <w:abstractNumId w:val="3"/>
  </w:num>
  <w:num w:numId="7">
    <w:abstractNumId w:val="4"/>
  </w:num>
  <w:num w:numId="8">
    <w:abstractNumId w:val="3"/>
  </w:num>
  <w:num w:numId="9">
    <w:abstractNumId w:val="1"/>
  </w:num>
  <w:num w:numId="10">
    <w:abstractNumId w:val="2"/>
  </w:num>
  <w:num w:numId="11">
    <w:abstractNumId w:val="3"/>
  </w:num>
  <w:num w:numId="12">
    <w:abstractNumId w:val="3"/>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2D91"/>
    <w:rsid w:val="00030123"/>
    <w:rsid w:val="000458BC"/>
    <w:rsid w:val="00045C41"/>
    <w:rsid w:val="00046C03"/>
    <w:rsid w:val="000749A8"/>
    <w:rsid w:val="0007614F"/>
    <w:rsid w:val="00094B54"/>
    <w:rsid w:val="000B1C6B"/>
    <w:rsid w:val="000C09AC"/>
    <w:rsid w:val="000E00F3"/>
    <w:rsid w:val="000F158C"/>
    <w:rsid w:val="00102F3D"/>
    <w:rsid w:val="0011268F"/>
    <w:rsid w:val="00124E38"/>
    <w:rsid w:val="0012580B"/>
    <w:rsid w:val="0013526E"/>
    <w:rsid w:val="00166E84"/>
    <w:rsid w:val="00171371"/>
    <w:rsid w:val="00175A24"/>
    <w:rsid w:val="00187E58"/>
    <w:rsid w:val="001A297E"/>
    <w:rsid w:val="001A368E"/>
    <w:rsid w:val="001A7329"/>
    <w:rsid w:val="001B4E28"/>
    <w:rsid w:val="001C3525"/>
    <w:rsid w:val="001D1BD2"/>
    <w:rsid w:val="001D5119"/>
    <w:rsid w:val="001E02BE"/>
    <w:rsid w:val="001E3B37"/>
    <w:rsid w:val="001F2594"/>
    <w:rsid w:val="001F58FD"/>
    <w:rsid w:val="002055A6"/>
    <w:rsid w:val="00206460"/>
    <w:rsid w:val="002069B4"/>
    <w:rsid w:val="00215DFC"/>
    <w:rsid w:val="002212DF"/>
    <w:rsid w:val="00227BA7"/>
    <w:rsid w:val="0026109C"/>
    <w:rsid w:val="00263398"/>
    <w:rsid w:val="00266F99"/>
    <w:rsid w:val="00275BCF"/>
    <w:rsid w:val="00292257"/>
    <w:rsid w:val="002A54E0"/>
    <w:rsid w:val="002B1595"/>
    <w:rsid w:val="002B191D"/>
    <w:rsid w:val="002D0AF6"/>
    <w:rsid w:val="002F0EBB"/>
    <w:rsid w:val="002F164D"/>
    <w:rsid w:val="00306206"/>
    <w:rsid w:val="00317D85"/>
    <w:rsid w:val="00327C56"/>
    <w:rsid w:val="003315A1"/>
    <w:rsid w:val="003373EC"/>
    <w:rsid w:val="00342FF4"/>
    <w:rsid w:val="003706CC"/>
    <w:rsid w:val="00381347"/>
    <w:rsid w:val="003A2D8E"/>
    <w:rsid w:val="003C20E4"/>
    <w:rsid w:val="003D3EA8"/>
    <w:rsid w:val="003E6F90"/>
    <w:rsid w:val="003F5D0F"/>
    <w:rsid w:val="00414101"/>
    <w:rsid w:val="00433DDB"/>
    <w:rsid w:val="00437619"/>
    <w:rsid w:val="00494390"/>
    <w:rsid w:val="004A2A63"/>
    <w:rsid w:val="004B0CA2"/>
    <w:rsid w:val="004B210C"/>
    <w:rsid w:val="004C50DE"/>
    <w:rsid w:val="004D405F"/>
    <w:rsid w:val="004E4F4F"/>
    <w:rsid w:val="004E6789"/>
    <w:rsid w:val="004F61E3"/>
    <w:rsid w:val="0051015C"/>
    <w:rsid w:val="00516CF1"/>
    <w:rsid w:val="00531AE9"/>
    <w:rsid w:val="00550A44"/>
    <w:rsid w:val="00550A66"/>
    <w:rsid w:val="00567EC7"/>
    <w:rsid w:val="00570013"/>
    <w:rsid w:val="00572A34"/>
    <w:rsid w:val="005801A2"/>
    <w:rsid w:val="005934C0"/>
    <w:rsid w:val="005952A5"/>
    <w:rsid w:val="005A33A1"/>
    <w:rsid w:val="005B217D"/>
    <w:rsid w:val="005C385F"/>
    <w:rsid w:val="005E6E0F"/>
    <w:rsid w:val="005F6F1B"/>
    <w:rsid w:val="00624B33"/>
    <w:rsid w:val="00630AA2"/>
    <w:rsid w:val="00643EFA"/>
    <w:rsid w:val="00646707"/>
    <w:rsid w:val="00662E58"/>
    <w:rsid w:val="00664DCF"/>
    <w:rsid w:val="006C5D39"/>
    <w:rsid w:val="006D3D82"/>
    <w:rsid w:val="006E2810"/>
    <w:rsid w:val="006E5417"/>
    <w:rsid w:val="006F6F7B"/>
    <w:rsid w:val="00712F60"/>
    <w:rsid w:val="00720E3B"/>
    <w:rsid w:val="00745F6B"/>
    <w:rsid w:val="0075585E"/>
    <w:rsid w:val="00770571"/>
    <w:rsid w:val="007768FF"/>
    <w:rsid w:val="007824D3"/>
    <w:rsid w:val="00796EE3"/>
    <w:rsid w:val="007A7D29"/>
    <w:rsid w:val="007B4AB8"/>
    <w:rsid w:val="007C6B00"/>
    <w:rsid w:val="007F1F8B"/>
    <w:rsid w:val="007F67A1"/>
    <w:rsid w:val="008206C8"/>
    <w:rsid w:val="00837593"/>
    <w:rsid w:val="00874A6C"/>
    <w:rsid w:val="00876C65"/>
    <w:rsid w:val="008A4B4C"/>
    <w:rsid w:val="008C239F"/>
    <w:rsid w:val="008E480C"/>
    <w:rsid w:val="00907757"/>
    <w:rsid w:val="009212B0"/>
    <w:rsid w:val="009234A5"/>
    <w:rsid w:val="009336F7"/>
    <w:rsid w:val="009374A7"/>
    <w:rsid w:val="00953B93"/>
    <w:rsid w:val="00962F3C"/>
    <w:rsid w:val="0098551D"/>
    <w:rsid w:val="0099518F"/>
    <w:rsid w:val="009A523D"/>
    <w:rsid w:val="009B38D4"/>
    <w:rsid w:val="009D7BFB"/>
    <w:rsid w:val="009F496B"/>
    <w:rsid w:val="009F5508"/>
    <w:rsid w:val="00A01439"/>
    <w:rsid w:val="00A02E61"/>
    <w:rsid w:val="00A05CFF"/>
    <w:rsid w:val="00A455FF"/>
    <w:rsid w:val="00A56B97"/>
    <w:rsid w:val="00A6093D"/>
    <w:rsid w:val="00A76A6D"/>
    <w:rsid w:val="00A83253"/>
    <w:rsid w:val="00AA6E84"/>
    <w:rsid w:val="00AE341B"/>
    <w:rsid w:val="00B07CA7"/>
    <w:rsid w:val="00B1279A"/>
    <w:rsid w:val="00B5222E"/>
    <w:rsid w:val="00B61C96"/>
    <w:rsid w:val="00B73A2A"/>
    <w:rsid w:val="00B94B06"/>
    <w:rsid w:val="00B94C28"/>
    <w:rsid w:val="00BA6305"/>
    <w:rsid w:val="00BC10BA"/>
    <w:rsid w:val="00BC5AFD"/>
    <w:rsid w:val="00BF3339"/>
    <w:rsid w:val="00C04F43"/>
    <w:rsid w:val="00C0609D"/>
    <w:rsid w:val="00C115AB"/>
    <w:rsid w:val="00C27261"/>
    <w:rsid w:val="00C30249"/>
    <w:rsid w:val="00C31777"/>
    <w:rsid w:val="00C3723B"/>
    <w:rsid w:val="00C606C9"/>
    <w:rsid w:val="00C80288"/>
    <w:rsid w:val="00C90650"/>
    <w:rsid w:val="00C9226C"/>
    <w:rsid w:val="00C97D78"/>
    <w:rsid w:val="00CC2AAE"/>
    <w:rsid w:val="00CC33B3"/>
    <w:rsid w:val="00CC5A42"/>
    <w:rsid w:val="00CD0EAB"/>
    <w:rsid w:val="00CD74FF"/>
    <w:rsid w:val="00CE3E1B"/>
    <w:rsid w:val="00CF34DB"/>
    <w:rsid w:val="00CF558F"/>
    <w:rsid w:val="00D073E2"/>
    <w:rsid w:val="00D11F74"/>
    <w:rsid w:val="00D2104C"/>
    <w:rsid w:val="00D41C55"/>
    <w:rsid w:val="00D446EC"/>
    <w:rsid w:val="00D51BF0"/>
    <w:rsid w:val="00D55942"/>
    <w:rsid w:val="00D61E2B"/>
    <w:rsid w:val="00D807BF"/>
    <w:rsid w:val="00DA5CF4"/>
    <w:rsid w:val="00DA7887"/>
    <w:rsid w:val="00DB2C26"/>
    <w:rsid w:val="00DD5BF3"/>
    <w:rsid w:val="00DE6B43"/>
    <w:rsid w:val="00E11923"/>
    <w:rsid w:val="00E262D4"/>
    <w:rsid w:val="00E36250"/>
    <w:rsid w:val="00E408AE"/>
    <w:rsid w:val="00E4363C"/>
    <w:rsid w:val="00E54511"/>
    <w:rsid w:val="00E61DAC"/>
    <w:rsid w:val="00E75FE3"/>
    <w:rsid w:val="00EB7AB1"/>
    <w:rsid w:val="00EF48CC"/>
    <w:rsid w:val="00F1380F"/>
    <w:rsid w:val="00F14BBF"/>
    <w:rsid w:val="00F45961"/>
    <w:rsid w:val="00F73032"/>
    <w:rsid w:val="00F848FC"/>
    <w:rsid w:val="00F9282A"/>
    <w:rsid w:val="00F96BAD"/>
    <w:rsid w:val="00FB0E84"/>
    <w:rsid w:val="00FC2CC8"/>
    <w:rsid w:val="00FD01C2"/>
    <w:rsid w:val="00FE2D39"/>
    <w:rsid w:val="00FE7198"/>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6F99"/>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3D3EA8"/>
  </w:style>
  <w:style w:type="table" w:styleId="TableGrid">
    <w:name w:val="Table Grid"/>
    <w:basedOn w:val="TableNormal"/>
    <w:rsid w:val="00D41C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41C55"/>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6F99"/>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3D3EA8"/>
  </w:style>
  <w:style w:type="table" w:styleId="TableGrid">
    <w:name w:val="Table Grid"/>
    <w:basedOn w:val="TableNormal"/>
    <w:rsid w:val="00D41C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41C55"/>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1336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tak@qualcomm.com" TargetMode="External"/><Relationship Id="rId18" Type="http://schemas.openxmlformats.org/officeDocument/2006/relationships/image" Target="media/image5.emf"/><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oels@qualcomm.com" TargetMode="Externa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seregin@qualcomm.com" TargetMode="External"/><Relationship Id="rId24" Type="http://schemas.openxmlformats.org/officeDocument/2006/relationships/image" Target="media/image8.emf"/><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0.emf"/><Relationship Id="rId10" Type="http://schemas.openxmlformats.org/officeDocument/2006/relationships/image" Target="media/image2.png"/><Relationship Id="rId19" Type="http://schemas.openxmlformats.org/officeDocument/2006/relationships/oleObject" Target="embeddings/oleObject3.bin"/><Relationship Id="rId31" Type="http://schemas.openxmlformats.org/officeDocument/2006/relationships/oleObject" Target="embeddings/oleObject9.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emf"/><Relationship Id="rId22" Type="http://schemas.openxmlformats.org/officeDocument/2006/relationships/image" Target="media/image7.emf"/><Relationship Id="rId27" Type="http://schemas.openxmlformats.org/officeDocument/2006/relationships/oleObject" Target="embeddings/oleObject7.bin"/><Relationship Id="rId30" Type="http://schemas.openxmlformats.org/officeDocument/2006/relationships/image" Target="media/image1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80616-0D2B-403A-97DF-4C4F5757D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1163</Words>
  <Characters>6634</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7782</CharactersWithSpaces>
  <SharedDoc>false</SharedDoc>
  <HLinks>
    <vt:vector size="18" baseType="variant">
      <vt:variant>
        <vt:i4>4784235</vt:i4>
      </vt:variant>
      <vt:variant>
        <vt:i4>6</vt:i4>
      </vt:variant>
      <vt:variant>
        <vt:i4>0</vt:i4>
      </vt:variant>
      <vt:variant>
        <vt:i4>5</vt:i4>
      </vt:variant>
      <vt:variant>
        <vt:lpwstr>mailto:martak@qualcomm.com</vt:lpwstr>
      </vt:variant>
      <vt:variant>
        <vt:lpwstr/>
      </vt:variant>
      <vt:variant>
        <vt:i4>4259953</vt:i4>
      </vt:variant>
      <vt:variant>
        <vt:i4>3</vt:i4>
      </vt:variant>
      <vt:variant>
        <vt:i4>0</vt:i4>
      </vt:variant>
      <vt:variant>
        <vt:i4>5</vt:i4>
      </vt:variant>
      <vt:variant>
        <vt:lpwstr>mailto:joels@qualcomm.com</vt:lpwstr>
      </vt:variant>
      <vt:variant>
        <vt:lpwstr/>
      </vt:variant>
      <vt:variant>
        <vt:i4>2621469</vt:i4>
      </vt:variant>
      <vt:variant>
        <vt:i4>0</vt:i4>
      </vt:variant>
      <vt:variant>
        <vt:i4>0</vt:i4>
      </vt:variant>
      <vt:variant>
        <vt:i4>5</vt:i4>
      </vt:variant>
      <vt:variant>
        <vt:lpwstr>mailto:vseregin@qualcomm.com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Vadim Seregin</cp:lastModifiedBy>
  <cp:revision>2</cp:revision>
  <cp:lastPrinted>2012-01-20T06:23:00Z</cp:lastPrinted>
  <dcterms:created xsi:type="dcterms:W3CDTF">2012-01-21T01:46:00Z</dcterms:created>
  <dcterms:modified xsi:type="dcterms:W3CDTF">2012-01-21T01:46:00Z</dcterms:modified>
</cp:coreProperties>
</file>