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F" w:rsidRPr="007A08CB" w:rsidRDefault="00E4464F" w:rsidP="00E4464F">
      <w:pPr>
        <w:pBdr>
          <w:bottom w:val="single" w:sz="6" w:space="1" w:color="auto"/>
        </w:pBdr>
        <w:rPr>
          <w:b/>
          <w:sz w:val="32"/>
          <w:szCs w:val="32"/>
        </w:rPr>
      </w:pPr>
      <w:r w:rsidRPr="007A08CB">
        <w:rPr>
          <w:b/>
          <w:sz w:val="32"/>
          <w:szCs w:val="32"/>
        </w:rPr>
        <w:t>Changes to Working Draft for CABAC HTB</w:t>
      </w:r>
    </w:p>
    <w:p w:rsidR="00E4464F" w:rsidRDefault="00E4464F" w:rsidP="00E4464F">
      <w:pPr>
        <w:pBdr>
          <w:bottom w:val="single" w:sz="6" w:space="1" w:color="auto"/>
        </w:pBdr>
      </w:pPr>
    </w:p>
    <w:p w:rsidR="007A08CB" w:rsidRDefault="007A08CB" w:rsidP="00E4464F">
      <w:pPr>
        <w:pBdr>
          <w:bottom w:val="single" w:sz="6" w:space="1" w:color="auto"/>
        </w:pBdr>
      </w:pPr>
    </w:p>
    <w:p w:rsidR="00E4464F" w:rsidRDefault="00E4464F">
      <w:r>
        <w:t xml:space="preserve">Syntax element </w:t>
      </w:r>
      <w:proofErr w:type="spellStart"/>
      <w:r>
        <w:t>high_throughput_binarizarion_flag</w:t>
      </w:r>
      <w:proofErr w:type="spellEnd"/>
      <w:r>
        <w:t xml:space="preserve"> is added to the syntax description in “7.3.3 Slice Header Syntax” as follows:</w:t>
      </w:r>
    </w:p>
    <w:p w:rsidR="00E4464F" w:rsidRPr="00E4464F" w:rsidRDefault="00E4464F">
      <w:pPr>
        <w:rPr>
          <w:b/>
        </w:rPr>
      </w:pP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0"/>
        <w:gridCol w:w="1127"/>
      </w:tblGrid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E4464F" w:rsidRDefault="00E4464F" w:rsidP="00E4464F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210652">
              <w:rPr>
                <w:rFonts w:ascii="Times New Roman" w:hAnsi="Times New Roman"/>
                <w:lang w:eastAsia="ko-KR"/>
              </w:rPr>
              <w:tab/>
            </w:r>
            <w:r w:rsidRPr="00210652">
              <w:rPr>
                <w:rFonts w:ascii="Times New Roman" w:hAnsi="Times New Roman"/>
                <w:lang w:eastAsia="ko-KR"/>
              </w:rPr>
              <w:tab/>
            </w:r>
            <w:r w:rsidRPr="00E4464F">
              <w:rPr>
                <w:rFonts w:ascii="Times New Roman" w:hAnsi="Times New Roman"/>
                <w:b/>
                <w:lang w:eastAsia="ko-KR"/>
              </w:rPr>
              <w:t>…</w:t>
            </w:r>
          </w:p>
        </w:tc>
        <w:tc>
          <w:tcPr>
            <w:tcW w:w="1127" w:type="dxa"/>
          </w:tcPr>
          <w:p w:rsidR="00E4464F" w:rsidRPr="00E4464F" w:rsidRDefault="00E4464F" w:rsidP="00E2072B">
            <w:pPr>
              <w:pStyle w:val="tablecell"/>
              <w:rPr>
                <w:b/>
              </w:rPr>
            </w:pPr>
            <w:r w:rsidRPr="00E4464F">
              <w:rPr>
                <w:b/>
              </w:rPr>
              <w:t>…</w:t>
            </w: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210652" w:rsidRDefault="00E4464F" w:rsidP="00E2072B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210652">
              <w:rPr>
                <w:rFonts w:ascii="Times New Roman" w:hAnsi="Times New Roman"/>
                <w:lang w:eastAsia="ko-KR"/>
              </w:rPr>
              <w:tab/>
            </w:r>
            <w:r w:rsidRPr="00210652">
              <w:rPr>
                <w:rFonts w:ascii="Times New Roman" w:hAnsi="Times New Roman"/>
                <w:lang w:eastAsia="ko-KR"/>
              </w:rPr>
              <w:tab/>
            </w:r>
            <w:r w:rsidRPr="00210652">
              <w:rPr>
                <w:rFonts w:ascii="Times New Roman" w:hAnsi="Times New Roman"/>
                <w:lang w:eastAsia="ko-KR"/>
              </w:rPr>
              <w:tab/>
            </w:r>
            <w:r w:rsidRPr="00210652">
              <w:rPr>
                <w:rFonts w:ascii="Times New Roman" w:hAnsi="Times New Roman"/>
                <w:b/>
                <w:lang w:eastAsia="ko-KR"/>
              </w:rPr>
              <w:t>collocated_from_l0_flag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  <w:r w:rsidRPr="00210652">
              <w:rPr>
                <w:lang w:eastAsia="ko-KR"/>
              </w:rPr>
              <w:t>u(1)</w:t>
            </w: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E8461A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E8461A">
              <w:rPr>
                <w:rFonts w:ascii="Times New Roman" w:hAnsi="Times New Roman"/>
                <w:lang w:eastAsia="ko-KR"/>
              </w:rPr>
              <w:tab/>
            </w:r>
            <w:r w:rsidRPr="00E8461A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E8461A">
              <w:rPr>
                <w:rFonts w:ascii="Times New Roman" w:hAnsi="Times New Roman"/>
                <w:lang w:eastAsia="ko-KR"/>
              </w:rPr>
              <w:t>adaptive_loop_filter_enabled_flag</w:t>
            </w:r>
            <w:proofErr w:type="spellEnd"/>
            <w:r w:rsidRPr="00265AC3">
              <w:rPr>
                <w:rFonts w:ascii="Times New Roman" w:eastAsia="PMingLiU" w:hAnsi="Times New Roman" w:hint="eastAsia"/>
                <w:lang w:val="en-US" w:eastAsia="zh-TW"/>
              </w:rPr>
              <w:t xml:space="preserve"> &amp;&amp; </w:t>
            </w:r>
            <w:proofErr w:type="spellStart"/>
            <w:r w:rsidRPr="00265AC3">
              <w:rPr>
                <w:rFonts w:ascii="Times New Roman" w:eastAsia="PMingLiU" w:hAnsi="Times New Roman" w:hint="eastAsia"/>
                <w:lang w:val="en-US" w:eastAsia="zh-TW"/>
              </w:rPr>
              <w:t>aps_adaptive_loop_filter_flag</w:t>
            </w:r>
            <w:proofErr w:type="spellEnd"/>
            <w:r w:rsidRPr="00E8461A">
              <w:rPr>
                <w:rFonts w:ascii="Times New Roman" w:hAnsi="Times New Roman"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210652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210652">
              <w:rPr>
                <w:rFonts w:ascii="Times New Roman" w:hAnsi="Times New Roman"/>
                <w:lang w:eastAsia="ko-KR"/>
              </w:rPr>
              <w:tab/>
            </w:r>
            <w:r w:rsidRPr="00210652">
              <w:rPr>
                <w:rFonts w:ascii="Times New Roman" w:hAnsi="Times New Roman"/>
                <w:lang w:eastAsia="ko-KR"/>
              </w:rPr>
              <w:tab/>
            </w:r>
            <w:r w:rsidRPr="00210652">
              <w:rPr>
                <w:rFonts w:ascii="Times New Roman" w:hAnsi="Times New Roman"/>
                <w:lang w:eastAsia="ko-KR"/>
              </w:rPr>
              <w:tab/>
            </w:r>
            <w:proofErr w:type="spellStart"/>
            <w:r>
              <w:rPr>
                <w:rFonts w:ascii="Times New Roman" w:hAnsi="Times New Roman"/>
                <w:lang w:eastAsia="ko-KR"/>
              </w:rPr>
              <w:t>byte_align</w:t>
            </w:r>
            <w:proofErr w:type="spellEnd"/>
            <w:r>
              <w:rPr>
                <w:rFonts w:ascii="Times New Roman" w:hAnsi="Times New Roman"/>
                <w:lang w:eastAsia="ko-KR"/>
              </w:rPr>
              <w:t>( )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E8461A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E8461A">
              <w:rPr>
                <w:rFonts w:ascii="Times New Roman" w:hAnsi="Times New Roman"/>
                <w:lang w:eastAsia="ko-KR"/>
              </w:rPr>
              <w:tab/>
            </w:r>
            <w:r w:rsidRPr="00E8461A">
              <w:rPr>
                <w:rFonts w:ascii="Times New Roman" w:hAnsi="Times New Roman"/>
                <w:lang w:eastAsia="ko-KR"/>
              </w:rPr>
              <w:tab/>
            </w:r>
            <w:r w:rsidRPr="00E8461A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E8461A">
              <w:rPr>
                <w:rFonts w:ascii="Times New Roman" w:hAnsi="Times New Roman"/>
                <w:lang w:eastAsia="ko-KR"/>
              </w:rPr>
              <w:t>alf_cu_control_param</w:t>
            </w:r>
            <w:proofErr w:type="spellEnd"/>
            <w:r w:rsidRPr="00E8461A">
              <w:rPr>
                <w:rFonts w:ascii="Times New Roman" w:hAnsi="Times New Roman"/>
                <w:lang w:eastAsia="ko-KR"/>
              </w:rPr>
              <w:t>( )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E8461A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proofErr w:type="spellStart"/>
            <w:r>
              <w:rPr>
                <w:rFonts w:ascii="Times New Roman" w:hAnsi="Times New Roman"/>
                <w:lang w:eastAsia="ko-KR"/>
              </w:rPr>
              <w:t>byte_align</w:t>
            </w:r>
            <w:proofErr w:type="spellEnd"/>
            <w:r>
              <w:rPr>
                <w:rFonts w:ascii="Times New Roman" w:hAnsi="Times New Roman"/>
                <w:lang w:eastAsia="ko-KR"/>
              </w:rPr>
              <w:t>( )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E8461A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E8461A">
              <w:rPr>
                <w:rFonts w:ascii="Times New Roman" w:hAnsi="Times New Roman"/>
                <w:lang w:eastAsia="ko-KR"/>
              </w:rPr>
              <w:tab/>
            </w:r>
            <w:r w:rsidRPr="00E8461A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E8461A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4C0B15">
              <w:tab/>
            </w:r>
            <w:r w:rsidRPr="004C0B15">
              <w:rPr>
                <w:rFonts w:hint="eastAsia"/>
                <w:lang w:val="en-US" w:eastAsia="ko-KR"/>
              </w:rPr>
              <w:tab/>
            </w:r>
            <w:r w:rsidRPr="004C0B15">
              <w:t xml:space="preserve">if( ( </w:t>
            </w:r>
            <w:proofErr w:type="spellStart"/>
            <w:r w:rsidRPr="004C0B15">
              <w:t>weighted_pred_flag</w:t>
            </w:r>
            <w:proofErr w:type="spellEnd"/>
            <w:r w:rsidRPr="004C0B15">
              <w:t xml:space="preserve">  &amp;&amp;   </w:t>
            </w:r>
            <w:proofErr w:type="spellStart"/>
            <w:r w:rsidRPr="004C0B15">
              <w:rPr>
                <w:lang w:eastAsia="ja-JP"/>
              </w:rPr>
              <w:t>slice_type</w:t>
            </w:r>
            <w:proofErr w:type="spellEnd"/>
            <w:r w:rsidRPr="004C0B15">
              <w:rPr>
                <w:lang w:eastAsia="ja-JP"/>
              </w:rPr>
              <w:t xml:space="preserve"> </w:t>
            </w:r>
            <w:r w:rsidRPr="004C0B15">
              <w:t>= = P)  | |</w:t>
            </w:r>
            <w:r w:rsidRPr="004C0B15">
              <w:br/>
            </w:r>
            <w:r w:rsidRPr="004C0B15">
              <w:tab/>
            </w:r>
            <w:r w:rsidRPr="004C0B15">
              <w:tab/>
            </w:r>
            <w:r w:rsidRPr="004C0B15">
              <w:rPr>
                <w:rFonts w:hint="eastAsia"/>
                <w:lang w:val="en-US" w:eastAsia="ko-KR"/>
              </w:rPr>
              <w:tab/>
            </w:r>
            <w:r w:rsidRPr="004C0B15">
              <w:t xml:space="preserve"> ( </w:t>
            </w:r>
            <w:proofErr w:type="spellStart"/>
            <w:r w:rsidRPr="004C0B15">
              <w:t>weighted_bipred_idc</w:t>
            </w:r>
            <w:proofErr w:type="spellEnd"/>
            <w:r w:rsidRPr="004C0B15">
              <w:t xml:space="preserve">  = =  1  &amp;&amp;  </w:t>
            </w:r>
            <w:proofErr w:type="spellStart"/>
            <w:r w:rsidRPr="004C0B15">
              <w:t>slice_type</w:t>
            </w:r>
            <w:proofErr w:type="spellEnd"/>
            <w:r w:rsidRPr="004C0B15">
              <w:t xml:space="preserve">  = =  B ) )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E8461A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4C0B15">
              <w:tab/>
            </w:r>
            <w:r w:rsidRPr="004C0B15">
              <w:tab/>
            </w:r>
            <w:r w:rsidRPr="004C0B15">
              <w:rPr>
                <w:rFonts w:hint="eastAsia"/>
                <w:lang w:val="en-US" w:eastAsia="ko-KR"/>
              </w:rPr>
              <w:tab/>
            </w:r>
            <w:proofErr w:type="spellStart"/>
            <w:r w:rsidRPr="004C0B15">
              <w:t>pred_weight_table</w:t>
            </w:r>
            <w:proofErr w:type="spellEnd"/>
            <w:r w:rsidRPr="004C0B15">
              <w:t>( )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210652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210652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</w:p>
        </w:tc>
      </w:tr>
      <w:tr w:rsidR="00E4464F" w:rsidRPr="00E2072B" w:rsidTr="00E2072B">
        <w:trPr>
          <w:cantSplit/>
          <w:jc w:val="center"/>
        </w:trPr>
        <w:tc>
          <w:tcPr>
            <w:tcW w:w="7110" w:type="dxa"/>
          </w:tcPr>
          <w:p w:rsidR="00E4464F" w:rsidRPr="00E2072B" w:rsidRDefault="00E4464F" w:rsidP="00E2072B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E2072B">
              <w:rPr>
                <w:rFonts w:ascii="Times New Roman" w:hAnsi="Times New Roman"/>
                <w:highlight w:val="yellow"/>
                <w:lang w:eastAsia="ko-KR"/>
              </w:rPr>
              <w:tab/>
              <w:t xml:space="preserve">if( </w:t>
            </w:r>
            <w:proofErr w:type="spellStart"/>
            <w:r w:rsidRPr="00E2072B">
              <w:rPr>
                <w:rFonts w:ascii="Times New Roman" w:hAnsi="Times New Roman"/>
                <w:highlight w:val="yellow"/>
                <w:lang w:eastAsia="ko-KR"/>
              </w:rPr>
              <w:t>first_slice_in_pic_flag</w:t>
            </w:r>
            <w:proofErr w:type="spellEnd"/>
            <w:r w:rsidRPr="00E2072B">
              <w:rPr>
                <w:rFonts w:ascii="Times New Roman" w:hAnsi="Times New Roman"/>
                <w:highlight w:val="yellow"/>
                <w:lang w:eastAsia="ko-KR"/>
              </w:rPr>
              <w:t xml:space="preserve"> == 0 )</w:t>
            </w:r>
          </w:p>
        </w:tc>
        <w:tc>
          <w:tcPr>
            <w:tcW w:w="1127" w:type="dxa"/>
          </w:tcPr>
          <w:p w:rsidR="00E4464F" w:rsidRPr="00E2072B" w:rsidRDefault="00E4464F" w:rsidP="00E2072B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E4464F" w:rsidRPr="00E2072B" w:rsidTr="00E2072B">
        <w:trPr>
          <w:cantSplit/>
          <w:jc w:val="center"/>
        </w:trPr>
        <w:tc>
          <w:tcPr>
            <w:tcW w:w="7110" w:type="dxa"/>
          </w:tcPr>
          <w:p w:rsidR="00E4464F" w:rsidRPr="00E2072B" w:rsidRDefault="00E4464F" w:rsidP="00E2072B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E2072B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E2072B">
              <w:rPr>
                <w:rFonts w:ascii="Times New Roman" w:hAnsi="Times New Roman"/>
                <w:highlight w:val="yellow"/>
                <w:lang w:eastAsia="ko-KR"/>
              </w:rPr>
              <w:tab/>
            </w:r>
            <w:proofErr w:type="spellStart"/>
            <w:r w:rsidRPr="00E2072B">
              <w:rPr>
                <w:rFonts w:ascii="Times New Roman" w:hAnsi="Times New Roman"/>
                <w:b/>
                <w:highlight w:val="yellow"/>
                <w:lang w:eastAsia="ko-KR"/>
              </w:rPr>
              <w:t>high_throughput_binarization_flag</w:t>
            </w:r>
            <w:proofErr w:type="spellEnd"/>
          </w:p>
        </w:tc>
        <w:tc>
          <w:tcPr>
            <w:tcW w:w="1127" w:type="dxa"/>
          </w:tcPr>
          <w:p w:rsidR="00E4464F" w:rsidRPr="00E2072B" w:rsidRDefault="00E4464F" w:rsidP="00E2072B">
            <w:pPr>
              <w:pStyle w:val="tablecell"/>
              <w:rPr>
                <w:highlight w:val="yellow"/>
                <w:lang w:eastAsia="ko-KR"/>
              </w:rPr>
            </w:pPr>
            <w:r w:rsidRPr="00E2072B">
              <w:rPr>
                <w:highlight w:val="yellow"/>
                <w:lang w:eastAsia="ko-KR"/>
              </w:rPr>
              <w:t>u(1)</w:t>
            </w: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210652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/>
                <w:lang w:eastAsia="ko-KR"/>
              </w:rPr>
              <w:t>slice_type</w:t>
            </w:r>
            <w:proofErr w:type="spellEnd"/>
            <w:r>
              <w:rPr>
                <w:rFonts w:ascii="Times New Roman" w:hAnsi="Times New Roman"/>
                <w:lang w:eastAsia="ko-KR"/>
              </w:rPr>
              <w:t xml:space="preserve"> = = P | | </w:t>
            </w:r>
            <w:proofErr w:type="spellStart"/>
            <w:r>
              <w:rPr>
                <w:rFonts w:ascii="Times New Roman" w:hAnsi="Times New Roman"/>
                <w:lang w:eastAsia="ko-KR"/>
              </w:rPr>
              <w:t>slice_type</w:t>
            </w:r>
            <w:proofErr w:type="spellEnd"/>
            <w:r>
              <w:rPr>
                <w:rFonts w:ascii="Times New Roman" w:hAnsi="Times New Roman"/>
                <w:lang w:eastAsia="ko-KR"/>
              </w:rPr>
              <w:t xml:space="preserve"> = </w:t>
            </w:r>
            <w:r w:rsidRPr="00210652">
              <w:rPr>
                <w:rFonts w:ascii="Times New Roman" w:hAnsi="Times New Roman"/>
                <w:lang w:eastAsia="ko-KR"/>
              </w:rPr>
              <w:t>= B )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210652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C11A38">
              <w:rPr>
                <w:rFonts w:ascii="Times New Roman" w:hAnsi="Times New Roman"/>
                <w:lang w:eastAsia="ko-KR"/>
              </w:rPr>
              <w:t>5</w:t>
            </w:r>
            <w:r>
              <w:rPr>
                <w:rFonts w:ascii="Times New Roman" w:hAnsi="Times New Roman"/>
                <w:lang w:eastAsia="ko-KR"/>
              </w:rPr>
              <w:t>_</w:t>
            </w:r>
            <w:r w:rsidRPr="00C11A38">
              <w:rPr>
                <w:rFonts w:ascii="Times New Roman" w:hAnsi="Times New Roman"/>
                <w:lang w:eastAsia="ko-KR"/>
              </w:rPr>
              <w:t>minus</w:t>
            </w:r>
            <w:r>
              <w:rPr>
                <w:rFonts w:ascii="Times New Roman" w:hAnsi="Times New Roman"/>
                <w:lang w:eastAsia="ko-KR"/>
              </w:rPr>
              <w:t>_</w:t>
            </w:r>
            <w:r w:rsidRPr="00C11A38">
              <w:rPr>
                <w:rFonts w:ascii="Times New Roman" w:hAnsi="Times New Roman"/>
                <w:lang w:eastAsia="ko-KR"/>
              </w:rPr>
              <w:t>max</w:t>
            </w:r>
            <w:r>
              <w:rPr>
                <w:rFonts w:ascii="Times New Roman" w:hAnsi="Times New Roman"/>
                <w:lang w:eastAsia="ko-KR"/>
              </w:rPr>
              <w:t>_n</w:t>
            </w:r>
            <w:r w:rsidRPr="00C11A38">
              <w:rPr>
                <w:rFonts w:ascii="Times New Roman" w:hAnsi="Times New Roman"/>
                <w:lang w:eastAsia="ko-KR"/>
              </w:rPr>
              <w:t>um</w:t>
            </w:r>
            <w:r>
              <w:rPr>
                <w:rFonts w:ascii="Times New Roman" w:hAnsi="Times New Roman"/>
                <w:lang w:eastAsia="ko-KR"/>
              </w:rPr>
              <w:t>_m</w:t>
            </w:r>
            <w:r w:rsidRPr="00C11A38">
              <w:rPr>
                <w:rFonts w:ascii="Times New Roman" w:hAnsi="Times New Roman"/>
                <w:lang w:eastAsia="ko-KR"/>
              </w:rPr>
              <w:t>erge</w:t>
            </w:r>
            <w:r>
              <w:rPr>
                <w:rFonts w:ascii="Times New Roman" w:hAnsi="Times New Roman"/>
                <w:lang w:eastAsia="ko-KR"/>
              </w:rPr>
              <w:t>_c</w:t>
            </w:r>
            <w:r w:rsidRPr="00C11A38">
              <w:rPr>
                <w:rFonts w:ascii="Times New Roman" w:hAnsi="Times New Roman"/>
                <w:lang w:eastAsia="ko-KR"/>
              </w:rPr>
              <w:t>and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ue</w:t>
            </w:r>
            <w:proofErr w:type="spellEnd"/>
            <w:r>
              <w:rPr>
                <w:lang w:eastAsia="ko-KR"/>
              </w:rPr>
              <w:t>(v)</w:t>
            </w: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210652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94036">
              <w:rPr>
                <w:rFonts w:hint="eastAsia"/>
                <w:lang w:eastAsia="ko-KR"/>
              </w:rPr>
              <w:tab/>
            </w:r>
            <w:r w:rsidRPr="00394036">
              <w:rPr>
                <w:sz w:val="22"/>
                <w:szCs w:val="22"/>
              </w:rPr>
              <w:t>for(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94036"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394036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394036">
              <w:rPr>
                <w:sz w:val="22"/>
                <w:szCs w:val="22"/>
              </w:rPr>
              <w:t>0;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94036"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394036">
              <w:rPr>
                <w:sz w:val="22"/>
                <w:szCs w:val="22"/>
              </w:rPr>
              <w:t>&lt;</w:t>
            </w:r>
            <w:r w:rsidRPr="00394036">
              <w:rPr>
                <w:b/>
              </w:rPr>
              <w:t xml:space="preserve"> </w:t>
            </w:r>
            <w:r w:rsidRPr="00394036">
              <w:rPr>
                <w:bCs/>
              </w:rPr>
              <w:t>num_substreams_minus1</w:t>
            </w:r>
            <w:r>
              <w:t> </w:t>
            </w:r>
            <w:r>
              <w:rPr>
                <w:bCs/>
              </w:rPr>
              <w:t>+ 1</w:t>
            </w:r>
            <w:r w:rsidRPr="00394036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94036">
              <w:rPr>
                <w:sz w:val="22"/>
                <w:szCs w:val="22"/>
              </w:rPr>
              <w:t>i</w:t>
            </w:r>
            <w:proofErr w:type="spellEnd"/>
            <w:r w:rsidRPr="00394036">
              <w:rPr>
                <w:sz w:val="22"/>
                <w:szCs w:val="22"/>
              </w:rPr>
              <w:t>++</w:t>
            </w:r>
            <w:r>
              <w:rPr>
                <w:sz w:val="22"/>
                <w:szCs w:val="22"/>
              </w:rPr>
              <w:t xml:space="preserve"> </w:t>
            </w:r>
            <w:r w:rsidRPr="00394036">
              <w:rPr>
                <w:sz w:val="22"/>
                <w:szCs w:val="22"/>
              </w:rPr>
              <w:t>){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210652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94036">
              <w:rPr>
                <w:rFonts w:hint="eastAsia"/>
                <w:lang w:eastAsia="ko-KR"/>
              </w:rPr>
              <w:tab/>
            </w:r>
            <w:r w:rsidRPr="00394036">
              <w:rPr>
                <w:rFonts w:hint="eastAsia"/>
                <w:lang w:eastAsia="ko-KR"/>
              </w:rPr>
              <w:tab/>
            </w:r>
            <w:proofErr w:type="spellStart"/>
            <w:r w:rsidRPr="00394036">
              <w:rPr>
                <w:b/>
              </w:rPr>
              <w:t>substream_length_mode</w:t>
            </w:r>
            <w:proofErr w:type="spellEnd"/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  <w:r w:rsidRPr="00394036">
              <w:rPr>
                <w:lang w:eastAsia="ko-KR"/>
              </w:rPr>
              <w:t>u(2)</w:t>
            </w: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210652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94036">
              <w:rPr>
                <w:rFonts w:hint="eastAsia"/>
                <w:lang w:eastAsia="ko-KR"/>
              </w:rPr>
              <w:tab/>
            </w:r>
            <w:r w:rsidRPr="00394036">
              <w:rPr>
                <w:rFonts w:hint="eastAsia"/>
                <w:lang w:eastAsia="ko-KR"/>
              </w:rPr>
              <w:tab/>
            </w:r>
            <w:proofErr w:type="spellStart"/>
            <w:r w:rsidRPr="00394036">
              <w:rPr>
                <w:b/>
              </w:rPr>
              <w:t>substream_length</w:t>
            </w:r>
            <w:proofErr w:type="spellEnd"/>
            <w:r w:rsidRPr="00394036">
              <w:rPr>
                <w:b/>
              </w:rPr>
              <w:t>[</w:t>
            </w:r>
            <w:proofErr w:type="spellStart"/>
            <w:r w:rsidRPr="00394036">
              <w:rPr>
                <w:b/>
              </w:rPr>
              <w:t>i</w:t>
            </w:r>
            <w:proofErr w:type="spellEnd"/>
            <w:r w:rsidRPr="00394036">
              <w:rPr>
                <w:b/>
              </w:rPr>
              <w:t>]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  <w:r w:rsidRPr="00394036">
              <w:rPr>
                <w:lang w:eastAsia="ko-KR"/>
              </w:rPr>
              <w:t>u(v)</w:t>
            </w: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210652" w:rsidRDefault="00E4464F" w:rsidP="00E2072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94036">
              <w:rPr>
                <w:rFonts w:hint="eastAsia"/>
                <w:lang w:eastAsia="ko-KR"/>
              </w:rPr>
              <w:tab/>
            </w:r>
            <w:r w:rsidRPr="00394036">
              <w:rPr>
                <w:lang w:eastAsia="ko-KR"/>
              </w:rPr>
              <w:t>}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rPr>
                <w:lang w:eastAsia="ko-KR"/>
              </w:rPr>
            </w:pPr>
          </w:p>
        </w:tc>
      </w:tr>
      <w:tr w:rsidR="00E4464F" w:rsidRPr="00210652" w:rsidTr="00E2072B">
        <w:trPr>
          <w:cantSplit/>
          <w:jc w:val="center"/>
        </w:trPr>
        <w:tc>
          <w:tcPr>
            <w:tcW w:w="7110" w:type="dxa"/>
          </w:tcPr>
          <w:p w:rsidR="00E4464F" w:rsidRPr="00210652" w:rsidRDefault="00E4464F" w:rsidP="00E2072B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210652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</w:tcPr>
          <w:p w:rsidR="00E4464F" w:rsidRPr="00210652" w:rsidRDefault="00E4464F" w:rsidP="00E2072B">
            <w:pPr>
              <w:pStyle w:val="tablecell"/>
              <w:keepNext w:val="0"/>
            </w:pPr>
          </w:p>
        </w:tc>
      </w:tr>
    </w:tbl>
    <w:p w:rsidR="002070A9" w:rsidRDefault="002070A9">
      <w:pPr>
        <w:pBdr>
          <w:bottom w:val="single" w:sz="6" w:space="1" w:color="auto"/>
        </w:pBdr>
      </w:pPr>
    </w:p>
    <w:p w:rsidR="00E4464F" w:rsidRDefault="00E4464F">
      <w:pPr>
        <w:pBdr>
          <w:bottom w:val="single" w:sz="6" w:space="1" w:color="auto"/>
        </w:pBdr>
      </w:pPr>
    </w:p>
    <w:p w:rsidR="00E4464F" w:rsidRDefault="00E4464F">
      <w:r>
        <w:t xml:space="preserve">Semantics of syntax element </w:t>
      </w:r>
      <w:proofErr w:type="spellStart"/>
      <w:r>
        <w:t>high_throughput_binariza</w:t>
      </w:r>
      <w:r w:rsidR="00383966">
        <w:t>t</w:t>
      </w:r>
      <w:r>
        <w:t>ion_flag</w:t>
      </w:r>
      <w:proofErr w:type="spellEnd"/>
      <w:r>
        <w:t xml:space="preserve"> is added to the semantics description in “7.4.3 Slice Header Semantics” as follows:</w:t>
      </w:r>
    </w:p>
    <w:p w:rsidR="00E4464F" w:rsidRDefault="00E4464F"/>
    <w:p w:rsidR="00E4464F" w:rsidRPr="00E4464F" w:rsidRDefault="00E4464F">
      <w:pPr>
        <w:rPr>
          <w:b/>
        </w:rPr>
      </w:pPr>
      <w:r w:rsidRPr="00E4464F">
        <w:rPr>
          <w:b/>
        </w:rPr>
        <w:t>…</w:t>
      </w:r>
    </w:p>
    <w:p w:rsidR="00E4464F" w:rsidRDefault="00E4464F" w:rsidP="00E4464F">
      <w:pPr>
        <w:rPr>
          <w:lang w:eastAsia="ko-KR"/>
        </w:rPr>
      </w:pPr>
      <w:proofErr w:type="gramStart"/>
      <w:r w:rsidRPr="00210652">
        <w:rPr>
          <w:b/>
          <w:lang w:eastAsia="ko-KR"/>
        </w:rPr>
        <w:t>collocated_from_l0_flag</w:t>
      </w:r>
      <w:proofErr w:type="gramEnd"/>
      <w:r w:rsidRPr="00210652">
        <w:rPr>
          <w:lang w:eastAsia="ko-KR"/>
        </w:rPr>
        <w:t xml:space="preserve"> equal to 1 specifies the picture that contains the co-located partition shall be derived from list 0, otherwise the picture shall be derived from list 1.</w:t>
      </w:r>
    </w:p>
    <w:p w:rsidR="00E4464F" w:rsidRPr="004B2E21" w:rsidRDefault="00E4464F" w:rsidP="00E4464F">
      <w:pPr>
        <w:rPr>
          <w:lang w:eastAsia="ko-KR"/>
        </w:rPr>
      </w:pPr>
      <w:proofErr w:type="spellStart"/>
      <w:proofErr w:type="gramStart"/>
      <w:r w:rsidRPr="00532447">
        <w:rPr>
          <w:b/>
          <w:highlight w:val="yellow"/>
          <w:lang w:eastAsia="ko-KR"/>
        </w:rPr>
        <w:t>high_through</w:t>
      </w:r>
      <w:r w:rsidR="00383966" w:rsidRPr="00532447">
        <w:rPr>
          <w:b/>
          <w:highlight w:val="yellow"/>
          <w:lang w:eastAsia="ko-KR"/>
        </w:rPr>
        <w:t>p</w:t>
      </w:r>
      <w:r w:rsidRPr="00532447">
        <w:rPr>
          <w:b/>
          <w:highlight w:val="yellow"/>
          <w:lang w:eastAsia="ko-KR"/>
        </w:rPr>
        <w:t>ut_binarization_flag</w:t>
      </w:r>
      <w:proofErr w:type="spellEnd"/>
      <w:proofErr w:type="gramEnd"/>
      <w:r w:rsidRPr="00532447">
        <w:rPr>
          <w:b/>
          <w:highlight w:val="yellow"/>
          <w:lang w:eastAsia="ko-KR"/>
        </w:rPr>
        <w:t xml:space="preserve"> </w:t>
      </w:r>
      <w:r w:rsidRPr="00532447">
        <w:rPr>
          <w:highlight w:val="yellow"/>
          <w:lang w:eastAsia="ko-KR"/>
        </w:rPr>
        <w:t xml:space="preserve">equal to 1 specifies that </w:t>
      </w:r>
      <w:r w:rsidR="00383966" w:rsidRPr="00532447">
        <w:rPr>
          <w:highlight w:val="yellow"/>
          <w:lang w:eastAsia="ko-KR"/>
        </w:rPr>
        <w:t xml:space="preserve">syntax elements </w:t>
      </w:r>
      <w:proofErr w:type="spellStart"/>
      <w:r w:rsidR="00532447" w:rsidRPr="00532447">
        <w:rPr>
          <w:highlight w:val="yellow"/>
          <w:lang w:eastAsia="ko-KR"/>
        </w:rPr>
        <w:t>significant_coeff_group_flag</w:t>
      </w:r>
      <w:proofErr w:type="spellEnd"/>
      <w:r w:rsidR="00532447" w:rsidRPr="00532447">
        <w:rPr>
          <w:highlight w:val="yellow"/>
          <w:lang w:eastAsia="ko-KR"/>
        </w:rPr>
        <w:t xml:space="preserve">, </w:t>
      </w:r>
      <w:proofErr w:type="spellStart"/>
      <w:r w:rsidR="00383966" w:rsidRPr="00532447">
        <w:rPr>
          <w:highlight w:val="yellow"/>
        </w:rPr>
        <w:t>significant_coeff_flag</w:t>
      </w:r>
      <w:proofErr w:type="spellEnd"/>
      <w:r w:rsidR="00383966" w:rsidRPr="00532447">
        <w:rPr>
          <w:highlight w:val="yellow"/>
        </w:rPr>
        <w:t>, coeff_abs_level_greater1_flag and coeff_abs_level_greater2_flag</w:t>
      </w:r>
      <w:r w:rsidR="00383966" w:rsidRPr="00532447">
        <w:rPr>
          <w:highlight w:val="yellow"/>
          <w:lang w:eastAsia="ko-KR"/>
        </w:rPr>
        <w:t xml:space="preserve"> </w:t>
      </w:r>
      <w:r w:rsidRPr="00532447">
        <w:rPr>
          <w:highlight w:val="yellow"/>
          <w:lang w:eastAsia="ko-KR"/>
        </w:rPr>
        <w:t xml:space="preserve">are </w:t>
      </w:r>
      <w:r w:rsidR="00383966" w:rsidRPr="00532447">
        <w:rPr>
          <w:highlight w:val="yellow"/>
          <w:lang w:eastAsia="ko-KR"/>
        </w:rPr>
        <w:t>decoded with bypass decoding process</w:t>
      </w:r>
      <w:r w:rsidRPr="00532447">
        <w:rPr>
          <w:highlight w:val="yellow"/>
          <w:lang w:eastAsia="ko-KR"/>
        </w:rPr>
        <w:t xml:space="preserve">. </w:t>
      </w:r>
      <w:proofErr w:type="spellStart"/>
      <w:proofErr w:type="gramStart"/>
      <w:r w:rsidRPr="00532447">
        <w:rPr>
          <w:highlight w:val="yellow"/>
          <w:lang w:eastAsia="ko-KR"/>
        </w:rPr>
        <w:t>high_throughout_binarization_flag</w:t>
      </w:r>
      <w:proofErr w:type="spellEnd"/>
      <w:proofErr w:type="gramEnd"/>
      <w:r w:rsidRPr="00532447">
        <w:rPr>
          <w:highlight w:val="yellow"/>
          <w:lang w:eastAsia="ko-KR"/>
        </w:rPr>
        <w:t xml:space="preserve"> equal to 0 specifies that </w:t>
      </w:r>
      <w:r w:rsidR="00383966" w:rsidRPr="00532447">
        <w:rPr>
          <w:highlight w:val="yellow"/>
          <w:lang w:eastAsia="ko-KR"/>
        </w:rPr>
        <w:t xml:space="preserve">the bins are decoded with </w:t>
      </w:r>
      <w:r w:rsidRPr="00532447">
        <w:rPr>
          <w:highlight w:val="yellow"/>
          <w:lang w:eastAsia="ko-KR"/>
        </w:rPr>
        <w:t xml:space="preserve">normal context adaptive arithmetic </w:t>
      </w:r>
      <w:r w:rsidR="00383966" w:rsidRPr="00532447">
        <w:rPr>
          <w:highlight w:val="yellow"/>
          <w:lang w:eastAsia="ko-KR"/>
        </w:rPr>
        <w:t>de</w:t>
      </w:r>
      <w:r w:rsidRPr="00532447">
        <w:rPr>
          <w:highlight w:val="yellow"/>
          <w:lang w:eastAsia="ko-KR"/>
        </w:rPr>
        <w:t>coding.</w:t>
      </w:r>
    </w:p>
    <w:p w:rsidR="00E4464F" w:rsidRDefault="00E4464F" w:rsidP="00E4464F">
      <w:r w:rsidRPr="00BC4625">
        <w:rPr>
          <w:b/>
        </w:rPr>
        <w:t>5</w:t>
      </w:r>
      <w:r>
        <w:rPr>
          <w:b/>
        </w:rPr>
        <w:t>_</w:t>
      </w:r>
      <w:r w:rsidRPr="00BC4625">
        <w:rPr>
          <w:b/>
        </w:rPr>
        <w:t>minus</w:t>
      </w:r>
      <w:r>
        <w:rPr>
          <w:b/>
        </w:rPr>
        <w:t>_</w:t>
      </w:r>
      <w:r w:rsidRPr="00BC4625">
        <w:rPr>
          <w:b/>
        </w:rPr>
        <w:t>max</w:t>
      </w:r>
      <w:r>
        <w:rPr>
          <w:b/>
        </w:rPr>
        <w:t>_n</w:t>
      </w:r>
      <w:r w:rsidRPr="00BC4625">
        <w:rPr>
          <w:b/>
        </w:rPr>
        <w:t>um</w:t>
      </w:r>
      <w:r>
        <w:rPr>
          <w:b/>
        </w:rPr>
        <w:t>_merge_c</w:t>
      </w:r>
      <w:r w:rsidRPr="00BC4625">
        <w:rPr>
          <w:b/>
        </w:rPr>
        <w:t>and</w:t>
      </w:r>
      <w:r w:rsidRPr="00BC4625">
        <w:t xml:space="preserve"> specifies </w:t>
      </w:r>
      <w:r w:rsidRPr="004C10CB">
        <w:t>the maximum number of merging MVP candidates supported in the slice</w:t>
      </w:r>
      <w:r>
        <w:t xml:space="preserve"> subtracted from 5.</w:t>
      </w:r>
      <w:r w:rsidRPr="004C10CB">
        <w:t xml:space="preserve"> The maximum number of merging MVP candidates, </w:t>
      </w:r>
      <w:proofErr w:type="spellStart"/>
      <w:r>
        <w:t>M</w:t>
      </w:r>
      <w:r w:rsidRPr="004C10CB">
        <w:t>axNumMergeCand</w:t>
      </w:r>
      <w:proofErr w:type="spellEnd"/>
      <w:r w:rsidRPr="004C10CB">
        <w:t xml:space="preserve"> is </w:t>
      </w:r>
      <w:r>
        <w:t xml:space="preserve">computed as </w:t>
      </w:r>
    </w:p>
    <w:p w:rsidR="00E4464F" w:rsidRPr="00210652" w:rsidRDefault="00E4464F" w:rsidP="00E4464F">
      <w:pPr>
        <w:tabs>
          <w:tab w:val="center" w:pos="4849"/>
          <w:tab w:val="right" w:pos="9356"/>
        </w:tabs>
        <w:spacing w:before="193" w:after="240"/>
        <w:ind w:left="720"/>
      </w:pPr>
      <w:proofErr w:type="spellStart"/>
      <w:r>
        <w:t>M</w:t>
      </w:r>
      <w:r w:rsidRPr="004C10CB">
        <w:t>axNumMergeCand</w:t>
      </w:r>
      <w:proofErr w:type="spellEnd"/>
      <w:r>
        <w:t xml:space="preserve"> = </w:t>
      </w:r>
      <w:r w:rsidRPr="00BC4625">
        <w:t xml:space="preserve">5 </w:t>
      </w:r>
      <w:r>
        <w:t>−</w:t>
      </w:r>
      <w:r w:rsidRPr="004C10CB">
        <w:t xml:space="preserve"> 5</w:t>
      </w:r>
      <w:r>
        <w:t>_</w:t>
      </w:r>
      <w:r w:rsidRPr="004C10CB">
        <w:t>minus</w:t>
      </w:r>
      <w:r>
        <w:t>_</w:t>
      </w:r>
      <w:r w:rsidRPr="004C10CB">
        <w:t>max</w:t>
      </w:r>
      <w:r>
        <w:t>_n</w:t>
      </w:r>
      <w:r w:rsidRPr="004C10CB">
        <w:t>um</w:t>
      </w:r>
      <w:r>
        <w:t>_m</w:t>
      </w:r>
      <w:r w:rsidRPr="004C10CB">
        <w:t>erge</w:t>
      </w:r>
      <w:r>
        <w:t>_c</w:t>
      </w:r>
      <w:r w:rsidRPr="00BC4625">
        <w:t>and</w:t>
      </w:r>
      <w:r w:rsidRPr="00210652">
        <w:tab/>
        <w:t>(</w:t>
      </w:r>
      <w:r w:rsidRPr="00210652">
        <w:fldChar w:fldCharType="begin" w:fldLock="1"/>
      </w:r>
      <w:r w:rsidRPr="00210652">
        <w:instrText xml:space="preserve"> STYLEREF 1 \s </w:instrText>
      </w:r>
      <w:r w:rsidRPr="00210652">
        <w:fldChar w:fldCharType="separate"/>
      </w:r>
      <w:r w:rsidRPr="00210652">
        <w:rPr>
          <w:noProof/>
        </w:rPr>
        <w:t>7</w:t>
      </w:r>
      <w:r w:rsidRPr="00210652">
        <w:fldChar w:fldCharType="end"/>
      </w:r>
      <w:r w:rsidRPr="00210652">
        <w:noBreakHyphen/>
      </w:r>
      <w:r w:rsidRPr="00210652">
        <w:fldChar w:fldCharType="begin" w:fldLock="1"/>
      </w:r>
      <w:r w:rsidRPr="00210652">
        <w:instrText xml:space="preserve"> SEQ Equation \* ARABIC \s 1 </w:instrText>
      </w:r>
      <w:r w:rsidRPr="00210652">
        <w:fldChar w:fldCharType="separate"/>
      </w:r>
      <w:r w:rsidRPr="00210652">
        <w:rPr>
          <w:noProof/>
        </w:rPr>
        <w:t>9</w:t>
      </w:r>
      <w:r w:rsidRPr="00210652">
        <w:fldChar w:fldCharType="end"/>
      </w:r>
      <w:r w:rsidRPr="00210652">
        <w:t>)</w:t>
      </w:r>
    </w:p>
    <w:p w:rsidR="00E4464F" w:rsidRPr="00E4464F" w:rsidRDefault="00E4464F" w:rsidP="00E4464F">
      <w:pPr>
        <w:rPr>
          <w:b/>
        </w:rPr>
      </w:pPr>
      <w:r w:rsidRPr="00210652">
        <w:lastRenderedPageBreak/>
        <w:t xml:space="preserve">The value of </w:t>
      </w:r>
      <w:r w:rsidRPr="004C10CB">
        <w:t>5</w:t>
      </w:r>
      <w:r>
        <w:t>_</w:t>
      </w:r>
      <w:r w:rsidRPr="004C10CB">
        <w:t>minus</w:t>
      </w:r>
      <w:r>
        <w:t>_</w:t>
      </w:r>
      <w:r w:rsidRPr="004C10CB">
        <w:t>max</w:t>
      </w:r>
      <w:r>
        <w:t>_n</w:t>
      </w:r>
      <w:r w:rsidRPr="004C10CB">
        <w:t>um</w:t>
      </w:r>
      <w:r>
        <w:t>_m</w:t>
      </w:r>
      <w:r w:rsidRPr="004C10CB">
        <w:t>erge</w:t>
      </w:r>
      <w:r>
        <w:t>_c</w:t>
      </w:r>
      <w:r w:rsidRPr="00BC4625">
        <w:t>and</w:t>
      </w:r>
      <w:r w:rsidRPr="00210652">
        <w:t xml:space="preserve"> shall be limited such that </w:t>
      </w:r>
      <w:proofErr w:type="spellStart"/>
      <w:r>
        <w:t>M</w:t>
      </w:r>
      <w:r w:rsidRPr="004C10CB">
        <w:t>axNumMergeCand</w:t>
      </w:r>
      <w:proofErr w:type="spellEnd"/>
      <w:r w:rsidRPr="00210652">
        <w:t xml:space="preserve"> is in the range of </w:t>
      </w:r>
      <w:r>
        <w:t>0 to 5</w:t>
      </w:r>
      <w:r w:rsidRPr="00210652">
        <w:t>, inclusive.</w:t>
      </w:r>
    </w:p>
    <w:p w:rsidR="00E4464F" w:rsidRPr="00E4464F" w:rsidRDefault="00E4464F">
      <w:pPr>
        <w:rPr>
          <w:b/>
        </w:rPr>
      </w:pPr>
      <w:r w:rsidRPr="00E4464F">
        <w:rPr>
          <w:b/>
        </w:rPr>
        <w:t>…</w:t>
      </w:r>
    </w:p>
    <w:p w:rsidR="00E4464F" w:rsidRDefault="00E4464F" w:rsidP="00E4464F">
      <w:pPr>
        <w:pBdr>
          <w:bottom w:val="single" w:sz="6" w:space="1" w:color="auto"/>
        </w:pBdr>
      </w:pPr>
    </w:p>
    <w:p w:rsidR="00E4464F" w:rsidRDefault="00E4464F">
      <w:proofErr w:type="spellStart"/>
      <w:r>
        <w:t>Binarization</w:t>
      </w:r>
      <w:proofErr w:type="spellEnd"/>
      <w:r>
        <w:t xml:space="preserve"> description is amended as follows:</w:t>
      </w:r>
    </w:p>
    <w:p w:rsidR="00E4464F" w:rsidRDefault="00E4464F"/>
    <w:p w:rsidR="00E4464F" w:rsidRPr="00E4464F" w:rsidRDefault="00E4464F">
      <w:pPr>
        <w:rPr>
          <w:b/>
        </w:rPr>
      </w:pPr>
      <w:r w:rsidRPr="00E4464F">
        <w:rPr>
          <w:b/>
        </w:rPr>
        <w:t>…</w:t>
      </w:r>
    </w:p>
    <w:p w:rsidR="00E4464F" w:rsidRPr="00210652" w:rsidRDefault="00E4464F" w:rsidP="00E4464F">
      <w:r w:rsidRPr="00210652">
        <w:t xml:space="preserve">The use of the </w:t>
      </w:r>
      <w:proofErr w:type="spellStart"/>
      <w:r w:rsidRPr="00210652">
        <w:t>DecodeBypass</w:t>
      </w:r>
      <w:proofErr w:type="spellEnd"/>
      <w:r w:rsidRPr="00210652">
        <w:t xml:space="preserve"> process and the variable </w:t>
      </w:r>
      <w:proofErr w:type="spellStart"/>
      <w:r w:rsidRPr="00210652">
        <w:t>bypassFlag</w:t>
      </w:r>
      <w:proofErr w:type="spellEnd"/>
      <w:r w:rsidRPr="00210652">
        <w:t xml:space="preserve"> is derived as follows.</w:t>
      </w:r>
    </w:p>
    <w:p w:rsidR="00E4464F" w:rsidRPr="00210652" w:rsidRDefault="00E4464F" w:rsidP="00E4464F">
      <w:pPr>
        <w:tabs>
          <w:tab w:val="clear" w:pos="794"/>
          <w:tab w:val="left" w:pos="400"/>
        </w:tabs>
        <w:ind w:left="400" w:hanging="400"/>
      </w:pPr>
      <w:r w:rsidRPr="00210652">
        <w:t>–</w:t>
      </w:r>
      <w:r w:rsidRPr="00210652">
        <w:tab/>
        <w:t xml:space="preserve">If no value is assigned to </w:t>
      </w:r>
      <w:proofErr w:type="spellStart"/>
      <w:r w:rsidRPr="00210652">
        <w:t>ctxIdxOffset</w:t>
      </w:r>
      <w:proofErr w:type="spellEnd"/>
      <w:r w:rsidRPr="00210652">
        <w:t xml:space="preserve"> for the corresponding </w:t>
      </w:r>
      <w:proofErr w:type="spellStart"/>
      <w:r w:rsidRPr="00210652">
        <w:t>binarization</w:t>
      </w:r>
      <w:proofErr w:type="spellEnd"/>
      <w:r w:rsidRPr="00210652">
        <w:t xml:space="preserve"> or </w:t>
      </w:r>
      <w:proofErr w:type="spellStart"/>
      <w:r w:rsidRPr="00210652">
        <w:t>binarization</w:t>
      </w:r>
      <w:proofErr w:type="spellEnd"/>
      <w:r w:rsidRPr="00210652">
        <w:t xml:space="preserve"> part in </w:t>
      </w:r>
      <w:r w:rsidRPr="00210652">
        <w:rPr>
          <w:highlight w:val="yellow"/>
        </w:rPr>
        <w:fldChar w:fldCharType="begin" w:fldLock="1"/>
      </w:r>
      <w:r w:rsidRPr="00210652">
        <w:rPr>
          <w:highlight w:val="yellow"/>
        </w:rPr>
        <w:instrText xml:space="preserve"> REF _Ref304907841 \h  \* MERGEFORMAT </w:instrText>
      </w:r>
      <w:r w:rsidRPr="00210652">
        <w:rPr>
          <w:highlight w:val="yellow"/>
        </w:rPr>
      </w:r>
      <w:r w:rsidRPr="00210652">
        <w:rPr>
          <w:highlight w:val="yellow"/>
        </w:rPr>
        <w:fldChar w:fldCharType="separate"/>
      </w:r>
      <w:r w:rsidRPr="00210652">
        <w:t>Table 9</w:t>
      </w:r>
      <w:r w:rsidRPr="00210652">
        <w:noBreakHyphen/>
        <w:t>46</w:t>
      </w:r>
      <w:r w:rsidRPr="00210652">
        <w:rPr>
          <w:highlight w:val="yellow"/>
        </w:rPr>
        <w:fldChar w:fldCharType="end"/>
      </w:r>
      <w:r w:rsidRPr="00210652">
        <w:t xml:space="preserve"> labelled as "</w:t>
      </w:r>
      <w:proofErr w:type="spellStart"/>
      <w:r w:rsidRPr="00210652">
        <w:t>na</w:t>
      </w:r>
      <w:proofErr w:type="spellEnd"/>
      <w:r w:rsidRPr="00210652">
        <w:t xml:space="preserve">", all bins of the bit strings of the corresponding </w:t>
      </w:r>
      <w:proofErr w:type="spellStart"/>
      <w:r w:rsidRPr="00210652">
        <w:t>binarization</w:t>
      </w:r>
      <w:proofErr w:type="spellEnd"/>
      <w:r w:rsidRPr="00210652">
        <w:t xml:space="preserve"> or of the </w:t>
      </w:r>
      <w:proofErr w:type="spellStart"/>
      <w:r w:rsidRPr="00210652">
        <w:t>binarization</w:t>
      </w:r>
      <w:proofErr w:type="spellEnd"/>
      <w:r w:rsidRPr="00210652">
        <w:t xml:space="preserve"> prefix/suffix part are decoded by invoking the </w:t>
      </w:r>
      <w:proofErr w:type="spellStart"/>
      <w:r w:rsidRPr="00210652">
        <w:t>DecodeBypass</w:t>
      </w:r>
      <w:proofErr w:type="spellEnd"/>
      <w:r w:rsidRPr="00210652">
        <w:t xml:space="preserve"> process as specified in </w:t>
      </w:r>
      <w:proofErr w:type="spellStart"/>
      <w:r w:rsidRPr="00210652">
        <w:t>subclause</w:t>
      </w:r>
      <w:proofErr w:type="spellEnd"/>
      <w:r w:rsidRPr="00210652">
        <w:t> </w:t>
      </w:r>
      <w:r w:rsidRPr="00210652">
        <w:rPr>
          <w:highlight w:val="yellow"/>
        </w:rPr>
        <w:fldChar w:fldCharType="begin" w:fldLock="1"/>
      </w:r>
      <w:r w:rsidRPr="00210652">
        <w:instrText xml:space="preserve"> REF _Ref33020359 \r \h </w:instrText>
      </w:r>
      <w:r w:rsidRPr="00210652">
        <w:rPr>
          <w:highlight w:val="yellow"/>
        </w:rPr>
      </w:r>
      <w:r w:rsidRPr="00210652">
        <w:rPr>
          <w:highlight w:val="yellow"/>
        </w:rPr>
        <w:fldChar w:fldCharType="separate"/>
      </w:r>
      <w:r w:rsidRPr="00210652">
        <w:t>9.3.3.2.3</w:t>
      </w:r>
      <w:r w:rsidRPr="00210652">
        <w:rPr>
          <w:highlight w:val="yellow"/>
        </w:rPr>
        <w:fldChar w:fldCharType="end"/>
      </w:r>
      <w:r w:rsidRPr="00210652">
        <w:t xml:space="preserve">. In such a case, </w:t>
      </w:r>
      <w:proofErr w:type="spellStart"/>
      <w:r w:rsidRPr="00210652">
        <w:t>bypassFlag</w:t>
      </w:r>
      <w:proofErr w:type="spellEnd"/>
      <w:r w:rsidRPr="00210652">
        <w:t xml:space="preserve"> is set equal to 1, where </w:t>
      </w:r>
      <w:proofErr w:type="spellStart"/>
      <w:r w:rsidRPr="00210652">
        <w:t>bypassFlag</w:t>
      </w:r>
      <w:proofErr w:type="spellEnd"/>
      <w:r w:rsidRPr="00210652">
        <w:t xml:space="preserve"> is used to indicate that for parsing the value of the bin from the </w:t>
      </w:r>
      <w:proofErr w:type="spellStart"/>
      <w:r w:rsidRPr="00210652">
        <w:t>bitstream</w:t>
      </w:r>
      <w:proofErr w:type="spellEnd"/>
      <w:r w:rsidRPr="00210652">
        <w:t xml:space="preserve"> the </w:t>
      </w:r>
      <w:proofErr w:type="spellStart"/>
      <w:r w:rsidRPr="00210652">
        <w:t>DecodeBypass</w:t>
      </w:r>
      <w:proofErr w:type="spellEnd"/>
      <w:r w:rsidRPr="00210652">
        <w:t xml:space="preserve"> process is applied. </w:t>
      </w:r>
    </w:p>
    <w:p w:rsidR="00E4464F" w:rsidRDefault="00E4464F" w:rsidP="00E4464F">
      <w:pPr>
        <w:tabs>
          <w:tab w:val="clear" w:pos="794"/>
          <w:tab w:val="left" w:pos="400"/>
        </w:tabs>
        <w:ind w:left="400" w:hanging="400"/>
      </w:pPr>
      <w:r w:rsidRPr="00210652">
        <w:t>–</w:t>
      </w:r>
      <w:r w:rsidRPr="00210652">
        <w:tab/>
        <w:t xml:space="preserve">Otherwise, for each possible value of </w:t>
      </w:r>
      <w:proofErr w:type="spellStart"/>
      <w:r w:rsidRPr="00210652">
        <w:t>binIdx</w:t>
      </w:r>
      <w:proofErr w:type="spellEnd"/>
      <w:r w:rsidRPr="00210652">
        <w:t xml:space="preserve"> up to the specified value of </w:t>
      </w:r>
      <w:proofErr w:type="spellStart"/>
      <w:r w:rsidRPr="00210652">
        <w:t>maxBinIdxCtx</w:t>
      </w:r>
      <w:proofErr w:type="spellEnd"/>
      <w:r w:rsidRPr="00210652">
        <w:t xml:space="preserve"> given in </w:t>
      </w:r>
      <w:r w:rsidRPr="00210652">
        <w:rPr>
          <w:highlight w:val="yellow"/>
        </w:rPr>
        <w:fldChar w:fldCharType="begin" w:fldLock="1"/>
      </w:r>
      <w:r w:rsidRPr="00210652">
        <w:rPr>
          <w:highlight w:val="yellow"/>
        </w:rPr>
        <w:instrText xml:space="preserve"> REF _Ref304907841 \h  \* MERGEFORMAT </w:instrText>
      </w:r>
      <w:r w:rsidRPr="00210652">
        <w:rPr>
          <w:highlight w:val="yellow"/>
        </w:rPr>
      </w:r>
      <w:r w:rsidRPr="00210652">
        <w:rPr>
          <w:highlight w:val="yellow"/>
        </w:rPr>
        <w:fldChar w:fldCharType="separate"/>
      </w:r>
      <w:r w:rsidRPr="00210652">
        <w:t>Table 9</w:t>
      </w:r>
      <w:r w:rsidRPr="00210652">
        <w:noBreakHyphen/>
        <w:t>46</w:t>
      </w:r>
      <w:r w:rsidRPr="00210652">
        <w:rPr>
          <w:highlight w:val="yellow"/>
        </w:rPr>
        <w:fldChar w:fldCharType="end"/>
      </w:r>
      <w:r w:rsidRPr="00210652">
        <w:t xml:space="preserve">, a specific value of the variable </w:t>
      </w:r>
      <w:proofErr w:type="spellStart"/>
      <w:r w:rsidRPr="00210652">
        <w:t>ctxIdx</w:t>
      </w:r>
      <w:proofErr w:type="spellEnd"/>
      <w:r w:rsidRPr="00210652">
        <w:t xml:space="preserve"> is further specified in </w:t>
      </w:r>
      <w:proofErr w:type="spellStart"/>
      <w:r w:rsidRPr="00210652">
        <w:t>subclause</w:t>
      </w:r>
      <w:proofErr w:type="spellEnd"/>
      <w:r w:rsidRPr="00210652">
        <w:t> </w:t>
      </w:r>
      <w:r w:rsidRPr="00210652">
        <w:fldChar w:fldCharType="begin" w:fldLock="1"/>
      </w:r>
      <w:r w:rsidRPr="00210652">
        <w:instrText xml:space="preserve"> REF _Ref292722926 \r \h </w:instrText>
      </w:r>
      <w:r w:rsidRPr="00210652">
        <w:fldChar w:fldCharType="separate"/>
      </w:r>
      <w:r w:rsidRPr="00210652">
        <w:t>9.3.3</w:t>
      </w:r>
      <w:r w:rsidRPr="00210652">
        <w:fldChar w:fldCharType="end"/>
      </w:r>
      <w:r w:rsidRPr="00210652">
        <w:t xml:space="preserve">. </w:t>
      </w:r>
      <w:proofErr w:type="spellStart"/>
      <w:proofErr w:type="gramStart"/>
      <w:r w:rsidRPr="00210652">
        <w:t>bypassFlag</w:t>
      </w:r>
      <w:proofErr w:type="spellEnd"/>
      <w:proofErr w:type="gramEnd"/>
      <w:r w:rsidRPr="00210652">
        <w:t xml:space="preserve"> is set equal to 0.</w:t>
      </w:r>
    </w:p>
    <w:p w:rsidR="00E4464F" w:rsidRPr="00532447" w:rsidRDefault="00E4464F" w:rsidP="00532447">
      <w:pPr>
        <w:numPr>
          <w:ilvl w:val="0"/>
          <w:numId w:val="1"/>
        </w:numPr>
        <w:tabs>
          <w:tab w:val="clear" w:pos="794"/>
        </w:tabs>
        <w:rPr>
          <w:highlight w:val="yellow"/>
        </w:rPr>
      </w:pPr>
      <w:r w:rsidRPr="00532447">
        <w:rPr>
          <w:highlight w:val="yellow"/>
        </w:rPr>
        <w:t xml:space="preserve">If </w:t>
      </w:r>
      <w:proofErr w:type="spellStart"/>
      <w:r w:rsidRPr="00532447">
        <w:rPr>
          <w:highlight w:val="yellow"/>
        </w:rPr>
        <w:t>high_throughput_binarization_flag</w:t>
      </w:r>
      <w:proofErr w:type="spellEnd"/>
      <w:r w:rsidRPr="00532447">
        <w:rPr>
          <w:highlight w:val="yellow"/>
        </w:rPr>
        <w:t xml:space="preserve"> is equal to 1, </w:t>
      </w:r>
      <w:proofErr w:type="spellStart"/>
      <w:r w:rsidRPr="00532447">
        <w:rPr>
          <w:highlight w:val="yellow"/>
        </w:rPr>
        <w:t>binarization</w:t>
      </w:r>
      <w:proofErr w:type="spellEnd"/>
      <w:r w:rsidRPr="00532447">
        <w:rPr>
          <w:highlight w:val="yellow"/>
        </w:rPr>
        <w:t xml:space="preserve"> of syntax elements </w:t>
      </w:r>
      <w:proofErr w:type="spellStart"/>
      <w:r w:rsidR="00532447" w:rsidRPr="00532447">
        <w:rPr>
          <w:highlight w:val="yellow"/>
        </w:rPr>
        <w:t>significant_coeff_group_flag</w:t>
      </w:r>
      <w:proofErr w:type="spellEnd"/>
      <w:r w:rsidR="00532447" w:rsidRPr="00532447">
        <w:rPr>
          <w:highlight w:val="yellow"/>
        </w:rPr>
        <w:t xml:space="preserve">, </w:t>
      </w:r>
      <w:proofErr w:type="spellStart"/>
      <w:r w:rsidRPr="00532447">
        <w:rPr>
          <w:highlight w:val="yellow"/>
        </w:rPr>
        <w:t>significant_coeff_flag</w:t>
      </w:r>
      <w:proofErr w:type="spellEnd"/>
      <w:r w:rsidRPr="00532447">
        <w:rPr>
          <w:highlight w:val="yellow"/>
        </w:rPr>
        <w:t>, coeff_abs_level_greater1_flag and coeff_abs_level_greater2_f</w:t>
      </w:r>
      <w:bookmarkStart w:id="0" w:name="_GoBack"/>
      <w:bookmarkEnd w:id="0"/>
      <w:r w:rsidRPr="00532447">
        <w:rPr>
          <w:highlight w:val="yellow"/>
        </w:rPr>
        <w:t xml:space="preserve">lag are decoded by invoking the </w:t>
      </w:r>
      <w:proofErr w:type="spellStart"/>
      <w:r w:rsidRPr="00532447">
        <w:rPr>
          <w:highlight w:val="yellow"/>
        </w:rPr>
        <w:t>DecodeBypass</w:t>
      </w:r>
      <w:proofErr w:type="spellEnd"/>
      <w:r w:rsidRPr="00532447">
        <w:rPr>
          <w:highlight w:val="yellow"/>
        </w:rPr>
        <w:t xml:space="preserve"> process. If </w:t>
      </w:r>
      <w:proofErr w:type="spellStart"/>
      <w:r w:rsidRPr="00532447">
        <w:rPr>
          <w:highlight w:val="yellow"/>
        </w:rPr>
        <w:t>high_throughput_binarization_flag</w:t>
      </w:r>
      <w:proofErr w:type="spellEnd"/>
      <w:r w:rsidRPr="00532447">
        <w:rPr>
          <w:highlight w:val="yellow"/>
        </w:rPr>
        <w:t xml:space="preserve"> is equal to 0, </w:t>
      </w:r>
      <w:proofErr w:type="spellStart"/>
      <w:r w:rsidRPr="00532447">
        <w:rPr>
          <w:highlight w:val="yellow"/>
        </w:rPr>
        <w:t>binarization</w:t>
      </w:r>
      <w:proofErr w:type="spellEnd"/>
      <w:r w:rsidRPr="00532447">
        <w:rPr>
          <w:highlight w:val="yellow"/>
        </w:rPr>
        <w:t xml:space="preserve"> of the syntax elements is decoded as specified in </w:t>
      </w:r>
      <w:r w:rsidRPr="00532447">
        <w:rPr>
          <w:highlight w:val="yellow"/>
        </w:rPr>
        <w:fldChar w:fldCharType="begin" w:fldLock="1"/>
      </w:r>
      <w:r w:rsidRPr="00532447">
        <w:rPr>
          <w:highlight w:val="yellow"/>
        </w:rPr>
        <w:instrText xml:space="preserve"> REF _Ref304907841 \h  \* MERGEFORMAT </w:instrText>
      </w:r>
      <w:r w:rsidRPr="00532447">
        <w:rPr>
          <w:highlight w:val="yellow"/>
        </w:rPr>
      </w:r>
      <w:r w:rsidRPr="00532447">
        <w:rPr>
          <w:highlight w:val="yellow"/>
        </w:rPr>
        <w:fldChar w:fldCharType="separate"/>
      </w:r>
      <w:r w:rsidRPr="00532447">
        <w:rPr>
          <w:highlight w:val="yellow"/>
        </w:rPr>
        <w:t>Table 9</w:t>
      </w:r>
      <w:r w:rsidRPr="00532447">
        <w:rPr>
          <w:highlight w:val="yellow"/>
        </w:rPr>
        <w:noBreakHyphen/>
        <w:t>46</w:t>
      </w:r>
      <w:r w:rsidRPr="00532447">
        <w:rPr>
          <w:highlight w:val="yellow"/>
        </w:rPr>
        <w:fldChar w:fldCharType="end"/>
      </w:r>
      <w:r w:rsidRPr="00532447">
        <w:rPr>
          <w:highlight w:val="yellow"/>
        </w:rPr>
        <w:t>.</w:t>
      </w:r>
    </w:p>
    <w:p w:rsidR="00E4464F" w:rsidRPr="00210652" w:rsidRDefault="00E4464F" w:rsidP="00E4464F">
      <w:r w:rsidRPr="00210652">
        <w:t xml:space="preserve">The possible values of the context index </w:t>
      </w:r>
      <w:proofErr w:type="spellStart"/>
      <w:r w:rsidRPr="00210652">
        <w:t>ctxIdx</w:t>
      </w:r>
      <w:proofErr w:type="spellEnd"/>
      <w:r w:rsidRPr="00210652">
        <w:t xml:space="preserve"> vary depending on the value of </w:t>
      </w:r>
      <w:proofErr w:type="spellStart"/>
      <w:r w:rsidRPr="00210652">
        <w:t>ctxIdxTable</w:t>
      </w:r>
      <w:proofErr w:type="spellEnd"/>
      <w:r w:rsidRPr="00210652">
        <w:t xml:space="preserve">. The value assigned to </w:t>
      </w:r>
      <w:proofErr w:type="spellStart"/>
      <w:r w:rsidRPr="00210652">
        <w:t>ctxIdxOffset</w:t>
      </w:r>
      <w:proofErr w:type="spellEnd"/>
      <w:r w:rsidRPr="00210652">
        <w:t xml:space="preserve"> specifies the lower value of the range of </w:t>
      </w:r>
      <w:proofErr w:type="spellStart"/>
      <w:r w:rsidRPr="00210652">
        <w:t>ctxIdx</w:t>
      </w:r>
      <w:proofErr w:type="spellEnd"/>
      <w:r w:rsidRPr="00210652">
        <w:t xml:space="preserve"> assigned to the corresponding </w:t>
      </w:r>
      <w:proofErr w:type="spellStart"/>
      <w:r w:rsidRPr="00210652">
        <w:t>binarization</w:t>
      </w:r>
      <w:proofErr w:type="spellEnd"/>
      <w:r w:rsidRPr="00210652">
        <w:t xml:space="preserve"> or </w:t>
      </w:r>
      <w:proofErr w:type="spellStart"/>
      <w:r w:rsidRPr="00210652">
        <w:t>binarization</w:t>
      </w:r>
      <w:proofErr w:type="spellEnd"/>
      <w:r w:rsidRPr="00210652">
        <w:t xml:space="preserve"> part of a syntax element.</w:t>
      </w:r>
    </w:p>
    <w:p w:rsidR="00E4464F" w:rsidRDefault="00E4464F">
      <w:pPr>
        <w:rPr>
          <w:b/>
        </w:rPr>
      </w:pPr>
      <w:r w:rsidRPr="00E4464F">
        <w:rPr>
          <w:b/>
        </w:rPr>
        <w:t>…</w:t>
      </w:r>
    </w:p>
    <w:p w:rsidR="00E4464F" w:rsidRDefault="00E4464F" w:rsidP="00E4464F">
      <w:pPr>
        <w:pBdr>
          <w:bottom w:val="single" w:sz="6" w:space="1" w:color="auto"/>
        </w:pBdr>
      </w:pPr>
    </w:p>
    <w:p w:rsidR="00E4464F" w:rsidRPr="00E4464F" w:rsidRDefault="00E4464F">
      <w:pPr>
        <w:rPr>
          <w:b/>
        </w:rPr>
      </w:pPr>
    </w:p>
    <w:sectPr w:rsidR="00E4464F" w:rsidRPr="00E446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18"/>
    <w:rsid w:val="002070A9"/>
    <w:rsid w:val="00383966"/>
    <w:rsid w:val="00532447"/>
    <w:rsid w:val="00626E82"/>
    <w:rsid w:val="007A08CB"/>
    <w:rsid w:val="00A57952"/>
    <w:rsid w:val="00E4464F"/>
    <w:rsid w:val="00E6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64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ll">
    <w:name w:val="table cell"/>
    <w:basedOn w:val="Normal"/>
    <w:rsid w:val="00E4464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E4464F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E4464F"/>
    <w:rPr>
      <w:rFonts w:ascii="Times" w:eastAsia="Malgun Gothic" w:hAnsi="Times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64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ll">
    <w:name w:val="table cell"/>
    <w:basedOn w:val="Normal"/>
    <w:rsid w:val="00E4464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E4464F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E4464F"/>
    <w:rPr>
      <w:rFonts w:ascii="Times" w:eastAsia="Malgun Gothic" w:hAnsi="Times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1358F-5565-4EE4-B6DC-AEDDF7C16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NOKIA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Hallapuro Antti</dc:creator>
  <cp:keywords/>
  <dc:description/>
  <cp:lastModifiedBy>Hallapuro Antti</cp:lastModifiedBy>
  <cp:revision>4</cp:revision>
  <dcterms:created xsi:type="dcterms:W3CDTF">2012-01-18T16:08:00Z</dcterms:created>
  <dcterms:modified xsi:type="dcterms:W3CDTF">2012-01-19T12:13:00Z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5bda1979-0e72-4a32-bbb6-3de849d5093b</vt:lpwstr>
  </property>
  <property fmtid="{D5CDD505-2E9C-101B-9397-08002B2CF9AE}" pid="3" name="NokiaConfidentiality">
    <vt:lpwstr>Company Confidential</vt:lpwstr>
  </property>
</Properties>
</file>