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4C009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80F77" w:rsidP="00280F77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 w:rsidR="00257551"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325D9">
              <w:t>G</w:t>
            </w:r>
            <w:r w:rsidR="00CB398F">
              <w:t>980</w:t>
            </w:r>
          </w:p>
          <w:p w:rsidR="008A4B4C" w:rsidRPr="00AE341B" w:rsidRDefault="008A4B4C" w:rsidP="00F86BDB">
            <w:pPr>
              <w:tabs>
                <w:tab w:val="left" w:pos="7200"/>
              </w:tabs>
            </w:pP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020C5C" w:rsidP="00AF7710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Evaluation of </w:t>
            </w:r>
            <w:r w:rsidR="00AF7710">
              <w:rPr>
                <w:b/>
                <w:szCs w:val="22"/>
              </w:rPr>
              <w:t xml:space="preserve">Limiting Chroma Transform Depth in </w:t>
            </w:r>
            <w:r>
              <w:rPr>
                <w:b/>
                <w:szCs w:val="22"/>
              </w:rPr>
              <w:t>RQT on HM4.0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F86BDB" w:rsidRPr="00AE341B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86BDB" w:rsidRDefault="00F86BD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Liwei Guo, </w:t>
            </w:r>
          </w:p>
          <w:p w:rsidR="00F43AED" w:rsidRDefault="00F43AED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F86BDB" w:rsidRPr="00AE341B" w:rsidRDefault="00F86BD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Marta Karczewicz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5775 Morehouse Drive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F86BDB" w:rsidRPr="00AE341B" w:rsidRDefault="00F86BDB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86BDB" w:rsidRPr="00AE341B" w:rsidRDefault="00F86BDB" w:rsidP="00BE044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1-858-</w:t>
            </w:r>
            <w:r w:rsidR="00280F77">
              <w:rPr>
                <w:szCs w:val="22"/>
              </w:rPr>
              <w:t>845-7532</w:t>
            </w:r>
            <w:r w:rsidRPr="00AE341B">
              <w:rPr>
                <w:szCs w:val="22"/>
              </w:rPr>
              <w:br/>
            </w:r>
            <w:hyperlink r:id="rId10" w:history="1">
              <w:r w:rsidRPr="00F86BDB">
                <w:rPr>
                  <w:rStyle w:val="Hyperlink"/>
                  <w:szCs w:val="22"/>
                </w:rPr>
                <w:t>liweig@qualcomm.com</w:t>
              </w:r>
            </w:hyperlink>
          </w:p>
        </w:tc>
      </w:tr>
      <w:tr w:rsidR="00F86BDB" w:rsidRPr="00485847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F86BDB" w:rsidRPr="00485847" w:rsidRDefault="00F86BDB" w:rsidP="00B341FC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4E11BA" w:rsidRDefault="00020C5C" w:rsidP="003F2B66">
      <w:pPr>
        <w:jc w:val="both"/>
      </w:pPr>
      <w:r>
        <w:t xml:space="preserve">In previous Geneva meeting (March 2011), contribution JCTVC-E377 proposed that the </w:t>
      </w:r>
      <w:r w:rsidR="00911EDA">
        <w:t xml:space="preserve">maximum </w:t>
      </w:r>
      <w:r w:rsidR="00C325D9">
        <w:t>C</w:t>
      </w:r>
      <w:r w:rsidR="00911EDA">
        <w:t xml:space="preserve">hroma transform depth be limited relative to </w:t>
      </w:r>
      <w:proofErr w:type="spellStart"/>
      <w:r w:rsidR="00C325D9">
        <w:t>L</w:t>
      </w:r>
      <w:r w:rsidR="00911EDA">
        <w:t>uma</w:t>
      </w:r>
      <w:proofErr w:type="spellEnd"/>
      <w:r w:rsidR="00911EDA">
        <w:t xml:space="preserve"> component, so that </w:t>
      </w:r>
      <w:r w:rsidR="00C325D9">
        <w:t>C</w:t>
      </w:r>
      <w:r w:rsidR="00911EDA">
        <w:t xml:space="preserve">hroma </w:t>
      </w:r>
      <w:r w:rsidR="008B40EB">
        <w:t>component</w:t>
      </w:r>
      <w:r w:rsidR="00911EDA">
        <w:t xml:space="preserve"> does not have to share the same transform depth as </w:t>
      </w:r>
      <w:proofErr w:type="spellStart"/>
      <w:r>
        <w:t>L</w:t>
      </w:r>
      <w:r w:rsidR="00911EDA">
        <w:t>uma</w:t>
      </w:r>
      <w:proofErr w:type="spellEnd"/>
      <w:r w:rsidR="00911EDA">
        <w:t xml:space="preserve">. </w:t>
      </w:r>
      <w:r>
        <w:t xml:space="preserve">In this contribution, the method described in E377 has been implemented on top of HM 4.0. </w:t>
      </w:r>
      <w:r w:rsidR="00911EDA">
        <w:t xml:space="preserve">Simulation results show that by doing so an average BD-rate saving of </w:t>
      </w:r>
      <w:r w:rsidR="003F0951">
        <w:t>0.1%, 1.8</w:t>
      </w:r>
      <w:r w:rsidR="00911EDA">
        <w:t>%</w:t>
      </w:r>
      <w:r w:rsidR="003F0951">
        <w:t xml:space="preserve"> and 1.7% </w:t>
      </w:r>
      <w:r w:rsidR="00911EDA">
        <w:t>can be obtained for</w:t>
      </w:r>
      <w:r w:rsidR="003F0951">
        <w:t xml:space="preserve"> Y, </w:t>
      </w:r>
      <w:r w:rsidR="00911EDA">
        <w:t xml:space="preserve">U and V </w:t>
      </w:r>
      <w:r w:rsidR="008B40EB">
        <w:t>respectively</w:t>
      </w:r>
      <w:r w:rsidR="00911EDA">
        <w:t xml:space="preserve"> </w:t>
      </w:r>
      <w:r w:rsidR="003F0951">
        <w:t>in AI-HE condition.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Introduction</w:t>
      </w:r>
    </w:p>
    <w:p w:rsidR="004E11BA" w:rsidRDefault="00322486" w:rsidP="00E1283F">
      <w:pPr>
        <w:jc w:val="both"/>
      </w:pPr>
      <w:r>
        <w:t xml:space="preserve">In </w:t>
      </w:r>
      <w:r w:rsidR="00020C5C">
        <w:t xml:space="preserve">the </w:t>
      </w:r>
      <w:r w:rsidR="00C325D9">
        <w:t>5-th JCTVC meeting (March, 2011, Geneva)</w:t>
      </w:r>
      <w:r w:rsidR="00020C5C">
        <w:t>, it is reported in JCTVC-E377</w:t>
      </w:r>
      <w:r>
        <w:t xml:space="preserve"> [1] that </w:t>
      </w:r>
      <w:r w:rsidR="00020C5C">
        <w:t xml:space="preserve">limiting the maximum Chroma transform depth can improve the coding efficiency for both </w:t>
      </w:r>
      <w:proofErr w:type="spellStart"/>
      <w:r w:rsidR="00020C5C">
        <w:t>Luma</w:t>
      </w:r>
      <w:proofErr w:type="spellEnd"/>
      <w:r w:rsidR="00020C5C">
        <w:t xml:space="preserve"> and Chroma. In this contribution, the method in E377 has been implemented on top of HM 4.0 </w:t>
      </w:r>
      <w:r w:rsidR="00280F77">
        <w:t xml:space="preserve">and the </w:t>
      </w:r>
      <w:r w:rsidR="00020C5C">
        <w:t xml:space="preserve">performance </w:t>
      </w:r>
      <w:r w:rsidR="00426521">
        <w:t>has been evaluated in AI-HE.</w:t>
      </w:r>
    </w:p>
    <w:p w:rsidR="00E1283F" w:rsidRDefault="00020C5C" w:rsidP="00E1283F">
      <w:pPr>
        <w:pStyle w:val="Heading1"/>
      </w:pPr>
      <w:r>
        <w:t>The method</w:t>
      </w:r>
    </w:p>
    <w:p w:rsidR="00C31A1A" w:rsidRDefault="00C31A1A" w:rsidP="00C31A1A">
      <w:pPr>
        <w:jc w:val="both"/>
      </w:pPr>
      <w:r>
        <w:t xml:space="preserve">In </w:t>
      </w:r>
      <w:r w:rsidR="00020C5C">
        <w:t>this contribution, the maximum C</w:t>
      </w:r>
      <w:r>
        <w:t xml:space="preserve">hroma transform depth is limited using </w:t>
      </w:r>
    </w:p>
    <w:p w:rsidR="00C31A1A" w:rsidRDefault="00C31A1A" w:rsidP="00C31A1A">
      <w:pPr>
        <w:jc w:val="both"/>
      </w:pPr>
      <w:r>
        <w:t xml:space="preserve">   </w:t>
      </w:r>
      <w:r w:rsidR="00020C5C">
        <w:t xml:space="preserve">                   </w:t>
      </w:r>
      <w:proofErr w:type="spellStart"/>
      <w:r>
        <w:t>MaxTUDepthUV</w:t>
      </w:r>
      <w:proofErr w:type="spellEnd"/>
      <w:r>
        <w:t xml:space="preserve"> = max (0, </w:t>
      </w:r>
      <w:proofErr w:type="spellStart"/>
      <w:r>
        <w:t>MaxTUDepthY</w:t>
      </w:r>
      <w:proofErr w:type="spellEnd"/>
      <w:r w:rsidR="008B40EB">
        <w:t xml:space="preserve"> </w:t>
      </w:r>
      <w:r>
        <w:t>-</w:t>
      </w:r>
      <w:r w:rsidR="008B40EB">
        <w:t xml:space="preserve"> </w:t>
      </w:r>
      <w:r>
        <w:t xml:space="preserve">T) </w:t>
      </w:r>
    </w:p>
    <w:p w:rsidR="00C31A1A" w:rsidRDefault="00C31A1A" w:rsidP="00C31A1A">
      <w:pPr>
        <w:jc w:val="both"/>
      </w:pPr>
      <w:r>
        <w:t>where T is a user-defined parameter.</w:t>
      </w:r>
    </w:p>
    <w:p w:rsidR="006C4DF0" w:rsidRDefault="006C4DF0" w:rsidP="006C4DF0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Experimental results</w:t>
      </w:r>
    </w:p>
    <w:p w:rsidR="00C31A1A" w:rsidRDefault="00C31A1A" w:rsidP="00C31A1A">
      <w:pPr>
        <w:jc w:val="both"/>
        <w:rPr>
          <w:szCs w:val="22"/>
        </w:rPr>
      </w:pPr>
      <w:r>
        <w:rPr>
          <w:szCs w:val="22"/>
        </w:rPr>
        <w:t>Simulation is performed based on HM</w:t>
      </w:r>
      <w:r w:rsidR="00020C5C">
        <w:rPr>
          <w:szCs w:val="22"/>
        </w:rPr>
        <w:t>4</w:t>
      </w:r>
      <w:r>
        <w:rPr>
          <w:szCs w:val="22"/>
        </w:rPr>
        <w:t xml:space="preserve">.0, with </w:t>
      </w:r>
      <w:r w:rsidRPr="00785A32">
        <w:rPr>
          <w:b/>
          <w:szCs w:val="22"/>
        </w:rPr>
        <w:t>T</w:t>
      </w:r>
      <w:r>
        <w:rPr>
          <w:szCs w:val="22"/>
        </w:rPr>
        <w:t xml:space="preserve"> = 3, </w:t>
      </w:r>
      <w:r w:rsidR="00EF3831">
        <w:rPr>
          <w:szCs w:val="22"/>
        </w:rPr>
        <w:t>under</w:t>
      </w:r>
      <w:r>
        <w:rPr>
          <w:szCs w:val="22"/>
        </w:rPr>
        <w:t xml:space="preserve"> </w:t>
      </w:r>
      <w:r>
        <w:t xml:space="preserve">common test conditions specified in [2]. </w:t>
      </w:r>
    </w:p>
    <w:p w:rsidR="00C31A1A" w:rsidRDefault="00C31A1A" w:rsidP="00C31A1A">
      <w:pPr>
        <w:jc w:val="both"/>
      </w:pPr>
      <w:r>
        <w:t xml:space="preserve">Since with default coding configuration the maximum transform depth is 3, With </w:t>
      </w:r>
      <w:r w:rsidRPr="00785A32">
        <w:rPr>
          <w:b/>
        </w:rPr>
        <w:t>T</w:t>
      </w:r>
      <w:r>
        <w:t xml:space="preserve">=3, </w:t>
      </w:r>
      <w:proofErr w:type="spellStart"/>
      <w:r>
        <w:t>Max</w:t>
      </w:r>
      <w:r w:rsidR="008B40EB">
        <w:t>TU</w:t>
      </w:r>
      <w:r>
        <w:t>DepthUV</w:t>
      </w:r>
      <w:proofErr w:type="spellEnd"/>
      <w:r>
        <w:t xml:space="preserve"> is </w:t>
      </w:r>
      <w:r w:rsidR="008022F1">
        <w:t xml:space="preserve">equal to </w:t>
      </w:r>
      <w:r>
        <w:t xml:space="preserve">0 with all these </w:t>
      </w:r>
      <w:r w:rsidR="00CB704F">
        <w:t>test</w:t>
      </w:r>
      <w:r>
        <w:t xml:space="preserve"> configurations. In this case, For a CU of size 2Nx2N, the transform size of U and V is always </w:t>
      </w:r>
      <w:proofErr w:type="spellStart"/>
      <w:r>
        <w:t>NxN</w:t>
      </w:r>
      <w:proofErr w:type="spellEnd"/>
      <w:r>
        <w:t xml:space="preserve"> (</w:t>
      </w:r>
      <w:r w:rsidR="004C0098">
        <w:fldChar w:fldCharType="begin"/>
      </w:r>
      <w:r>
        <w:instrText xml:space="preserve"> REF _Ref287467003 \h </w:instrText>
      </w:r>
      <w:r w:rsidR="004C0098">
        <w:fldChar w:fldCharType="separate"/>
      </w:r>
      <w:r>
        <w:t xml:space="preserve">Table </w:t>
      </w:r>
      <w:r>
        <w:rPr>
          <w:noProof/>
        </w:rPr>
        <w:t>1</w:t>
      </w:r>
      <w:r w:rsidR="004C0098">
        <w:fldChar w:fldCharType="end"/>
      </w:r>
      <w:r>
        <w:t xml:space="preserve">) .  </w:t>
      </w:r>
    </w:p>
    <w:p w:rsidR="002D640B" w:rsidRDefault="002D640B" w:rsidP="00C31A1A"/>
    <w:p w:rsidR="002D640B" w:rsidRPr="009576A8" w:rsidRDefault="002D640B" w:rsidP="00240B16">
      <w:pPr>
        <w:pStyle w:val="Caption"/>
        <w:spacing w:after="100" w:afterAutospacing="1"/>
        <w:jc w:val="center"/>
      </w:pPr>
      <w:bookmarkStart w:id="0" w:name="_Ref287467003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Chroma Transform Size and CU Size (</w:t>
      </w:r>
      <w:r w:rsidRPr="00B046F6">
        <w:t>T</w:t>
      </w:r>
      <w:r>
        <w:t>=3)</w:t>
      </w:r>
    </w:p>
    <w:tbl>
      <w:tblPr>
        <w:tblStyle w:val="TableGrid"/>
        <w:tblW w:w="0" w:type="auto"/>
        <w:jc w:val="center"/>
        <w:tblInd w:w="198" w:type="dxa"/>
        <w:tblLook w:val="04A0"/>
      </w:tblPr>
      <w:tblGrid>
        <w:gridCol w:w="2430"/>
        <w:gridCol w:w="1350"/>
        <w:gridCol w:w="1350"/>
        <w:gridCol w:w="1350"/>
        <w:gridCol w:w="1350"/>
      </w:tblGrid>
      <w:tr w:rsidR="00C31A1A" w:rsidTr="005310BC">
        <w:trPr>
          <w:jc w:val="center"/>
        </w:trPr>
        <w:tc>
          <w:tcPr>
            <w:tcW w:w="2430" w:type="dxa"/>
          </w:tcPr>
          <w:p w:rsidR="00C31A1A" w:rsidRDefault="00C31A1A" w:rsidP="00C109DD">
            <w:pPr>
              <w:jc w:val="center"/>
            </w:pPr>
            <w:r>
              <w:t>CU Size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64x64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32x32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16x16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8x8</w:t>
            </w:r>
          </w:p>
        </w:tc>
      </w:tr>
      <w:tr w:rsidR="00C31A1A" w:rsidTr="005310BC">
        <w:trPr>
          <w:jc w:val="center"/>
        </w:trPr>
        <w:tc>
          <w:tcPr>
            <w:tcW w:w="2430" w:type="dxa"/>
          </w:tcPr>
          <w:p w:rsidR="00C31A1A" w:rsidRDefault="00C31A1A" w:rsidP="00C109DD">
            <w:pPr>
              <w:jc w:val="center"/>
            </w:pPr>
            <w:r>
              <w:t>Chroma Transform Size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32x32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16x16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8x8</w:t>
            </w:r>
          </w:p>
        </w:tc>
        <w:tc>
          <w:tcPr>
            <w:tcW w:w="1350" w:type="dxa"/>
          </w:tcPr>
          <w:p w:rsidR="00C31A1A" w:rsidRDefault="00C31A1A" w:rsidP="00C109DD">
            <w:pPr>
              <w:jc w:val="center"/>
            </w:pPr>
            <w:r>
              <w:t>4x4</w:t>
            </w:r>
          </w:p>
        </w:tc>
      </w:tr>
    </w:tbl>
    <w:p w:rsidR="00C31A1A" w:rsidRDefault="00C31A1A" w:rsidP="00856829">
      <w:pPr>
        <w:jc w:val="both"/>
        <w:rPr>
          <w:szCs w:val="22"/>
        </w:rPr>
      </w:pPr>
    </w:p>
    <w:p w:rsidR="00020C5C" w:rsidRDefault="00020C5C" w:rsidP="00856829">
      <w:pPr>
        <w:jc w:val="both"/>
        <w:rPr>
          <w:szCs w:val="22"/>
        </w:rPr>
      </w:pPr>
      <w:r>
        <w:rPr>
          <w:szCs w:val="22"/>
        </w:rPr>
        <w:t xml:space="preserve">Only </w:t>
      </w:r>
      <w:r w:rsidR="00426521">
        <w:rPr>
          <w:szCs w:val="22"/>
        </w:rPr>
        <w:t>AI-</w:t>
      </w:r>
      <w:r>
        <w:rPr>
          <w:szCs w:val="22"/>
        </w:rPr>
        <w:t>HE test case are evaluated and the B-D rate changes are provided in the following table.</w:t>
      </w:r>
    </w:p>
    <w:tbl>
      <w:tblPr>
        <w:tblW w:w="4540" w:type="dxa"/>
        <w:jc w:val="center"/>
        <w:tblInd w:w="95" w:type="dxa"/>
        <w:tblLook w:val="04A0"/>
      </w:tblPr>
      <w:tblGrid>
        <w:gridCol w:w="1660"/>
        <w:gridCol w:w="960"/>
        <w:gridCol w:w="960"/>
        <w:gridCol w:w="960"/>
      </w:tblGrid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bookmarkStart w:id="1" w:name="_Ref287362821"/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</w:tr>
      <w:tr w:rsidR="003F0951" w:rsidRPr="00E66B6B" w:rsidTr="003F0951">
        <w:trPr>
          <w:trHeight w:val="315"/>
          <w:jc w:val="center"/>
        </w:trPr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-4.0%</w:t>
            </w:r>
          </w:p>
        </w:tc>
      </w:tr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-1.9%</w:t>
            </w:r>
          </w:p>
        </w:tc>
      </w:tr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-3.2%</w:t>
            </w:r>
          </w:p>
        </w:tc>
      </w:tr>
      <w:tr w:rsidR="003F0951" w:rsidRPr="00E66B6B" w:rsidTr="003F0951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-0.9%</w:t>
            </w:r>
          </w:p>
        </w:tc>
      </w:tr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-1.7%</w:t>
            </w:r>
          </w:p>
        </w:tc>
      </w:tr>
      <w:tr w:rsidR="003F0951" w:rsidRPr="00E66B6B" w:rsidTr="003F0951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-1.8%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-1.7%</w:t>
            </w:r>
          </w:p>
        </w:tc>
      </w:tr>
      <w:tr w:rsidR="003F0951" w:rsidRPr="00E66B6B" w:rsidTr="003F0951">
        <w:trPr>
          <w:trHeight w:val="300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Default="003F0951" w:rsidP="00EB1B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3F0951" w:rsidRPr="00E66B6B" w:rsidTr="003F0951">
        <w:trPr>
          <w:trHeight w:val="315"/>
          <w:jc w:val="center"/>
        </w:trPr>
        <w:tc>
          <w:tcPr>
            <w:tcW w:w="1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EB1B9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66B6B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0951" w:rsidRPr="00E66B6B" w:rsidRDefault="003F0951" w:rsidP="008A17E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</w:t>
            </w:r>
            <w:r w:rsidR="008A17E5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%</w:t>
            </w:r>
          </w:p>
        </w:tc>
      </w:tr>
    </w:tbl>
    <w:p w:rsidR="00020C5C" w:rsidRDefault="00020C5C" w:rsidP="00020C5C">
      <w:pPr>
        <w:jc w:val="center"/>
      </w:pPr>
      <w:r>
        <w:t xml:space="preserve">Table </w:t>
      </w:r>
      <w:bookmarkEnd w:id="1"/>
      <w:r>
        <w:t xml:space="preserve">I BD rate reduction of limiting </w:t>
      </w:r>
      <w:proofErr w:type="spellStart"/>
      <w:r>
        <w:t>chroma</w:t>
      </w:r>
      <w:proofErr w:type="spellEnd"/>
      <w:r>
        <w:t xml:space="preserve"> RQT depth (T=3) </w:t>
      </w:r>
    </w:p>
    <w:p w:rsidR="00904E61" w:rsidRDefault="00E83E84" w:rsidP="00426521">
      <w:pPr>
        <w:jc w:val="both"/>
      </w:pPr>
      <w:r>
        <w:rPr>
          <w:szCs w:val="22"/>
        </w:rPr>
        <w:t xml:space="preserve"> </w:t>
      </w:r>
    </w:p>
    <w:p w:rsidR="00306F04" w:rsidRDefault="00306F04" w:rsidP="00306F04">
      <w:pPr>
        <w:pStyle w:val="Heading1"/>
      </w:pPr>
      <w:r w:rsidRPr="009F1E60">
        <w:t>Conclusion</w:t>
      </w:r>
    </w:p>
    <w:p w:rsidR="00306F04" w:rsidRPr="00306F04" w:rsidRDefault="00306F04" w:rsidP="00306F04"/>
    <w:p w:rsidR="00020C5C" w:rsidRDefault="00AF7710" w:rsidP="00306F04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</w:pPr>
      <w:r>
        <w:t xml:space="preserve">In this contribution, </w:t>
      </w:r>
      <w:r w:rsidR="00020C5C">
        <w:t>the method proposed in E377 (limiting Chroma transform depth)</w:t>
      </w:r>
      <w:r w:rsidR="005D410F">
        <w:t xml:space="preserve"> </w:t>
      </w:r>
      <w:r w:rsidR="00020C5C">
        <w:t xml:space="preserve">has been </w:t>
      </w:r>
      <w:r w:rsidR="00426521">
        <w:t xml:space="preserve"> </w:t>
      </w:r>
      <w:proofErr w:type="spellStart"/>
      <w:r w:rsidR="00020C5C">
        <w:t>mplemented</w:t>
      </w:r>
      <w:proofErr w:type="spellEnd"/>
      <w:r w:rsidR="00020C5C">
        <w:t xml:space="preserve"> on top of HM 4.0 and evaluated</w:t>
      </w:r>
      <w:r w:rsidR="00426521">
        <w:t>. Experimental results show that for AI-HE, 1</w:t>
      </w:r>
      <w:r w:rsidR="00020C5C">
        <w:t>.</w:t>
      </w:r>
      <w:r w:rsidR="00426521">
        <w:t xml:space="preserve">8% and 1.7% B-D rate reduction has been achieved for U and V components. </w:t>
      </w:r>
      <w:r w:rsidR="00020C5C">
        <w:t xml:space="preserve"> </w:t>
      </w:r>
    </w:p>
    <w:p w:rsidR="00BE0B83" w:rsidRDefault="00AA3DAF" w:rsidP="00AA3DAF">
      <w:pPr>
        <w:pStyle w:val="Heading1"/>
      </w:pPr>
      <w:r w:rsidRPr="00AA3DAF">
        <w:t>References</w:t>
      </w:r>
    </w:p>
    <w:p w:rsidR="00BE0447" w:rsidRDefault="00020C5C" w:rsidP="00BE0447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</w:pPr>
      <w:r>
        <w:t xml:space="preserve">L. Guo, X. Wang, P. Chen, Y. </w:t>
      </w:r>
      <w:r w:rsidRPr="00020C5C">
        <w:rPr>
          <w:szCs w:val="22"/>
        </w:rPr>
        <w:t xml:space="preserve">Chen </w:t>
      </w:r>
      <w:r w:rsidR="009576A8" w:rsidRPr="00020C5C">
        <w:rPr>
          <w:szCs w:val="22"/>
        </w:rPr>
        <w:t xml:space="preserve">and </w:t>
      </w:r>
      <w:r w:rsidRPr="00020C5C">
        <w:rPr>
          <w:szCs w:val="22"/>
        </w:rPr>
        <w:t>M</w:t>
      </w:r>
      <w:r w:rsidR="009576A8" w:rsidRPr="00020C5C">
        <w:rPr>
          <w:szCs w:val="22"/>
        </w:rPr>
        <w:t xml:space="preserve">. </w:t>
      </w:r>
      <w:r>
        <w:rPr>
          <w:szCs w:val="22"/>
        </w:rPr>
        <w:t>Karczewicz</w:t>
      </w:r>
      <w:r w:rsidR="00BE0447">
        <w:rPr>
          <w:szCs w:val="22"/>
        </w:rPr>
        <w:t>,</w:t>
      </w:r>
      <w:r w:rsidR="00BE0447" w:rsidRPr="00020C5C">
        <w:rPr>
          <w:szCs w:val="22"/>
        </w:rPr>
        <w:t xml:space="preserve"> “</w:t>
      </w:r>
      <w:r w:rsidRPr="00020C5C">
        <w:rPr>
          <w:szCs w:val="22"/>
        </w:rPr>
        <w:t>Limiting Chroma Transform Depth in Residue Quad Tree (RQT)</w:t>
      </w:r>
      <w:r w:rsidR="00BE0447" w:rsidRPr="00020C5C">
        <w:rPr>
          <w:szCs w:val="22"/>
        </w:rPr>
        <w:t>”, JCTVC-</w:t>
      </w:r>
      <w:r w:rsidRPr="00020C5C">
        <w:rPr>
          <w:szCs w:val="22"/>
        </w:rPr>
        <w:t>E377</w:t>
      </w:r>
      <w:r w:rsidR="00BE0447" w:rsidRPr="00020C5C">
        <w:rPr>
          <w:szCs w:val="22"/>
        </w:rPr>
        <w:t>,</w:t>
      </w:r>
      <w:r w:rsidR="009576A8" w:rsidRPr="00E1283F">
        <w:rPr>
          <w:szCs w:val="22"/>
        </w:rPr>
        <w:t xml:space="preserve"> JCT-VC Meeting, </w:t>
      </w:r>
      <w:r>
        <w:rPr>
          <w:szCs w:val="22"/>
        </w:rPr>
        <w:t>Geneva</w:t>
      </w:r>
      <w:r w:rsidR="009576A8" w:rsidRPr="00E1283F">
        <w:rPr>
          <w:szCs w:val="22"/>
        </w:rPr>
        <w:t xml:space="preserve">, </w:t>
      </w:r>
      <w:r>
        <w:rPr>
          <w:szCs w:val="22"/>
        </w:rPr>
        <w:t>Switzerland</w:t>
      </w:r>
      <w:r w:rsidR="009576A8" w:rsidRPr="00E1283F">
        <w:rPr>
          <w:szCs w:val="22"/>
        </w:rPr>
        <w:t xml:space="preserve">, </w:t>
      </w:r>
      <w:r>
        <w:rPr>
          <w:szCs w:val="22"/>
        </w:rPr>
        <w:t>Mar</w:t>
      </w:r>
      <w:r w:rsidR="009576A8" w:rsidRPr="00E1283F">
        <w:rPr>
          <w:szCs w:val="22"/>
        </w:rPr>
        <w:t>. 2011</w:t>
      </w:r>
      <w:r w:rsidR="00BE0447" w:rsidRPr="00020C5C">
        <w:rPr>
          <w:szCs w:val="22"/>
        </w:rPr>
        <w:t>.</w:t>
      </w:r>
      <w:r w:rsidR="00BE0447" w:rsidRPr="00807EA1">
        <w:t xml:space="preserve"> </w:t>
      </w:r>
    </w:p>
    <w:p w:rsidR="00020C5C" w:rsidRPr="00E1283F" w:rsidRDefault="00020C5C" w:rsidP="00020C5C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szCs w:val="22"/>
        </w:rPr>
      </w:pPr>
      <w:proofErr w:type="spellStart"/>
      <w:r w:rsidRPr="00D24141">
        <w:rPr>
          <w:szCs w:val="22"/>
        </w:rPr>
        <w:t>F.Bossen</w:t>
      </w:r>
      <w:proofErr w:type="spellEnd"/>
      <w:r w:rsidRPr="00D24141">
        <w:rPr>
          <w:szCs w:val="22"/>
        </w:rPr>
        <w:t>, “Common test conditions and software reference configurations”, JCTVC-</w:t>
      </w:r>
      <w:r>
        <w:rPr>
          <w:szCs w:val="22"/>
        </w:rPr>
        <w:t>F9</w:t>
      </w:r>
      <w:r w:rsidRPr="00D24141">
        <w:rPr>
          <w:szCs w:val="22"/>
        </w:rPr>
        <w:t xml:space="preserve">00, JCT-VC Meeting, </w:t>
      </w:r>
      <w:r>
        <w:rPr>
          <w:szCs w:val="22"/>
        </w:rPr>
        <w:t>Torino</w:t>
      </w:r>
      <w:r w:rsidRPr="00D24141">
        <w:rPr>
          <w:szCs w:val="22"/>
        </w:rPr>
        <w:t>,</w:t>
      </w:r>
      <w:r>
        <w:rPr>
          <w:szCs w:val="22"/>
        </w:rPr>
        <w:t xml:space="preserve"> Italy</w:t>
      </w:r>
      <w:r w:rsidRPr="00D24141">
        <w:rPr>
          <w:szCs w:val="22"/>
        </w:rPr>
        <w:t xml:space="preserve">, </w:t>
      </w:r>
      <w:r>
        <w:rPr>
          <w:szCs w:val="22"/>
        </w:rPr>
        <w:t>Jul</w:t>
      </w:r>
      <w:r w:rsidRPr="00D24141">
        <w:rPr>
          <w:szCs w:val="22"/>
        </w:rPr>
        <w:t>. 2011.</w:t>
      </w:r>
    </w:p>
    <w:p w:rsidR="000273CF" w:rsidRPr="00E1283F" w:rsidRDefault="000273CF" w:rsidP="000273CF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  <w:rPr>
          <w:szCs w:val="22"/>
        </w:rPr>
      </w:pPr>
    </w:p>
    <w:p w:rsidR="00BE0447" w:rsidRDefault="00BE0447" w:rsidP="00BE0447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360"/>
        <w:jc w:val="both"/>
      </w:pPr>
    </w:p>
    <w:p w:rsidR="00B0060F" w:rsidRPr="002B191D" w:rsidRDefault="00B0060F" w:rsidP="00B0060F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B0060F" w:rsidRDefault="00BE0447" w:rsidP="00B0060F">
      <w:pPr>
        <w:jc w:val="both"/>
        <w:rPr>
          <w:szCs w:val="22"/>
        </w:rPr>
      </w:pPr>
      <w:r w:rsidRPr="00BE0447">
        <w:rPr>
          <w:b/>
          <w:szCs w:val="22"/>
        </w:rPr>
        <w:t xml:space="preserve">Qualcomm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| ISO/IEC International 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B0060F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52C" w:rsidRDefault="00E7652C">
      <w:r>
        <w:separator/>
      </w:r>
    </w:p>
  </w:endnote>
  <w:endnote w:type="continuationSeparator" w:id="0">
    <w:p w:rsidR="00E7652C" w:rsidRDefault="00E76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52C" w:rsidRDefault="00E7652C">
      <w:r>
        <w:separator/>
      </w:r>
    </w:p>
  </w:footnote>
  <w:footnote w:type="continuationSeparator" w:id="0">
    <w:p w:rsidR="00E7652C" w:rsidRDefault="00E765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0C5C"/>
    <w:rsid w:val="000237C0"/>
    <w:rsid w:val="000273CF"/>
    <w:rsid w:val="00036518"/>
    <w:rsid w:val="000445D5"/>
    <w:rsid w:val="000450C4"/>
    <w:rsid w:val="000458BC"/>
    <w:rsid w:val="00045C41"/>
    <w:rsid w:val="00046C03"/>
    <w:rsid w:val="00046CB9"/>
    <w:rsid w:val="0005212D"/>
    <w:rsid w:val="0005253D"/>
    <w:rsid w:val="00055A05"/>
    <w:rsid w:val="00067B20"/>
    <w:rsid w:val="000736C1"/>
    <w:rsid w:val="0007614F"/>
    <w:rsid w:val="00084800"/>
    <w:rsid w:val="000910BC"/>
    <w:rsid w:val="000A02EB"/>
    <w:rsid w:val="000A0B78"/>
    <w:rsid w:val="000A2ADA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101A5F"/>
    <w:rsid w:val="00102B5C"/>
    <w:rsid w:val="00103D3E"/>
    <w:rsid w:val="00103D64"/>
    <w:rsid w:val="00105F9E"/>
    <w:rsid w:val="00110FA7"/>
    <w:rsid w:val="00111E75"/>
    <w:rsid w:val="00113FFE"/>
    <w:rsid w:val="00124782"/>
    <w:rsid w:val="001247FB"/>
    <w:rsid w:val="00124E38"/>
    <w:rsid w:val="0012580B"/>
    <w:rsid w:val="00125810"/>
    <w:rsid w:val="001263B4"/>
    <w:rsid w:val="0013220D"/>
    <w:rsid w:val="0013301F"/>
    <w:rsid w:val="0013467C"/>
    <w:rsid w:val="0013526E"/>
    <w:rsid w:val="0013537F"/>
    <w:rsid w:val="001472C5"/>
    <w:rsid w:val="00171371"/>
    <w:rsid w:val="00175A24"/>
    <w:rsid w:val="00180550"/>
    <w:rsid w:val="001810E4"/>
    <w:rsid w:val="00181E7E"/>
    <w:rsid w:val="0018559A"/>
    <w:rsid w:val="00185DAF"/>
    <w:rsid w:val="00187E58"/>
    <w:rsid w:val="001922C1"/>
    <w:rsid w:val="001A17A1"/>
    <w:rsid w:val="001A297E"/>
    <w:rsid w:val="001A368E"/>
    <w:rsid w:val="001A7329"/>
    <w:rsid w:val="001B4E28"/>
    <w:rsid w:val="001C2D1D"/>
    <w:rsid w:val="001C3525"/>
    <w:rsid w:val="001D1BD2"/>
    <w:rsid w:val="001D2085"/>
    <w:rsid w:val="001D2A14"/>
    <w:rsid w:val="001E02BE"/>
    <w:rsid w:val="001E2E7A"/>
    <w:rsid w:val="001E3B37"/>
    <w:rsid w:val="001E44D3"/>
    <w:rsid w:val="001E525D"/>
    <w:rsid w:val="001E5D45"/>
    <w:rsid w:val="001F2594"/>
    <w:rsid w:val="00205972"/>
    <w:rsid w:val="00206460"/>
    <w:rsid w:val="002069B4"/>
    <w:rsid w:val="00212B80"/>
    <w:rsid w:val="00215DFC"/>
    <w:rsid w:val="002175EE"/>
    <w:rsid w:val="002212DF"/>
    <w:rsid w:val="00227BA7"/>
    <w:rsid w:val="00227DA0"/>
    <w:rsid w:val="002316EB"/>
    <w:rsid w:val="0023799C"/>
    <w:rsid w:val="00240B16"/>
    <w:rsid w:val="00246F34"/>
    <w:rsid w:val="002514C4"/>
    <w:rsid w:val="00255076"/>
    <w:rsid w:val="00257551"/>
    <w:rsid w:val="00263F2D"/>
    <w:rsid w:val="00264C70"/>
    <w:rsid w:val="00266400"/>
    <w:rsid w:val="00275BCF"/>
    <w:rsid w:val="00280F77"/>
    <w:rsid w:val="00283A4A"/>
    <w:rsid w:val="00284A27"/>
    <w:rsid w:val="00284DBF"/>
    <w:rsid w:val="00286807"/>
    <w:rsid w:val="002916B4"/>
    <w:rsid w:val="00292257"/>
    <w:rsid w:val="00293A88"/>
    <w:rsid w:val="002A5187"/>
    <w:rsid w:val="002A54E0"/>
    <w:rsid w:val="002A5813"/>
    <w:rsid w:val="002B0C18"/>
    <w:rsid w:val="002B13B8"/>
    <w:rsid w:val="002B1595"/>
    <w:rsid w:val="002B191D"/>
    <w:rsid w:val="002B3174"/>
    <w:rsid w:val="002B399E"/>
    <w:rsid w:val="002D0AF6"/>
    <w:rsid w:val="002D425E"/>
    <w:rsid w:val="002D640B"/>
    <w:rsid w:val="002D77E9"/>
    <w:rsid w:val="002D7D8F"/>
    <w:rsid w:val="002E14E4"/>
    <w:rsid w:val="002E4E7E"/>
    <w:rsid w:val="002E5B00"/>
    <w:rsid w:val="002F00CB"/>
    <w:rsid w:val="002F05FB"/>
    <w:rsid w:val="002F164D"/>
    <w:rsid w:val="002F5947"/>
    <w:rsid w:val="00306206"/>
    <w:rsid w:val="00306F04"/>
    <w:rsid w:val="00310021"/>
    <w:rsid w:val="00311686"/>
    <w:rsid w:val="00317D5A"/>
    <w:rsid w:val="00322486"/>
    <w:rsid w:val="00322AC9"/>
    <w:rsid w:val="00327C56"/>
    <w:rsid w:val="00330DED"/>
    <w:rsid w:val="003315A1"/>
    <w:rsid w:val="00335705"/>
    <w:rsid w:val="00335B32"/>
    <w:rsid w:val="00336CB8"/>
    <w:rsid w:val="003373EC"/>
    <w:rsid w:val="0034119C"/>
    <w:rsid w:val="0034578B"/>
    <w:rsid w:val="00345D59"/>
    <w:rsid w:val="00346E35"/>
    <w:rsid w:val="003472F2"/>
    <w:rsid w:val="003507E8"/>
    <w:rsid w:val="003615B4"/>
    <w:rsid w:val="00362B76"/>
    <w:rsid w:val="003706CC"/>
    <w:rsid w:val="003739C5"/>
    <w:rsid w:val="0038381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D4CA1"/>
    <w:rsid w:val="003E4440"/>
    <w:rsid w:val="003E6F90"/>
    <w:rsid w:val="003F08B2"/>
    <w:rsid w:val="003F0951"/>
    <w:rsid w:val="003F0AD6"/>
    <w:rsid w:val="003F22E0"/>
    <w:rsid w:val="003F2B66"/>
    <w:rsid w:val="003F3575"/>
    <w:rsid w:val="003F5D0F"/>
    <w:rsid w:val="003F72DF"/>
    <w:rsid w:val="004022EE"/>
    <w:rsid w:val="00402C66"/>
    <w:rsid w:val="004057D9"/>
    <w:rsid w:val="004063C1"/>
    <w:rsid w:val="00414101"/>
    <w:rsid w:val="00417D79"/>
    <w:rsid w:val="00426521"/>
    <w:rsid w:val="00430BBB"/>
    <w:rsid w:val="00433DDB"/>
    <w:rsid w:val="00437619"/>
    <w:rsid w:val="004479CD"/>
    <w:rsid w:val="00451F3C"/>
    <w:rsid w:val="0045556C"/>
    <w:rsid w:val="0048305A"/>
    <w:rsid w:val="00485847"/>
    <w:rsid w:val="00486A4C"/>
    <w:rsid w:val="004B1C63"/>
    <w:rsid w:val="004B210C"/>
    <w:rsid w:val="004B2280"/>
    <w:rsid w:val="004B7892"/>
    <w:rsid w:val="004B7EDC"/>
    <w:rsid w:val="004C0098"/>
    <w:rsid w:val="004C08AF"/>
    <w:rsid w:val="004D1AA0"/>
    <w:rsid w:val="004D405F"/>
    <w:rsid w:val="004E11BA"/>
    <w:rsid w:val="004E2C20"/>
    <w:rsid w:val="004E4BED"/>
    <w:rsid w:val="004E7058"/>
    <w:rsid w:val="004E7144"/>
    <w:rsid w:val="004E7D03"/>
    <w:rsid w:val="004F61E3"/>
    <w:rsid w:val="004F755B"/>
    <w:rsid w:val="00500EA4"/>
    <w:rsid w:val="0050214C"/>
    <w:rsid w:val="005040B6"/>
    <w:rsid w:val="0051015C"/>
    <w:rsid w:val="005127C9"/>
    <w:rsid w:val="00521F41"/>
    <w:rsid w:val="00522F1F"/>
    <w:rsid w:val="00523058"/>
    <w:rsid w:val="005310BC"/>
    <w:rsid w:val="00531AE9"/>
    <w:rsid w:val="005350F1"/>
    <w:rsid w:val="005356DB"/>
    <w:rsid w:val="005358D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817E3"/>
    <w:rsid w:val="0059794E"/>
    <w:rsid w:val="005A22BD"/>
    <w:rsid w:val="005A33A1"/>
    <w:rsid w:val="005B450F"/>
    <w:rsid w:val="005C1DDE"/>
    <w:rsid w:val="005C2A2C"/>
    <w:rsid w:val="005C2DFA"/>
    <w:rsid w:val="005C2F8D"/>
    <w:rsid w:val="005C385F"/>
    <w:rsid w:val="005C575E"/>
    <w:rsid w:val="005C5CA4"/>
    <w:rsid w:val="005D410F"/>
    <w:rsid w:val="005D63DD"/>
    <w:rsid w:val="005F460A"/>
    <w:rsid w:val="005F6F1B"/>
    <w:rsid w:val="005F78D4"/>
    <w:rsid w:val="006033E1"/>
    <w:rsid w:val="006043CF"/>
    <w:rsid w:val="00605CE5"/>
    <w:rsid w:val="00613009"/>
    <w:rsid w:val="006139B0"/>
    <w:rsid w:val="00624B33"/>
    <w:rsid w:val="006278A6"/>
    <w:rsid w:val="00627BFF"/>
    <w:rsid w:val="00627F79"/>
    <w:rsid w:val="00636ED4"/>
    <w:rsid w:val="00640DF1"/>
    <w:rsid w:val="00646707"/>
    <w:rsid w:val="00647EE3"/>
    <w:rsid w:val="0065065C"/>
    <w:rsid w:val="0066287E"/>
    <w:rsid w:val="00662D4C"/>
    <w:rsid w:val="006642A9"/>
    <w:rsid w:val="00664DCF"/>
    <w:rsid w:val="00672BCE"/>
    <w:rsid w:val="0067596A"/>
    <w:rsid w:val="00675D29"/>
    <w:rsid w:val="00680585"/>
    <w:rsid w:val="00684E08"/>
    <w:rsid w:val="00685B10"/>
    <w:rsid w:val="00694D8B"/>
    <w:rsid w:val="006969EB"/>
    <w:rsid w:val="006A4735"/>
    <w:rsid w:val="006B0593"/>
    <w:rsid w:val="006C0A5E"/>
    <w:rsid w:val="006C4DF0"/>
    <w:rsid w:val="006C5D39"/>
    <w:rsid w:val="006D3FE6"/>
    <w:rsid w:val="006D52BB"/>
    <w:rsid w:val="006E2810"/>
    <w:rsid w:val="006E5417"/>
    <w:rsid w:val="006E6536"/>
    <w:rsid w:val="006E7A7F"/>
    <w:rsid w:val="006E7D22"/>
    <w:rsid w:val="006F4649"/>
    <w:rsid w:val="007011B7"/>
    <w:rsid w:val="00705008"/>
    <w:rsid w:val="00707345"/>
    <w:rsid w:val="007078FB"/>
    <w:rsid w:val="007101D8"/>
    <w:rsid w:val="007115F3"/>
    <w:rsid w:val="00712F60"/>
    <w:rsid w:val="007151EF"/>
    <w:rsid w:val="00720E3B"/>
    <w:rsid w:val="00722292"/>
    <w:rsid w:val="007272D1"/>
    <w:rsid w:val="00727366"/>
    <w:rsid w:val="00745F6B"/>
    <w:rsid w:val="00746CA4"/>
    <w:rsid w:val="0075057A"/>
    <w:rsid w:val="0075342A"/>
    <w:rsid w:val="00753AA8"/>
    <w:rsid w:val="0075417D"/>
    <w:rsid w:val="0075585E"/>
    <w:rsid w:val="00760048"/>
    <w:rsid w:val="00760697"/>
    <w:rsid w:val="00763DD9"/>
    <w:rsid w:val="0077435F"/>
    <w:rsid w:val="00775AF3"/>
    <w:rsid w:val="00775E0A"/>
    <w:rsid w:val="007768FF"/>
    <w:rsid w:val="00776D63"/>
    <w:rsid w:val="007818F7"/>
    <w:rsid w:val="007824D3"/>
    <w:rsid w:val="00783C1D"/>
    <w:rsid w:val="00785A32"/>
    <w:rsid w:val="00786DEE"/>
    <w:rsid w:val="00787F74"/>
    <w:rsid w:val="00791C8F"/>
    <w:rsid w:val="00796EE3"/>
    <w:rsid w:val="007A0432"/>
    <w:rsid w:val="007A5866"/>
    <w:rsid w:val="007A7D29"/>
    <w:rsid w:val="007C21F5"/>
    <w:rsid w:val="007C69F4"/>
    <w:rsid w:val="007E2057"/>
    <w:rsid w:val="007F1F8B"/>
    <w:rsid w:val="008022F1"/>
    <w:rsid w:val="008033F4"/>
    <w:rsid w:val="00806A5C"/>
    <w:rsid w:val="00810372"/>
    <w:rsid w:val="00820567"/>
    <w:rsid w:val="008206C8"/>
    <w:rsid w:val="00821713"/>
    <w:rsid w:val="0082192F"/>
    <w:rsid w:val="0082690D"/>
    <w:rsid w:val="00827541"/>
    <w:rsid w:val="0083208E"/>
    <w:rsid w:val="008325CF"/>
    <w:rsid w:val="00837F79"/>
    <w:rsid w:val="00845F2A"/>
    <w:rsid w:val="008516A4"/>
    <w:rsid w:val="00856829"/>
    <w:rsid w:val="0087367A"/>
    <w:rsid w:val="00874A6C"/>
    <w:rsid w:val="00876C65"/>
    <w:rsid w:val="0088191F"/>
    <w:rsid w:val="00890427"/>
    <w:rsid w:val="008A0F58"/>
    <w:rsid w:val="008A17E5"/>
    <w:rsid w:val="008A205F"/>
    <w:rsid w:val="008A278A"/>
    <w:rsid w:val="008A4B4C"/>
    <w:rsid w:val="008B07FF"/>
    <w:rsid w:val="008B2A80"/>
    <w:rsid w:val="008B40EB"/>
    <w:rsid w:val="008B669E"/>
    <w:rsid w:val="008C239F"/>
    <w:rsid w:val="008D7602"/>
    <w:rsid w:val="008F1581"/>
    <w:rsid w:val="00904E61"/>
    <w:rsid w:val="00906EEC"/>
    <w:rsid w:val="00907757"/>
    <w:rsid w:val="00910D77"/>
    <w:rsid w:val="00911EDA"/>
    <w:rsid w:val="0091795A"/>
    <w:rsid w:val="009212B0"/>
    <w:rsid w:val="009228B8"/>
    <w:rsid w:val="009234A5"/>
    <w:rsid w:val="009271B8"/>
    <w:rsid w:val="00931C7C"/>
    <w:rsid w:val="009336F7"/>
    <w:rsid w:val="009374A7"/>
    <w:rsid w:val="00942E95"/>
    <w:rsid w:val="00944272"/>
    <w:rsid w:val="009537FB"/>
    <w:rsid w:val="009576A8"/>
    <w:rsid w:val="00964177"/>
    <w:rsid w:val="009811FE"/>
    <w:rsid w:val="00991BF9"/>
    <w:rsid w:val="0099518F"/>
    <w:rsid w:val="009A523D"/>
    <w:rsid w:val="009B5205"/>
    <w:rsid w:val="009B6080"/>
    <w:rsid w:val="009D10EB"/>
    <w:rsid w:val="009D2C63"/>
    <w:rsid w:val="009E2527"/>
    <w:rsid w:val="009F0AAB"/>
    <w:rsid w:val="009F1260"/>
    <w:rsid w:val="009F1E60"/>
    <w:rsid w:val="009F1F51"/>
    <w:rsid w:val="009F20BE"/>
    <w:rsid w:val="009F496B"/>
    <w:rsid w:val="00A01439"/>
    <w:rsid w:val="00A01CE8"/>
    <w:rsid w:val="00A02E61"/>
    <w:rsid w:val="00A041D5"/>
    <w:rsid w:val="00A04B3A"/>
    <w:rsid w:val="00A05CFF"/>
    <w:rsid w:val="00A123D8"/>
    <w:rsid w:val="00A12EA7"/>
    <w:rsid w:val="00A162A3"/>
    <w:rsid w:val="00A201B1"/>
    <w:rsid w:val="00A20FE3"/>
    <w:rsid w:val="00A314F7"/>
    <w:rsid w:val="00A32159"/>
    <w:rsid w:val="00A5270E"/>
    <w:rsid w:val="00A53C23"/>
    <w:rsid w:val="00A53FD5"/>
    <w:rsid w:val="00A5520B"/>
    <w:rsid w:val="00A56B97"/>
    <w:rsid w:val="00A6093D"/>
    <w:rsid w:val="00A6624F"/>
    <w:rsid w:val="00A66C00"/>
    <w:rsid w:val="00A70C1C"/>
    <w:rsid w:val="00A76A6D"/>
    <w:rsid w:val="00A76DB9"/>
    <w:rsid w:val="00A77746"/>
    <w:rsid w:val="00A81F1E"/>
    <w:rsid w:val="00A83253"/>
    <w:rsid w:val="00A84A3D"/>
    <w:rsid w:val="00AA36D1"/>
    <w:rsid w:val="00AA3DAF"/>
    <w:rsid w:val="00AA68E8"/>
    <w:rsid w:val="00AA6B61"/>
    <w:rsid w:val="00AA6E84"/>
    <w:rsid w:val="00AB3879"/>
    <w:rsid w:val="00AC574B"/>
    <w:rsid w:val="00AD28E5"/>
    <w:rsid w:val="00AD5405"/>
    <w:rsid w:val="00AE0478"/>
    <w:rsid w:val="00AE341B"/>
    <w:rsid w:val="00AE793E"/>
    <w:rsid w:val="00AF00B9"/>
    <w:rsid w:val="00AF4DC6"/>
    <w:rsid w:val="00AF7710"/>
    <w:rsid w:val="00B0060F"/>
    <w:rsid w:val="00B00799"/>
    <w:rsid w:val="00B046F6"/>
    <w:rsid w:val="00B0733E"/>
    <w:rsid w:val="00B07CA7"/>
    <w:rsid w:val="00B122ED"/>
    <w:rsid w:val="00B124BE"/>
    <w:rsid w:val="00B1279A"/>
    <w:rsid w:val="00B16867"/>
    <w:rsid w:val="00B204CD"/>
    <w:rsid w:val="00B30081"/>
    <w:rsid w:val="00B30177"/>
    <w:rsid w:val="00B31AF2"/>
    <w:rsid w:val="00B341FC"/>
    <w:rsid w:val="00B375E8"/>
    <w:rsid w:val="00B37B33"/>
    <w:rsid w:val="00B42AF1"/>
    <w:rsid w:val="00B45723"/>
    <w:rsid w:val="00B45CE4"/>
    <w:rsid w:val="00B51C2A"/>
    <w:rsid w:val="00B5222E"/>
    <w:rsid w:val="00B529E6"/>
    <w:rsid w:val="00B61C96"/>
    <w:rsid w:val="00B62374"/>
    <w:rsid w:val="00B651B6"/>
    <w:rsid w:val="00B726EF"/>
    <w:rsid w:val="00B75083"/>
    <w:rsid w:val="00B76DEA"/>
    <w:rsid w:val="00B916DD"/>
    <w:rsid w:val="00B94B06"/>
    <w:rsid w:val="00B94C28"/>
    <w:rsid w:val="00BB44E5"/>
    <w:rsid w:val="00BC10BA"/>
    <w:rsid w:val="00BC3314"/>
    <w:rsid w:val="00BC5AFD"/>
    <w:rsid w:val="00BC6E05"/>
    <w:rsid w:val="00BD0A6D"/>
    <w:rsid w:val="00BE0447"/>
    <w:rsid w:val="00BE0B83"/>
    <w:rsid w:val="00BE516A"/>
    <w:rsid w:val="00BE6E28"/>
    <w:rsid w:val="00BE7C22"/>
    <w:rsid w:val="00C010E0"/>
    <w:rsid w:val="00C0609D"/>
    <w:rsid w:val="00C0657A"/>
    <w:rsid w:val="00C0661B"/>
    <w:rsid w:val="00C115AB"/>
    <w:rsid w:val="00C11749"/>
    <w:rsid w:val="00C17A11"/>
    <w:rsid w:val="00C251C9"/>
    <w:rsid w:val="00C30249"/>
    <w:rsid w:val="00C31A1A"/>
    <w:rsid w:val="00C325D9"/>
    <w:rsid w:val="00C35C8F"/>
    <w:rsid w:val="00C35E9A"/>
    <w:rsid w:val="00C37F6F"/>
    <w:rsid w:val="00C44753"/>
    <w:rsid w:val="00C51EFC"/>
    <w:rsid w:val="00C538D5"/>
    <w:rsid w:val="00C53C08"/>
    <w:rsid w:val="00C606C9"/>
    <w:rsid w:val="00C63E25"/>
    <w:rsid w:val="00C65BC8"/>
    <w:rsid w:val="00C833E3"/>
    <w:rsid w:val="00C90650"/>
    <w:rsid w:val="00C97D78"/>
    <w:rsid w:val="00CA2023"/>
    <w:rsid w:val="00CA61BF"/>
    <w:rsid w:val="00CA6211"/>
    <w:rsid w:val="00CB0C14"/>
    <w:rsid w:val="00CB2A70"/>
    <w:rsid w:val="00CB398F"/>
    <w:rsid w:val="00CB4335"/>
    <w:rsid w:val="00CB704F"/>
    <w:rsid w:val="00CB76C3"/>
    <w:rsid w:val="00CC48CA"/>
    <w:rsid w:val="00CC5A42"/>
    <w:rsid w:val="00CD0EAB"/>
    <w:rsid w:val="00CE137F"/>
    <w:rsid w:val="00CF34DB"/>
    <w:rsid w:val="00CF558F"/>
    <w:rsid w:val="00D04236"/>
    <w:rsid w:val="00D073E2"/>
    <w:rsid w:val="00D12C54"/>
    <w:rsid w:val="00D178C9"/>
    <w:rsid w:val="00D446EC"/>
    <w:rsid w:val="00D51BF0"/>
    <w:rsid w:val="00D54A42"/>
    <w:rsid w:val="00D55942"/>
    <w:rsid w:val="00D565C2"/>
    <w:rsid w:val="00D738E9"/>
    <w:rsid w:val="00D807BF"/>
    <w:rsid w:val="00D952BF"/>
    <w:rsid w:val="00DA7887"/>
    <w:rsid w:val="00DB1A19"/>
    <w:rsid w:val="00DB2C26"/>
    <w:rsid w:val="00DB47D1"/>
    <w:rsid w:val="00DB4DCC"/>
    <w:rsid w:val="00DB6431"/>
    <w:rsid w:val="00DC034B"/>
    <w:rsid w:val="00DC3627"/>
    <w:rsid w:val="00DC79CF"/>
    <w:rsid w:val="00DD0F9E"/>
    <w:rsid w:val="00DD5D34"/>
    <w:rsid w:val="00DD5EE6"/>
    <w:rsid w:val="00DE2C11"/>
    <w:rsid w:val="00DE3E66"/>
    <w:rsid w:val="00DE4044"/>
    <w:rsid w:val="00DE62E4"/>
    <w:rsid w:val="00DE6B43"/>
    <w:rsid w:val="00DF0882"/>
    <w:rsid w:val="00DF3D7E"/>
    <w:rsid w:val="00E02413"/>
    <w:rsid w:val="00E05277"/>
    <w:rsid w:val="00E1283F"/>
    <w:rsid w:val="00E155D8"/>
    <w:rsid w:val="00E2049C"/>
    <w:rsid w:val="00E215EE"/>
    <w:rsid w:val="00E217FE"/>
    <w:rsid w:val="00E232E9"/>
    <w:rsid w:val="00E262D4"/>
    <w:rsid w:val="00E34784"/>
    <w:rsid w:val="00E36250"/>
    <w:rsid w:val="00E3658D"/>
    <w:rsid w:val="00E36DDE"/>
    <w:rsid w:val="00E45DB3"/>
    <w:rsid w:val="00E54511"/>
    <w:rsid w:val="00E61DAC"/>
    <w:rsid w:val="00E660BF"/>
    <w:rsid w:val="00E71B86"/>
    <w:rsid w:val="00E75FE3"/>
    <w:rsid w:val="00E7652C"/>
    <w:rsid w:val="00E76DC8"/>
    <w:rsid w:val="00E82BF3"/>
    <w:rsid w:val="00E837E8"/>
    <w:rsid w:val="00E83CB2"/>
    <w:rsid w:val="00E83E84"/>
    <w:rsid w:val="00E90220"/>
    <w:rsid w:val="00E958B3"/>
    <w:rsid w:val="00EB07B0"/>
    <w:rsid w:val="00EB2604"/>
    <w:rsid w:val="00EB7AB1"/>
    <w:rsid w:val="00EC3887"/>
    <w:rsid w:val="00ED4A55"/>
    <w:rsid w:val="00EE4E37"/>
    <w:rsid w:val="00EF3831"/>
    <w:rsid w:val="00EF48CC"/>
    <w:rsid w:val="00EF4D3C"/>
    <w:rsid w:val="00F0024E"/>
    <w:rsid w:val="00F133E1"/>
    <w:rsid w:val="00F1398C"/>
    <w:rsid w:val="00F21AE3"/>
    <w:rsid w:val="00F26B79"/>
    <w:rsid w:val="00F41892"/>
    <w:rsid w:val="00F4352F"/>
    <w:rsid w:val="00F43AED"/>
    <w:rsid w:val="00F44686"/>
    <w:rsid w:val="00F52B4F"/>
    <w:rsid w:val="00F5313E"/>
    <w:rsid w:val="00F60AA0"/>
    <w:rsid w:val="00F662C6"/>
    <w:rsid w:val="00F700C8"/>
    <w:rsid w:val="00F707DF"/>
    <w:rsid w:val="00F70F2F"/>
    <w:rsid w:val="00F73032"/>
    <w:rsid w:val="00F773F9"/>
    <w:rsid w:val="00F81F66"/>
    <w:rsid w:val="00F848FC"/>
    <w:rsid w:val="00F86BDB"/>
    <w:rsid w:val="00F9282A"/>
    <w:rsid w:val="00F9386F"/>
    <w:rsid w:val="00F96BAD"/>
    <w:rsid w:val="00FA0135"/>
    <w:rsid w:val="00FA0A99"/>
    <w:rsid w:val="00FB0E84"/>
    <w:rsid w:val="00FB3734"/>
    <w:rsid w:val="00FB5326"/>
    <w:rsid w:val="00FB7314"/>
    <w:rsid w:val="00FC1DFC"/>
    <w:rsid w:val="00FD01C2"/>
    <w:rsid w:val="00FD2062"/>
    <w:rsid w:val="00FD2DE9"/>
    <w:rsid w:val="00FD4826"/>
    <w:rsid w:val="00FD5929"/>
    <w:rsid w:val="00FE0361"/>
    <w:rsid w:val="00FE21D6"/>
    <w:rsid w:val="00FE2710"/>
    <w:rsid w:val="00FE3366"/>
    <w:rsid w:val="00FE47D3"/>
    <w:rsid w:val="00FE5A2E"/>
    <w:rsid w:val="00FF0CE3"/>
    <w:rsid w:val="00FF1B05"/>
    <w:rsid w:val="00FF4A07"/>
    <w:rsid w:val="00FF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iweig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E22E2-F938-4C6F-BE10-B627D875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3515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30</cp:revision>
  <cp:lastPrinted>2011-03-04T16:57:00Z</cp:lastPrinted>
  <dcterms:created xsi:type="dcterms:W3CDTF">2011-03-17T13:08:00Z</dcterms:created>
  <dcterms:modified xsi:type="dcterms:W3CDTF">2011-11-24T22:38:00Z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434302995</vt:i4>
  </property>
  <property fmtid="{D5CDD505-2E9C-101B-9397-08002B2CF9AE}" pid="3" name="_NewReviewCycle">
    <vt:lpwstr/>
  </property>
  <property fmtid="{D5CDD505-2E9C-101B-9397-08002B2CF9AE}" pid="4" name="_EmailSubject">
    <vt:lpwstr>chroma fix</vt:lpwstr>
  </property>
  <property fmtid="{D5CDD505-2E9C-101B-9397-08002B2CF9AE}" pid="5" name="_AuthorEmail">
    <vt:lpwstr>xianglin@qualcomm.com</vt:lpwstr>
  </property>
  <property fmtid="{D5CDD505-2E9C-101B-9397-08002B2CF9AE}" pid="6" name="_AuthorEmailDisplayName">
    <vt:lpwstr>Wang, Xianglin (Shawn)</vt:lpwstr>
  </property>
  <property fmtid="{D5CDD505-2E9C-101B-9397-08002B2CF9AE}" pid="7" name="_ReviewingToolsShownOnce">
    <vt:lpwstr/>
  </property>
</Properties>
</file>