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E341B">
        <w:tc>
          <w:tcPr>
            <w:tcW w:w="6408" w:type="dxa"/>
          </w:tcPr>
          <w:p w:rsidR="006C5D39" w:rsidRPr="00AE341B" w:rsidRDefault="00A43B8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A5AF2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AE341B">
              <w:rPr>
                <w:b/>
                <w:szCs w:val="22"/>
              </w:rPr>
              <w:t xml:space="preserve">Joint </w:t>
            </w:r>
            <w:r w:rsidR="006C5D39" w:rsidRPr="00AE341B">
              <w:rPr>
                <w:b/>
                <w:szCs w:val="22"/>
              </w:rPr>
              <w:t>Collaborative</w:t>
            </w:r>
            <w:r w:rsidR="00E61DAC" w:rsidRPr="00AE341B">
              <w:rPr>
                <w:b/>
                <w:szCs w:val="22"/>
              </w:rPr>
              <w:t xml:space="preserve"> Team </w:t>
            </w:r>
            <w:r w:rsidR="006C5D39" w:rsidRPr="00AE341B">
              <w:rPr>
                <w:b/>
                <w:szCs w:val="22"/>
              </w:rPr>
              <w:t>on Video Coding (JCT-VC)</w:t>
            </w:r>
          </w:p>
          <w:p w:rsidR="00E61DAC" w:rsidRPr="00AE341B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="007F1F8B" w:rsidRPr="00AE341B">
              <w:rPr>
                <w:b/>
                <w:szCs w:val="22"/>
              </w:rPr>
              <w:t>ITU-T SG16 WP3 and ISO/IEC JTC1/SC29/WG11</w:t>
            </w:r>
          </w:p>
          <w:p w:rsidR="00E61DAC" w:rsidRPr="00AE341B" w:rsidRDefault="00342FF4" w:rsidP="00342FF4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szCs w:val="22"/>
              </w:rPr>
              <w:t>7</w:t>
            </w:r>
            <w:r w:rsidR="00630AA2">
              <w:rPr>
                <w:szCs w:val="22"/>
              </w:rPr>
              <w:t>th</w:t>
            </w:r>
            <w:r w:rsidR="00E61DAC"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="003F5D0F"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="00A6093D" w:rsidRPr="00AE341B">
              <w:rPr>
                <w:szCs w:val="22"/>
              </w:rPr>
              <w:t>,</w:t>
            </w:r>
            <w:r w:rsidR="00664DCF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21</w:t>
            </w:r>
            <w:r w:rsidR="00171371" w:rsidRPr="00AE341B">
              <w:rPr>
                <w:szCs w:val="22"/>
              </w:rPr>
              <w:t>-</w:t>
            </w:r>
            <w:r>
              <w:rPr>
                <w:szCs w:val="22"/>
              </w:rPr>
              <w:t>30</w:t>
            </w:r>
            <w:r w:rsidR="001C3525" w:rsidRPr="00AE341B">
              <w:rPr>
                <w:szCs w:val="22"/>
              </w:rPr>
              <w:t xml:space="preserve"> </w:t>
            </w:r>
            <w:r>
              <w:rPr>
                <w:szCs w:val="22"/>
              </w:rPr>
              <w:t>November</w:t>
            </w:r>
            <w:r w:rsidR="00E61DAC" w:rsidRPr="00AE341B">
              <w:rPr>
                <w:szCs w:val="22"/>
              </w:rPr>
              <w:t>, 20</w:t>
            </w:r>
            <w:r w:rsidR="007F1F8B" w:rsidRPr="00AE341B">
              <w:rPr>
                <w:szCs w:val="22"/>
              </w:rPr>
              <w:t>1</w:t>
            </w:r>
            <w:r w:rsidR="00630AA2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DC2D99" w:rsidRPr="00630AA2" w:rsidRDefault="00E61DAC" w:rsidP="00F972E6">
            <w:pPr>
              <w:tabs>
                <w:tab w:val="left" w:pos="7200"/>
              </w:tabs>
              <w:rPr>
                <w:u w:val="single"/>
              </w:rPr>
            </w:pPr>
            <w:r w:rsidRPr="00AE341B">
              <w:t>Document</w:t>
            </w:r>
            <w:r w:rsidR="006C5D39" w:rsidRPr="00AE341B">
              <w:t>: JC</w:t>
            </w:r>
            <w:r w:rsidRPr="00AE341B">
              <w:t>T</w:t>
            </w:r>
            <w:r w:rsidR="006C5D39" w:rsidRPr="00AE341B">
              <w:t>VC</w:t>
            </w:r>
            <w:r w:rsidRPr="00AE341B">
              <w:t>-</w:t>
            </w:r>
            <w:r w:rsidR="00342FF4">
              <w:t>G</w:t>
            </w:r>
            <w:r w:rsidR="00F972E6" w:rsidRPr="00F972E6">
              <w:t>861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3870"/>
        <w:gridCol w:w="1080"/>
        <w:gridCol w:w="3168"/>
      </w:tblGrid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F46D55" w:rsidRDefault="00F972E6" w:rsidP="00F972E6">
            <w:pPr>
              <w:spacing w:before="60" w:after="60"/>
              <w:rPr>
                <w:b/>
                <w:szCs w:val="22"/>
              </w:rPr>
            </w:pPr>
            <w:bookmarkStart w:id="0" w:name="OLE_LINK4"/>
            <w:r>
              <w:rPr>
                <w:b/>
                <w:szCs w:val="22"/>
              </w:rPr>
              <w:t>Cross-check of JCTVC-G373--</w:t>
            </w:r>
            <w:bookmarkStart w:id="1" w:name="OLE_LINK5"/>
            <w:r w:rsidR="001501F3" w:rsidRPr="00F46D55">
              <w:rPr>
                <w:b/>
                <w:szCs w:val="22"/>
              </w:rPr>
              <w:t xml:space="preserve">Performance of secondary boundary </w:t>
            </w:r>
            <w:r w:rsidR="00E06597">
              <w:rPr>
                <w:b/>
                <w:szCs w:val="22"/>
              </w:rPr>
              <w:t xml:space="preserve">DC </w:t>
            </w:r>
            <w:r w:rsidR="001501F3" w:rsidRPr="00F46D55">
              <w:rPr>
                <w:b/>
                <w:szCs w:val="22"/>
              </w:rPr>
              <w:t>intra prediction</w:t>
            </w:r>
            <w:bookmarkEnd w:id="0"/>
            <w:bookmarkEnd w:id="1"/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F46D55" w:rsidRDefault="004D2ACC" w:rsidP="00F46D55">
            <w:pPr>
              <w:spacing w:before="60" w:after="60"/>
              <w:rPr>
                <w:szCs w:val="22"/>
              </w:rPr>
            </w:pPr>
            <w:r w:rsidRPr="00F46D55">
              <w:rPr>
                <w:szCs w:val="22"/>
              </w:rPr>
              <w:t>Input Document to JCT-VC</w:t>
            </w:r>
          </w:p>
        </w:tc>
      </w:tr>
      <w:tr w:rsidR="00E61DAC" w:rsidRPr="00F46D55" w:rsidTr="00F46D55">
        <w:tc>
          <w:tcPr>
            <w:tcW w:w="1458" w:type="dxa"/>
          </w:tcPr>
          <w:p w:rsidR="00E61DAC" w:rsidRPr="00F46D55" w:rsidRDefault="00E61DA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F46D55" w:rsidRDefault="00966A1B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Information</w:t>
            </w:r>
          </w:p>
        </w:tc>
      </w:tr>
      <w:tr w:rsidR="004B4E26" w:rsidRPr="00F46D55" w:rsidTr="004B4E26">
        <w:tc>
          <w:tcPr>
            <w:tcW w:w="1458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Author(s) or</w:t>
            </w:r>
            <w:r>
              <w:rPr>
                <w:i/>
                <w:szCs w:val="22"/>
              </w:rPr>
              <w:br/>
              <w:t>Contact(s):</w:t>
            </w:r>
          </w:p>
        </w:tc>
        <w:tc>
          <w:tcPr>
            <w:tcW w:w="3870" w:type="dxa"/>
          </w:tcPr>
          <w:p w:rsidR="004B4E26" w:rsidRDefault="004B4E26">
            <w:pPr>
              <w:spacing w:before="60" w:after="60"/>
              <w:rPr>
                <w:sz w:val="24"/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Ximin Zhang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 Liu</w:t>
            </w:r>
            <w:r>
              <w:rPr>
                <w:szCs w:val="22"/>
                <w:lang w:eastAsia="zh-TW"/>
              </w:rPr>
              <w:br/>
              <w:t>2860 Junction Ave.</w:t>
            </w:r>
          </w:p>
          <w:p w:rsidR="004B4E26" w:rsidRDefault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 xml:space="preserve">San Jose, CA95134, USA </w:t>
            </w:r>
          </w:p>
        </w:tc>
        <w:tc>
          <w:tcPr>
            <w:tcW w:w="1080" w:type="dxa"/>
          </w:tcPr>
          <w:p w:rsidR="004B4E26" w:rsidRDefault="004B4E26">
            <w:pPr>
              <w:spacing w:before="60" w:after="60"/>
              <w:rPr>
                <w:i/>
                <w:szCs w:val="22"/>
              </w:rPr>
            </w:pPr>
            <w:r>
              <w:rPr>
                <w:i/>
                <w:szCs w:val="22"/>
              </w:rPr>
              <w:t>Emails:</w:t>
            </w:r>
          </w:p>
        </w:tc>
        <w:tc>
          <w:tcPr>
            <w:tcW w:w="3168" w:type="dxa"/>
          </w:tcPr>
          <w:p w:rsidR="004B4E26" w:rsidRDefault="00A43B81" w:rsidP="004B4E26">
            <w:pPr>
              <w:spacing w:before="60" w:after="60"/>
              <w:rPr>
                <w:szCs w:val="22"/>
                <w:lang w:eastAsia="zh-TW"/>
              </w:rPr>
            </w:pPr>
            <w:hyperlink r:id="rId10" w:history="1">
              <w:r w:rsidR="004B4E26" w:rsidRPr="00B705DB">
                <w:rPr>
                  <w:rStyle w:val="Hyperlink"/>
                  <w:szCs w:val="22"/>
                  <w:lang w:eastAsia="zh-TW"/>
                </w:rPr>
                <w:t>ximin.zhang@mediatek.com</w:t>
              </w:r>
            </w:hyperlink>
          </w:p>
          <w:p w:rsidR="004B4E26" w:rsidRDefault="004B4E26" w:rsidP="004B4E26">
            <w:pPr>
              <w:spacing w:before="60" w:after="60"/>
              <w:rPr>
                <w:szCs w:val="22"/>
                <w:lang w:eastAsia="zh-TW"/>
              </w:rPr>
            </w:pPr>
            <w:r>
              <w:rPr>
                <w:szCs w:val="22"/>
                <w:lang w:eastAsia="zh-TW"/>
              </w:rPr>
              <w:t>shan.liu@mediatek.com</w:t>
            </w:r>
            <w:r>
              <w:rPr>
                <w:szCs w:val="22"/>
                <w:lang w:eastAsia="zh-TW"/>
              </w:rPr>
              <w:br/>
              <w:t>shawmin.lei@mediatek.com</w:t>
            </w:r>
          </w:p>
        </w:tc>
      </w:tr>
      <w:tr w:rsidR="004D2ACC" w:rsidRPr="00F46D55" w:rsidTr="00F46D55">
        <w:tc>
          <w:tcPr>
            <w:tcW w:w="1458" w:type="dxa"/>
          </w:tcPr>
          <w:p w:rsidR="004D2ACC" w:rsidRPr="00F46D55" w:rsidRDefault="004D2ACC" w:rsidP="00F46D55">
            <w:pPr>
              <w:spacing w:before="60" w:after="60"/>
              <w:rPr>
                <w:i/>
                <w:szCs w:val="22"/>
              </w:rPr>
            </w:pPr>
            <w:r w:rsidRPr="00F46D5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4D2ACC" w:rsidRPr="00F46D55" w:rsidRDefault="004B4E26" w:rsidP="00F46D55">
            <w:pPr>
              <w:spacing w:before="60" w:after="60"/>
              <w:rPr>
                <w:szCs w:val="22"/>
              </w:rPr>
            </w:pPr>
            <w:r>
              <w:rPr>
                <w:szCs w:val="22"/>
                <w:lang w:eastAsia="ko-KR"/>
              </w:rPr>
              <w:t>MediaTek USA Inc.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</w:pPr>
      <w:r w:rsidRPr="002B191D">
        <w:t>Abstract</w:t>
      </w:r>
    </w:p>
    <w:p w:rsidR="00966A1B" w:rsidRDefault="00966A1B" w:rsidP="00E051F3">
      <w:pPr>
        <w:rPr>
          <w:szCs w:val="22"/>
        </w:rPr>
      </w:pPr>
      <w:r>
        <w:rPr>
          <w:szCs w:val="22"/>
        </w:rPr>
        <w:t xml:space="preserve">The document reports cross-check results for </w:t>
      </w:r>
      <w:bookmarkStart w:id="2" w:name="OLE_LINK17"/>
      <w:r>
        <w:rPr>
          <w:szCs w:val="22"/>
        </w:rPr>
        <w:t>proposal JCTVC-G373</w:t>
      </w:r>
      <w:bookmarkEnd w:id="2"/>
      <w:r w:rsidR="006F77EB">
        <w:rPr>
          <w:szCs w:val="22"/>
        </w:rPr>
        <w:t>, “</w:t>
      </w:r>
      <w:bookmarkStart w:id="3" w:name="OLE_LINK10"/>
      <w:r w:rsidR="006F77EB" w:rsidRPr="006F77EB">
        <w:rPr>
          <w:szCs w:val="22"/>
        </w:rPr>
        <w:t>Performance of secondary boundary DC intra prediction</w:t>
      </w:r>
      <w:bookmarkEnd w:id="3"/>
      <w:r w:rsidR="006F77EB">
        <w:rPr>
          <w:szCs w:val="22"/>
        </w:rPr>
        <w:t>”</w:t>
      </w:r>
      <w:r>
        <w:rPr>
          <w:szCs w:val="22"/>
        </w:rPr>
        <w:t xml:space="preserve">. It has been verified that </w:t>
      </w:r>
      <w:r w:rsidR="00642FAB">
        <w:t xml:space="preserve">removal of secondary boundary DC intra prediction resulted in average luminance BD-Rate of 0.04% for I_HE and 0.03% for I_LC relative to HM4 with JCTVC-F122 multi-line smoothing and JCTC-F358 planar smoothing enabled.  </w:t>
      </w:r>
      <w:r>
        <w:rPr>
          <w:szCs w:val="22"/>
        </w:rPr>
        <w:t>The source code has also been checked</w:t>
      </w:r>
      <w:r w:rsidR="00642FAB">
        <w:rPr>
          <w:szCs w:val="22"/>
        </w:rPr>
        <w:t xml:space="preserve"> and compiled. N</w:t>
      </w:r>
      <w:r>
        <w:rPr>
          <w:szCs w:val="22"/>
        </w:rPr>
        <w:t>o issue is reported.</w:t>
      </w:r>
    </w:p>
    <w:p w:rsidR="00E051F3" w:rsidRDefault="00E051F3" w:rsidP="002A6E49">
      <w:pPr>
        <w:pStyle w:val="Heading1"/>
      </w:pPr>
      <w:r>
        <w:t>Introduction</w:t>
      </w:r>
    </w:p>
    <w:p w:rsidR="00A977C3" w:rsidRDefault="00153848" w:rsidP="00E051F3">
      <w:r>
        <w:t>The DC secondary boundary intra prediction from JCTVC-E069 was a</w:t>
      </w:r>
      <w:r w:rsidR="0009690A">
        <w:t xml:space="preserve">dopted in HM3 </w:t>
      </w:r>
      <w:r w:rsidR="00151305">
        <w:t>with further improvement by</w:t>
      </w:r>
      <w:r w:rsidR="0009690A">
        <w:t xml:space="preserve"> JCTVC-F252 </w:t>
      </w:r>
      <w:r w:rsidR="00151305">
        <w:t>which is</w:t>
      </w:r>
      <w:r w:rsidR="00FC4BCA">
        <w:t xml:space="preserve"> </w:t>
      </w:r>
      <w:r w:rsidR="0009690A">
        <w:t>adopted in HM4</w:t>
      </w:r>
      <w:r w:rsidR="006D76BE">
        <w:t>.</w:t>
      </w:r>
      <w:r w:rsidR="00151305">
        <w:t xml:space="preserve"> </w:t>
      </w:r>
      <w:r w:rsidR="0009690A">
        <w:t>To further improve intra prediction, CE6</w:t>
      </w:r>
      <w:r w:rsidR="002840AC">
        <w:t>.</w:t>
      </w:r>
      <w:r w:rsidR="0009690A">
        <w:t xml:space="preserve">d </w:t>
      </w:r>
      <w:r w:rsidR="002840AC">
        <w:t>[</w:t>
      </w:r>
      <w:r w:rsidR="007170CA">
        <w:t>6</w:t>
      </w:r>
      <w:r w:rsidR="002840AC">
        <w:t xml:space="preserve">] </w:t>
      </w:r>
      <w:r w:rsidR="0009690A">
        <w:t xml:space="preserve">studies the performance of other secondary boundary </w:t>
      </w:r>
      <w:r w:rsidR="006D76BE">
        <w:t>non</w:t>
      </w:r>
      <w:r w:rsidR="006D76BE">
        <w:noBreakHyphen/>
        <w:t xml:space="preserve">DC </w:t>
      </w:r>
      <w:r w:rsidR="0009690A">
        <w:t xml:space="preserve">intra prediction </w:t>
      </w:r>
      <w:r w:rsidR="006571A5">
        <w:t xml:space="preserve">with HM4 </w:t>
      </w:r>
      <w:r w:rsidR="0009690A">
        <w:t xml:space="preserve">including </w:t>
      </w:r>
      <w:r w:rsidR="00A977C3">
        <w:t>the followings:</w:t>
      </w:r>
    </w:p>
    <w:p w:rsidR="00A977C3" w:rsidRDefault="00A977C3" w:rsidP="00A977C3">
      <w:pPr>
        <w:numPr>
          <w:ilvl w:val="0"/>
          <w:numId w:val="14"/>
        </w:numPr>
      </w:pPr>
      <w:r>
        <w:t xml:space="preserve">Secondary boundary angular intra prediction </w:t>
      </w:r>
      <w:r w:rsidR="006571A5">
        <w:t>proposed by JCTVC-F122</w:t>
      </w:r>
      <w:r w:rsidR="009C0125">
        <w:t xml:space="preserve"> [</w:t>
      </w:r>
      <w:r w:rsidR="007170CA">
        <w:t>4</w:t>
      </w:r>
      <w:r w:rsidR="009C0125">
        <w:t>].</w:t>
      </w:r>
    </w:p>
    <w:p w:rsidR="0009690A" w:rsidRDefault="006571A5" w:rsidP="00A977C3">
      <w:pPr>
        <w:numPr>
          <w:ilvl w:val="0"/>
          <w:numId w:val="14"/>
        </w:numPr>
      </w:pPr>
      <w:r>
        <w:t xml:space="preserve">Secondary boundary planar intra prediction proposed by </w:t>
      </w:r>
      <w:r w:rsidR="0009690A">
        <w:t>JCTVC-F358</w:t>
      </w:r>
      <w:r w:rsidR="009C0125">
        <w:t xml:space="preserve"> [</w:t>
      </w:r>
      <w:r w:rsidR="007170CA">
        <w:t>5</w:t>
      </w:r>
      <w:r w:rsidR="009C0125">
        <w:t>].</w:t>
      </w:r>
    </w:p>
    <w:p w:rsidR="00B12518" w:rsidRPr="00B12518" w:rsidRDefault="007170CA" w:rsidP="00B12518">
      <w:r>
        <w:rPr>
          <w:szCs w:val="22"/>
        </w:rPr>
        <w:t xml:space="preserve">Proposal JCTVC-G373 </w:t>
      </w:r>
      <w:r w:rsidR="00B12518">
        <w:t>stud</w:t>
      </w:r>
      <w:r w:rsidR="00642FAB">
        <w:t>ied</w:t>
      </w:r>
      <w:r w:rsidR="00B12518">
        <w:t xml:space="preserve"> </w:t>
      </w:r>
      <w:r w:rsidR="00642FAB">
        <w:t>the p</w:t>
      </w:r>
      <w:r w:rsidR="00642FAB">
        <w:rPr>
          <w:szCs w:val="22"/>
        </w:rPr>
        <w:t>erformance of secondary boundary DC intra prediction</w:t>
      </w:r>
      <w:r w:rsidR="00642FAB">
        <w:t xml:space="preserve"> </w:t>
      </w:r>
      <w:r w:rsidR="00B12518">
        <w:t xml:space="preserve">in </w:t>
      </w:r>
      <w:r w:rsidR="002840AC">
        <w:t>CE6.</w:t>
      </w:r>
      <w:r w:rsidR="00642FAB">
        <w:t>d [6] and propose</w:t>
      </w:r>
      <w:r w:rsidR="00B15081">
        <w:t>d</w:t>
      </w:r>
      <w:r w:rsidR="00642FAB">
        <w:t xml:space="preserve"> to remove the secondary boundary DC intra prediction to reduce complexity when the other non-DC secondary boundary intra predictions are available</w:t>
      </w:r>
      <w:r w:rsidR="00B12518">
        <w:t>.</w:t>
      </w:r>
    </w:p>
    <w:p w:rsidR="002A6E49" w:rsidRDefault="002D6193" w:rsidP="002A6E49">
      <w:pPr>
        <w:pStyle w:val="Heading1"/>
      </w:pPr>
      <w:r>
        <w:t>Performance</w:t>
      </w:r>
      <w:r w:rsidR="0049686D">
        <w:t xml:space="preserve"> </w:t>
      </w:r>
      <w:r>
        <w:t>r</w:t>
      </w:r>
      <w:r w:rsidR="002A6E49">
        <w:t>esults</w:t>
      </w:r>
      <w:r>
        <w:t xml:space="preserve"> of the proposed method</w:t>
      </w:r>
    </w:p>
    <w:p w:rsidR="00642FAB" w:rsidRDefault="002D6193" w:rsidP="00642FAB">
      <w:r>
        <w:t xml:space="preserve">The proposed method from JCTVC-G373 was based on CE6 distributed HM 4.0 software </w:t>
      </w:r>
      <w:bookmarkStart w:id="4" w:name="OLE_LINK14"/>
      <w:r>
        <w:t>CE6_D_r2</w:t>
      </w:r>
      <w:bookmarkEnd w:id="4"/>
      <w:r>
        <w:t xml:space="preserve">.zip. For this cross verification, simulations using software provided by the proponents were compared to a reference coded with HM 4.0, using the common conditions described in </w:t>
      </w:r>
      <w:r w:rsidR="00A43B81">
        <w:fldChar w:fldCharType="begin"/>
      </w:r>
      <w:r w:rsidR="00981FB1">
        <w:instrText xml:space="preserve"> REF _Ref308466629 \r \h </w:instrText>
      </w:r>
      <w:r w:rsidR="00A43B81">
        <w:fldChar w:fldCharType="separate"/>
      </w:r>
      <w:r>
        <w:t>[3]</w:t>
      </w:r>
      <w:r w:rsidR="00A43B81">
        <w:fldChar w:fldCharType="end"/>
      </w:r>
      <w:r>
        <w:t xml:space="preserve">. Results are shown in </w:t>
      </w:r>
      <w:r w:rsidR="00A43B81">
        <w:fldChar w:fldCharType="begin"/>
      </w:r>
      <w:r w:rsidR="00981FB1">
        <w:instrText xml:space="preserve"> REF _Ref308573056 \h </w:instrText>
      </w:r>
      <w:r w:rsidR="00A43B81">
        <w:fldChar w:fldCharType="separate"/>
      </w:r>
      <w:r>
        <w:t xml:space="preserve">Table </w:t>
      </w:r>
      <w:r>
        <w:rPr>
          <w:noProof/>
        </w:rPr>
        <w:t>1</w:t>
      </w:r>
      <w:r w:rsidR="00A43B81">
        <w:fldChar w:fldCharType="end"/>
      </w:r>
      <w:r>
        <w:t>.</w:t>
      </w:r>
      <w:r w:rsidR="00151305">
        <w:t xml:space="preserve"> The results of comparison with CE6_D_r2 are shown in Table 2.</w:t>
      </w:r>
      <w:r w:rsidR="00642FAB">
        <w:t xml:space="preserve"> The secondary boundary DC intra prediction can be turned off with</w:t>
      </w:r>
    </w:p>
    <w:p w:rsidR="002D6193" w:rsidRDefault="00642FAB" w:rsidP="00642FAB">
      <w:r>
        <w:tab/>
      </w:r>
      <w:r>
        <w:tab/>
      </w:r>
      <w:r>
        <w:rPr>
          <w:rFonts w:ascii="Courier New" w:hAnsi="Courier New" w:cs="Courier New"/>
        </w:rPr>
        <w:tab/>
        <w:t xml:space="preserve">#define </w:t>
      </w:r>
      <w:bookmarkStart w:id="5" w:name="OLE_LINK1"/>
      <w:r>
        <w:rPr>
          <w:rFonts w:ascii="Courier New" w:hAnsi="Courier New" w:cs="Courier New"/>
        </w:rPr>
        <w:t>MN_DC_PRED_FILTER</w:t>
      </w:r>
      <w:bookmarkEnd w:id="5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0</w:t>
      </w:r>
    </w:p>
    <w:p w:rsidR="009400D5" w:rsidRDefault="009400D5" w:rsidP="009400D5"/>
    <w:tbl>
      <w:tblPr>
        <w:tblW w:w="7640" w:type="dxa"/>
        <w:jc w:val="center"/>
        <w:tblInd w:w="93" w:type="dxa"/>
        <w:tblLook w:val="04A0"/>
      </w:tblPr>
      <w:tblGrid>
        <w:gridCol w:w="1280"/>
        <w:gridCol w:w="1060"/>
        <w:gridCol w:w="1060"/>
        <w:gridCol w:w="1060"/>
        <w:gridCol w:w="1060"/>
        <w:gridCol w:w="1060"/>
        <w:gridCol w:w="1060"/>
      </w:tblGrid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9400D5" w:rsidRPr="009400D5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-0.79%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-0.71%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-0.77%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-0.62%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-0.58%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-0.55%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-0.62%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-0.82%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-0.80%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-0.85%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-0.74%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-0.87%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-0.87%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-0.70%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-0.60%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-0.68%</w:t>
            </w:r>
          </w:p>
        </w:tc>
      </w:tr>
      <w:tr w:rsidR="009400D5" w:rsidRPr="009400D5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-0.70%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-0.61%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-0.61%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-0.68%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-0.67%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808080"/>
                <w:sz w:val="18"/>
                <w:szCs w:val="18"/>
              </w:rPr>
              <w:t>-0.68%</w:t>
            </w:r>
          </w:p>
        </w:tc>
      </w:tr>
      <w:tr w:rsidR="009400D5" w:rsidRPr="009400D5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5024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024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9400D5" w:rsidRPr="009400D5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9400D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400D5" w:rsidRPr="009400D5" w:rsidRDefault="009400D5" w:rsidP="005024D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024D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9400D5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9400D5" w:rsidRDefault="009400D5" w:rsidP="00B15081">
      <w:pPr>
        <w:pStyle w:val="Caption"/>
        <w:jc w:val="center"/>
      </w:pPr>
      <w:bookmarkStart w:id="6" w:name="_Ref308363495"/>
      <w:bookmarkStart w:id="7" w:name="OLE_LINK2"/>
      <w:r>
        <w:t xml:space="preserve">Table </w:t>
      </w:r>
      <w:r w:rsidR="00151305">
        <w:t>1</w:t>
      </w:r>
      <w:bookmarkEnd w:id="6"/>
      <w:r>
        <w:t xml:space="preserve">: BD-Rate </w:t>
      </w:r>
      <w:r w:rsidR="00C92896">
        <w:t xml:space="preserve">when </w:t>
      </w:r>
      <w:bookmarkStart w:id="8" w:name="OLE_LINK3"/>
      <w:r w:rsidR="00B15081">
        <w:t>“</w:t>
      </w:r>
      <w:r w:rsidR="00B15081">
        <w:rPr>
          <w:rFonts w:ascii="Courier New" w:hAnsi="Courier New" w:cs="Courier New"/>
        </w:rPr>
        <w:t>MN_DC_PRED_FILTER</w:t>
      </w:r>
      <w:r w:rsidR="00B15081" w:rsidRPr="00B15081">
        <w:t>”</w:t>
      </w:r>
      <w:r w:rsidR="00B15081">
        <w:rPr>
          <w:rFonts w:ascii="Courier New" w:hAnsi="Courier New" w:cs="Courier New"/>
        </w:rPr>
        <w:t xml:space="preserve"> </w:t>
      </w:r>
      <w:r w:rsidR="00B15081" w:rsidRPr="00B15081">
        <w:t>is zero</w:t>
      </w:r>
      <w:r w:rsidR="00C92896">
        <w:t xml:space="preserve"> </w:t>
      </w:r>
      <w:bookmarkEnd w:id="8"/>
      <w:r w:rsidR="00B15081">
        <w:t>(</w:t>
      </w:r>
      <w:r>
        <w:t>using HM4 as anchor</w:t>
      </w:r>
      <w:r w:rsidR="00B15081">
        <w:t>)</w:t>
      </w:r>
      <w:r>
        <w:t>.</w:t>
      </w:r>
    </w:p>
    <w:bookmarkEnd w:id="7"/>
    <w:p w:rsidR="00C92896" w:rsidRDefault="00C92896" w:rsidP="00C92896"/>
    <w:p w:rsidR="00C92896" w:rsidRPr="00C92896" w:rsidRDefault="00C92896" w:rsidP="00C92896"/>
    <w:tbl>
      <w:tblPr>
        <w:tblW w:w="7640" w:type="dxa"/>
        <w:jc w:val="center"/>
        <w:tblInd w:w="93" w:type="dxa"/>
        <w:tblLook w:val="04A0"/>
      </w:tblPr>
      <w:tblGrid>
        <w:gridCol w:w="1280"/>
        <w:gridCol w:w="1060"/>
        <w:gridCol w:w="1060"/>
        <w:gridCol w:w="1060"/>
        <w:gridCol w:w="1060"/>
        <w:gridCol w:w="1060"/>
        <w:gridCol w:w="1060"/>
      </w:tblGrid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LC</w:t>
            </w:r>
          </w:p>
        </w:tc>
      </w:tr>
      <w:tr w:rsidR="00C92896" w:rsidRPr="00C92896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0.22%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0.24%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0.32%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0.37%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0.20%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0.08%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0.05%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0.11%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0.14%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0.03%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0.15%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0.18%</w:t>
            </w:r>
          </w:p>
        </w:tc>
      </w:tr>
      <w:tr w:rsidR="00C92896" w:rsidRPr="00C92896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0.05%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0.11%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0.14%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0.15%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808080"/>
                <w:sz w:val="18"/>
                <w:szCs w:val="18"/>
              </w:rPr>
              <w:t>0.18%</w:t>
            </w:r>
          </w:p>
        </w:tc>
      </w:tr>
      <w:tr w:rsidR="00C92896" w:rsidRPr="00C92896" w:rsidTr="00C92896">
        <w:trPr>
          <w:trHeight w:val="237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596B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96B62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  <w:tr w:rsidR="00C92896" w:rsidRPr="00C92896" w:rsidTr="00C92896">
        <w:trPr>
          <w:trHeight w:val="248"/>
          <w:jc w:val="center"/>
        </w:trPr>
        <w:tc>
          <w:tcPr>
            <w:tcW w:w="1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596B62" w:rsidP="00C9289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="00C92896" w:rsidRPr="00C92896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2896" w:rsidRPr="00C92896" w:rsidRDefault="00C92896" w:rsidP="00596B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  <w:r w:rsidR="00596B62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Pr="00C92896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</w:tr>
    </w:tbl>
    <w:p w:rsidR="00B15081" w:rsidRDefault="00B15081" w:rsidP="00B15081">
      <w:pPr>
        <w:pStyle w:val="Caption"/>
        <w:jc w:val="center"/>
      </w:pPr>
      <w:r>
        <w:t>Table 2: BD-Rate comparison with “</w:t>
      </w:r>
      <w:r>
        <w:rPr>
          <w:rFonts w:ascii="Courier New" w:hAnsi="Courier New" w:cs="Courier New"/>
        </w:rPr>
        <w:t>MN_DC_PRED_FILTER</w:t>
      </w:r>
      <w:r>
        <w:t>”</w:t>
      </w:r>
      <w:r>
        <w:rPr>
          <w:rFonts w:ascii="Courier New" w:hAnsi="Courier New" w:cs="Courier New"/>
        </w:rPr>
        <w:t xml:space="preserve"> </w:t>
      </w:r>
      <w:r>
        <w:t>is one (anchor) and “</w:t>
      </w:r>
      <w:r>
        <w:rPr>
          <w:rFonts w:ascii="Courier New" w:hAnsi="Courier New" w:cs="Courier New"/>
        </w:rPr>
        <w:t>MN_DC_PRED_FILTER</w:t>
      </w:r>
      <w:r>
        <w:t>”</w:t>
      </w:r>
      <w:r>
        <w:rPr>
          <w:rFonts w:ascii="Courier New" w:hAnsi="Courier New" w:cs="Courier New"/>
        </w:rPr>
        <w:t xml:space="preserve"> </w:t>
      </w:r>
      <w:r>
        <w:t xml:space="preserve">is zero. </w:t>
      </w:r>
    </w:p>
    <w:p w:rsidR="002A6E49" w:rsidRDefault="00A70302" w:rsidP="002A6E49">
      <w:pPr>
        <w:pStyle w:val="Heading1"/>
      </w:pPr>
      <w:r>
        <w:t>Summary</w:t>
      </w:r>
    </w:p>
    <w:p w:rsidR="006F77EB" w:rsidRDefault="006F77EB" w:rsidP="006F77EB">
      <w:pPr>
        <w:jc w:val="both"/>
      </w:pPr>
      <w:r>
        <w:t xml:space="preserve">The results obtained during this cross checking match those provided by the proponents. Examination of the software confirms that it is indeed </w:t>
      </w:r>
      <w:r w:rsidR="00151305">
        <w:t>disable the secondary boundary DC intra prediction</w:t>
      </w:r>
      <w:r>
        <w:t xml:space="preserve">. Run times for the proposed tool are on par with </w:t>
      </w:r>
      <w:r w:rsidR="00151305">
        <w:t>the results in JCTVC-G373</w:t>
      </w:r>
      <w:r>
        <w:t xml:space="preserve">, allowing for </w:t>
      </w:r>
      <w:r w:rsidR="00151305">
        <w:t>minor</w:t>
      </w:r>
      <w:r>
        <w:t xml:space="preserve"> variations due to the compute</w:t>
      </w:r>
      <w:r w:rsidR="00151305">
        <w:t>r</w:t>
      </w:r>
      <w:r>
        <w:t xml:space="preserve"> </w:t>
      </w:r>
      <w:r w:rsidR="00151305">
        <w:t>cluster</w:t>
      </w:r>
      <w:r w:rsidR="00596B62">
        <w:t xml:space="preserve"> computing</w:t>
      </w:r>
      <w:r>
        <w:t>.</w:t>
      </w:r>
    </w:p>
    <w:p w:rsidR="002A6E49" w:rsidRDefault="002A6E49" w:rsidP="002A6E49">
      <w:pPr>
        <w:pStyle w:val="Heading1"/>
      </w:pPr>
      <w:r>
        <w:t>References</w:t>
      </w:r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9" w:name="_Ref266987161"/>
      <w:r>
        <w:t>B. Bross, et al., “WD4: Working Draft 4 of High-Efficiency Video Coding,” Joint Collaborative Team on Video Coding (JCT-VC) of ITU-T SG16 WP3 and ISO/IEC JTC1/SC29/WG11, JCTVC-F803_d5, Torino, IT, July 2011.</w:t>
      </w:r>
      <w:bookmarkEnd w:id="9"/>
    </w:p>
    <w:p w:rsidR="006F77EB" w:rsidRDefault="006F77EB" w:rsidP="006F77EB">
      <w:pPr>
        <w:numPr>
          <w:ilvl w:val="0"/>
          <w:numId w:val="17"/>
        </w:numPr>
        <w:tabs>
          <w:tab w:val="clear" w:pos="360"/>
        </w:tabs>
        <w:overflowPunct/>
        <w:autoSpaceDE/>
        <w:adjustRightInd/>
        <w:spacing w:before="0" w:after="120"/>
        <w:jc w:val="both"/>
        <w:rPr>
          <w:szCs w:val="22"/>
        </w:rPr>
      </w:pPr>
      <w:bookmarkStart w:id="10" w:name="_Ref308106529"/>
      <w:r>
        <w:rPr>
          <w:szCs w:val="22"/>
        </w:rPr>
        <w:t>C. Auyeung, “Performance of secondary boundary DC intra prediction</w:t>
      </w:r>
      <w:r>
        <w:t>,</w:t>
      </w:r>
      <w:r>
        <w:rPr>
          <w:szCs w:val="22"/>
        </w:rPr>
        <w:t>” Joint Collaborative Team on Video Coding (JCT-VC) of ITU-T SG16 WP3 and ISO/IEC JTC1/SC29/WG11, JCTVC-G373, Geneva, CH, November 2011.</w:t>
      </w:r>
      <w:bookmarkEnd w:id="10"/>
    </w:p>
    <w:p w:rsidR="006F77EB" w:rsidRDefault="006F77EB" w:rsidP="006F77EB">
      <w:pPr>
        <w:numPr>
          <w:ilvl w:val="0"/>
          <w:numId w:val="17"/>
        </w:numPr>
        <w:spacing w:before="0" w:after="120"/>
        <w:jc w:val="both"/>
      </w:pPr>
      <w:bookmarkStart w:id="11" w:name="_Ref308466629"/>
      <w:r>
        <w:t>F. Bossen., “Common conditions and software reference configurations”, Joint Collaborative Team on Video Coding (JCT-VC) of ITU-T SG16 WP3 and ISO/IEC JTC1/SC29/WG11, JCTVC-F900, Torino, IT, July 2011</w:t>
      </w:r>
      <w:bookmarkEnd w:id="11"/>
      <w:r w:rsidR="007170CA">
        <w:t>.</w:t>
      </w:r>
    </w:p>
    <w:p w:rsidR="007170CA" w:rsidRDefault="007170CA" w:rsidP="007170CA">
      <w:pPr>
        <w:numPr>
          <w:ilvl w:val="0"/>
          <w:numId w:val="17"/>
        </w:numPr>
        <w:tabs>
          <w:tab w:val="clear" w:pos="360"/>
        </w:tabs>
        <w:spacing w:before="0"/>
        <w:jc w:val="both"/>
        <w:rPr>
          <w:szCs w:val="22"/>
        </w:rPr>
      </w:pPr>
      <w:r>
        <w:rPr>
          <w:szCs w:val="22"/>
          <w:lang w:eastAsia="zh-CN"/>
        </w:rPr>
        <w:t>Mei Guo, Xin Zhao, Xun Guo, and Shawmin Lei, “Direction based Angular Intra Prediction</w:t>
      </w:r>
      <w:r>
        <w:rPr>
          <w:b/>
          <w:szCs w:val="22"/>
          <w:lang w:eastAsia="zh-CN"/>
        </w:rPr>
        <w:t xml:space="preserve">”, </w:t>
      </w:r>
      <w:r>
        <w:rPr>
          <w:szCs w:val="22"/>
          <w:lang w:eastAsia="zh-CN"/>
        </w:rPr>
        <w:t xml:space="preserve">JCTVC-F122, </w:t>
      </w:r>
      <w:r>
        <w:rPr>
          <w:szCs w:val="22"/>
        </w:rPr>
        <w:t>6th Meeting: Torino, IT, 14-22 July, 2011.</w:t>
      </w:r>
    </w:p>
    <w:p w:rsidR="007170CA" w:rsidRDefault="007170CA" w:rsidP="007170CA">
      <w:pPr>
        <w:numPr>
          <w:ilvl w:val="0"/>
          <w:numId w:val="17"/>
        </w:numPr>
        <w:tabs>
          <w:tab w:val="clear" w:pos="360"/>
        </w:tabs>
        <w:spacing w:before="0"/>
        <w:jc w:val="both"/>
        <w:rPr>
          <w:szCs w:val="22"/>
        </w:rPr>
      </w:pPr>
      <w:r>
        <w:rPr>
          <w:szCs w:val="22"/>
          <w:lang w:eastAsia="ko-KR"/>
        </w:rPr>
        <w:t>Jinho Lee, Sung-Chang Lim, Hui Yong Kim, Jin Soo Choi, “Mode dependent filtering for intra predicted sample</w:t>
      </w:r>
      <w:r>
        <w:rPr>
          <w:b/>
          <w:szCs w:val="22"/>
          <w:lang w:eastAsia="ko-KR"/>
        </w:rPr>
        <w:t xml:space="preserve">”, </w:t>
      </w:r>
      <w:r>
        <w:rPr>
          <w:szCs w:val="22"/>
          <w:lang w:eastAsia="ko-KR"/>
        </w:rPr>
        <w:t xml:space="preserve">JCTVC-F358, </w:t>
      </w:r>
      <w:r>
        <w:rPr>
          <w:szCs w:val="22"/>
        </w:rPr>
        <w:t>6th Meeting: Torino, IT, 14-22 July, 2011.</w:t>
      </w:r>
    </w:p>
    <w:p w:rsidR="007170CA" w:rsidRDefault="007170CA" w:rsidP="006F77EB">
      <w:pPr>
        <w:numPr>
          <w:ilvl w:val="0"/>
          <w:numId w:val="17"/>
        </w:numPr>
        <w:tabs>
          <w:tab w:val="clear" w:pos="360"/>
        </w:tabs>
        <w:spacing w:before="0" w:after="120"/>
        <w:jc w:val="both"/>
      </w:pPr>
      <w:r w:rsidRPr="007170CA">
        <w:rPr>
          <w:szCs w:val="22"/>
        </w:rPr>
        <w:t>Ali Tabatabai, Edouard Francois, Keiichi Chono, Haoping Yu, Joshi, Rajan, Jani Lainema, “</w:t>
      </w:r>
      <w:r w:rsidRPr="007170CA">
        <w:rPr>
          <w:bCs/>
          <w:szCs w:val="22"/>
        </w:rPr>
        <w:t xml:space="preserve">CE6: Intra Coding Improvements”, JCTVC-F906, </w:t>
      </w:r>
      <w:r w:rsidRPr="007170CA">
        <w:rPr>
          <w:szCs w:val="22"/>
        </w:rPr>
        <w:t>6th Meeting: Torino, IT, 14-22 July, 2011.</w:t>
      </w:r>
    </w:p>
    <w:p w:rsidR="006F77EB" w:rsidRPr="006F77EB" w:rsidRDefault="006F77EB" w:rsidP="006F77EB">
      <w:pPr>
        <w:tabs>
          <w:tab w:val="clear" w:pos="720"/>
          <w:tab w:val="left" w:pos="709"/>
        </w:tabs>
        <w:ind w:left="709"/>
        <w:jc w:val="both"/>
      </w:pPr>
    </w:p>
    <w:p w:rsidR="006F77EB" w:rsidRDefault="006F77EB" w:rsidP="006F77EB">
      <w:pPr>
        <w:pStyle w:val="Heading1"/>
        <w:jc w:val="both"/>
        <w:rPr>
          <w:rFonts w:eastAsia="PMingLiU"/>
        </w:rPr>
      </w:pPr>
      <w:bookmarkStart w:id="12" w:name="OLE_LINK29"/>
      <w:r>
        <w:rPr>
          <w:rFonts w:eastAsia="PMingLiU"/>
        </w:rPr>
        <w:t>Patent rights declaration(s)</w:t>
      </w:r>
    </w:p>
    <w:p w:rsidR="006F77EB" w:rsidRDefault="006F77EB" w:rsidP="006F77EB">
      <w:pPr>
        <w:jc w:val="both"/>
        <w:rPr>
          <w:rFonts w:eastAsia="PMingLiU"/>
          <w:szCs w:val="22"/>
        </w:rPr>
      </w:pPr>
      <w:r>
        <w:rPr>
          <w:b/>
          <w:szCs w:val="22"/>
          <w:lang w:eastAsia="zh-TW"/>
        </w:rPr>
        <w:t xml:space="preserve">MediaTek Inc. </w:t>
      </w:r>
      <w:r>
        <w:rPr>
          <w:b/>
          <w:szCs w:val="22"/>
        </w:rPr>
        <w:t xml:space="preserve">may have IPR relating to the technology described in this contribution and, conditioned on reciprocity, is prepared to grant licenses under reasonable and non-discriminatory </w:t>
      </w:r>
      <w:r>
        <w:rPr>
          <w:b/>
          <w:szCs w:val="22"/>
        </w:rPr>
        <w:lastRenderedPageBreak/>
        <w:t>terms as necessary for implementation of the resulting ITU-T Recommendation | ISO/IEC International Standard (per box 2 of the ITU-T/ITU-R/ISO/IEC patent statement and licensing declaration form).</w:t>
      </w:r>
      <w:bookmarkEnd w:id="12"/>
    </w:p>
    <w:p w:rsidR="002A6E49" w:rsidRDefault="002A6E49" w:rsidP="009234A5">
      <w:pPr>
        <w:jc w:val="both"/>
        <w:rPr>
          <w:b/>
          <w:sz w:val="28"/>
          <w:szCs w:val="28"/>
          <w:lang w:eastAsia="ja-JP"/>
        </w:rPr>
      </w:pPr>
    </w:p>
    <w:sectPr w:rsidR="002A6E49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451" w:rsidRDefault="00C54451">
      <w:r>
        <w:separator/>
      </w:r>
    </w:p>
  </w:endnote>
  <w:endnote w:type="continuationSeparator" w:id="0">
    <w:p w:rsidR="00C54451" w:rsidRDefault="00C544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F60" w:rsidRDefault="00712F60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43B8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43B81">
      <w:rPr>
        <w:rStyle w:val="PageNumber"/>
      </w:rPr>
      <w:fldChar w:fldCharType="separate"/>
    </w:r>
    <w:r w:rsidR="00B15081">
      <w:rPr>
        <w:rStyle w:val="PageNumber"/>
        <w:noProof/>
      </w:rPr>
      <w:t>1</w:t>
    </w:r>
    <w:r w:rsidR="00A43B81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43B81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43B81">
      <w:rPr>
        <w:rStyle w:val="PageNumber"/>
      </w:rPr>
      <w:fldChar w:fldCharType="separate"/>
    </w:r>
    <w:r w:rsidR="00B15081">
      <w:rPr>
        <w:rStyle w:val="PageNumber"/>
        <w:noProof/>
      </w:rPr>
      <w:t>2011-11-14</w:t>
    </w:r>
    <w:r w:rsidR="00A43B81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451" w:rsidRDefault="00C54451">
      <w:r>
        <w:separator/>
      </w:r>
    </w:p>
  </w:footnote>
  <w:footnote w:type="continuationSeparator" w:id="0">
    <w:p w:rsidR="00C54451" w:rsidRDefault="00C544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4192D"/>
    <w:multiLevelType w:val="hybridMultilevel"/>
    <w:tmpl w:val="1A3E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29202A"/>
    <w:multiLevelType w:val="hybridMultilevel"/>
    <w:tmpl w:val="681C5794"/>
    <w:lvl w:ilvl="0" w:tplc="08BC7470">
      <w:start w:val="1"/>
      <w:numFmt w:val="decimal"/>
      <w:lvlText w:val="[%1]"/>
      <w:lvlJc w:val="left"/>
      <w:pPr>
        <w:tabs>
          <w:tab w:val="num" w:pos="432"/>
        </w:tabs>
        <w:ind w:left="432" w:hanging="43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5B88DE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14F3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DA8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AB9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EE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202E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E4C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D627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80D3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6292F69"/>
    <w:multiLevelType w:val="hybridMultilevel"/>
    <w:tmpl w:val="3D624080"/>
    <w:lvl w:ilvl="0" w:tplc="75F0F35E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15026C30">
      <w:start w:val="1"/>
      <w:numFmt w:val="lowerLetter"/>
      <w:lvlText w:val="%2."/>
      <w:lvlJc w:val="left"/>
      <w:pPr>
        <w:ind w:left="1080" w:hanging="360"/>
      </w:pPr>
    </w:lvl>
    <w:lvl w:ilvl="2" w:tplc="F46C85F8" w:tentative="1">
      <w:start w:val="1"/>
      <w:numFmt w:val="lowerRoman"/>
      <w:lvlText w:val="%3."/>
      <w:lvlJc w:val="right"/>
      <w:pPr>
        <w:ind w:left="1800" w:hanging="180"/>
      </w:pPr>
    </w:lvl>
    <w:lvl w:ilvl="3" w:tplc="0D9C74AA" w:tentative="1">
      <w:start w:val="1"/>
      <w:numFmt w:val="decimal"/>
      <w:lvlText w:val="%4."/>
      <w:lvlJc w:val="left"/>
      <w:pPr>
        <w:ind w:left="2520" w:hanging="360"/>
      </w:pPr>
    </w:lvl>
    <w:lvl w:ilvl="4" w:tplc="328EB79E" w:tentative="1">
      <w:start w:val="1"/>
      <w:numFmt w:val="lowerLetter"/>
      <w:lvlText w:val="%5."/>
      <w:lvlJc w:val="left"/>
      <w:pPr>
        <w:ind w:left="3240" w:hanging="360"/>
      </w:pPr>
    </w:lvl>
    <w:lvl w:ilvl="5" w:tplc="CEE6EF6E" w:tentative="1">
      <w:start w:val="1"/>
      <w:numFmt w:val="lowerRoman"/>
      <w:lvlText w:val="%6."/>
      <w:lvlJc w:val="right"/>
      <w:pPr>
        <w:ind w:left="3960" w:hanging="180"/>
      </w:pPr>
    </w:lvl>
    <w:lvl w:ilvl="6" w:tplc="D5220266" w:tentative="1">
      <w:start w:val="1"/>
      <w:numFmt w:val="decimal"/>
      <w:lvlText w:val="%7."/>
      <w:lvlJc w:val="left"/>
      <w:pPr>
        <w:ind w:left="4680" w:hanging="360"/>
      </w:pPr>
    </w:lvl>
    <w:lvl w:ilvl="7" w:tplc="6124172C" w:tentative="1">
      <w:start w:val="1"/>
      <w:numFmt w:val="lowerLetter"/>
      <w:lvlText w:val="%8."/>
      <w:lvlJc w:val="left"/>
      <w:pPr>
        <w:ind w:left="5400" w:hanging="360"/>
      </w:pPr>
    </w:lvl>
    <w:lvl w:ilvl="8" w:tplc="36A6D34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F4500E"/>
    <w:multiLevelType w:val="hybridMultilevel"/>
    <w:tmpl w:val="E06AE6E0"/>
    <w:lvl w:ilvl="0" w:tplc="8A0467D4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01904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1B04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F0407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190407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01B0407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F0407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19040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1B0407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A84ACE"/>
    <w:multiLevelType w:val="hybridMultilevel"/>
    <w:tmpl w:val="F7204ACC"/>
    <w:lvl w:ilvl="0" w:tplc="CCE2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2D0460"/>
    <w:multiLevelType w:val="hybridMultilevel"/>
    <w:tmpl w:val="1EDA0152"/>
    <w:lvl w:ilvl="0" w:tplc="ED74FFB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1464C7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C186B11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96DAC7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280F44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FAF42D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0E0A17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75C4DD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FECE8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>
    <w:nsid w:val="48982BEF"/>
    <w:multiLevelType w:val="hybridMultilevel"/>
    <w:tmpl w:val="4B1E5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6026BE"/>
    <w:multiLevelType w:val="hybridMultilevel"/>
    <w:tmpl w:val="0942939E"/>
    <w:lvl w:ilvl="0" w:tplc="0409000F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19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09001B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9000F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90019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09001B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9000F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90019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09001B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33D007F"/>
    <w:multiLevelType w:val="hybridMultilevel"/>
    <w:tmpl w:val="8DF67EB6"/>
    <w:lvl w:ilvl="0" w:tplc="AC6AC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B4F8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EB8C0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2E11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04A2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3ABC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122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DE67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885D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1"/>
  </w:num>
  <w:num w:numId="5">
    <w:abstractNumId w:val="12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2"/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952FD"/>
    <w:rsid w:val="0009690A"/>
    <w:rsid w:val="000B1A93"/>
    <w:rsid w:val="000B1C6B"/>
    <w:rsid w:val="000C09AC"/>
    <w:rsid w:val="000E00F3"/>
    <w:rsid w:val="000F158C"/>
    <w:rsid w:val="00102F3D"/>
    <w:rsid w:val="00124E38"/>
    <w:rsid w:val="0012580B"/>
    <w:rsid w:val="0013526E"/>
    <w:rsid w:val="00144D91"/>
    <w:rsid w:val="001501F3"/>
    <w:rsid w:val="00151305"/>
    <w:rsid w:val="00153848"/>
    <w:rsid w:val="00171371"/>
    <w:rsid w:val="00175A24"/>
    <w:rsid w:val="00187E58"/>
    <w:rsid w:val="001A297E"/>
    <w:rsid w:val="001A368E"/>
    <w:rsid w:val="001A5431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840AC"/>
    <w:rsid w:val="00292257"/>
    <w:rsid w:val="002A54E0"/>
    <w:rsid w:val="002A6E49"/>
    <w:rsid w:val="002B1595"/>
    <w:rsid w:val="002B191D"/>
    <w:rsid w:val="002B7477"/>
    <w:rsid w:val="002D0AF6"/>
    <w:rsid w:val="002D6193"/>
    <w:rsid w:val="002F164D"/>
    <w:rsid w:val="00306206"/>
    <w:rsid w:val="00317D85"/>
    <w:rsid w:val="00327C56"/>
    <w:rsid w:val="003315A1"/>
    <w:rsid w:val="003373EC"/>
    <w:rsid w:val="00342FF4"/>
    <w:rsid w:val="003706CC"/>
    <w:rsid w:val="003A2D8E"/>
    <w:rsid w:val="003B1927"/>
    <w:rsid w:val="003C20E4"/>
    <w:rsid w:val="003E130E"/>
    <w:rsid w:val="003E6F90"/>
    <w:rsid w:val="003F5D0F"/>
    <w:rsid w:val="00414101"/>
    <w:rsid w:val="00433DDB"/>
    <w:rsid w:val="00437619"/>
    <w:rsid w:val="0049031D"/>
    <w:rsid w:val="0049686D"/>
    <w:rsid w:val="00496B4D"/>
    <w:rsid w:val="004A2A63"/>
    <w:rsid w:val="004B0AE0"/>
    <w:rsid w:val="004B210C"/>
    <w:rsid w:val="004B4E26"/>
    <w:rsid w:val="004D2ACC"/>
    <w:rsid w:val="004D405F"/>
    <w:rsid w:val="004E4F4F"/>
    <w:rsid w:val="004E6789"/>
    <w:rsid w:val="004F61E3"/>
    <w:rsid w:val="005024D1"/>
    <w:rsid w:val="0051015C"/>
    <w:rsid w:val="00515191"/>
    <w:rsid w:val="00516CF1"/>
    <w:rsid w:val="00531AE9"/>
    <w:rsid w:val="00550A66"/>
    <w:rsid w:val="00567EC7"/>
    <w:rsid w:val="00570013"/>
    <w:rsid w:val="005801A2"/>
    <w:rsid w:val="005952A5"/>
    <w:rsid w:val="00596B62"/>
    <w:rsid w:val="005A33A1"/>
    <w:rsid w:val="005A5AF2"/>
    <w:rsid w:val="005C385F"/>
    <w:rsid w:val="005E0F4E"/>
    <w:rsid w:val="005F6F1B"/>
    <w:rsid w:val="00624B33"/>
    <w:rsid w:val="00630AA2"/>
    <w:rsid w:val="00642FAB"/>
    <w:rsid w:val="00646707"/>
    <w:rsid w:val="006504FB"/>
    <w:rsid w:val="006571A5"/>
    <w:rsid w:val="00657AF1"/>
    <w:rsid w:val="00662E58"/>
    <w:rsid w:val="00664DCF"/>
    <w:rsid w:val="00672B91"/>
    <w:rsid w:val="00690777"/>
    <w:rsid w:val="006C5D39"/>
    <w:rsid w:val="006D76BE"/>
    <w:rsid w:val="006E2810"/>
    <w:rsid w:val="006E5417"/>
    <w:rsid w:val="006E7205"/>
    <w:rsid w:val="006F77EB"/>
    <w:rsid w:val="00712F60"/>
    <w:rsid w:val="007170CA"/>
    <w:rsid w:val="00720E3B"/>
    <w:rsid w:val="00745F6B"/>
    <w:rsid w:val="0075585E"/>
    <w:rsid w:val="00770571"/>
    <w:rsid w:val="007768FF"/>
    <w:rsid w:val="007824D3"/>
    <w:rsid w:val="00794E6F"/>
    <w:rsid w:val="00796EE3"/>
    <w:rsid w:val="007A64E9"/>
    <w:rsid w:val="007A7D29"/>
    <w:rsid w:val="007B4AB8"/>
    <w:rsid w:val="007F1F8B"/>
    <w:rsid w:val="007F67A1"/>
    <w:rsid w:val="008206C8"/>
    <w:rsid w:val="00820A50"/>
    <w:rsid w:val="00874A6C"/>
    <w:rsid w:val="00876313"/>
    <w:rsid w:val="00876C65"/>
    <w:rsid w:val="008A4B4C"/>
    <w:rsid w:val="008A711E"/>
    <w:rsid w:val="008C239F"/>
    <w:rsid w:val="008E480C"/>
    <w:rsid w:val="008F35B4"/>
    <w:rsid w:val="00907757"/>
    <w:rsid w:val="009212B0"/>
    <w:rsid w:val="00921F98"/>
    <w:rsid w:val="009234A5"/>
    <w:rsid w:val="009336F7"/>
    <w:rsid w:val="009374A7"/>
    <w:rsid w:val="009400D5"/>
    <w:rsid w:val="00966A1B"/>
    <w:rsid w:val="00981FB1"/>
    <w:rsid w:val="0098551D"/>
    <w:rsid w:val="0099518F"/>
    <w:rsid w:val="009A1403"/>
    <w:rsid w:val="009A523D"/>
    <w:rsid w:val="009C0125"/>
    <w:rsid w:val="009D1B41"/>
    <w:rsid w:val="009F496B"/>
    <w:rsid w:val="00A01439"/>
    <w:rsid w:val="00A02E61"/>
    <w:rsid w:val="00A05CFF"/>
    <w:rsid w:val="00A43B81"/>
    <w:rsid w:val="00A56B97"/>
    <w:rsid w:val="00A6093D"/>
    <w:rsid w:val="00A70302"/>
    <w:rsid w:val="00A76A6D"/>
    <w:rsid w:val="00A83253"/>
    <w:rsid w:val="00A83490"/>
    <w:rsid w:val="00A977C3"/>
    <w:rsid w:val="00AA6E84"/>
    <w:rsid w:val="00AC6770"/>
    <w:rsid w:val="00AE341B"/>
    <w:rsid w:val="00AE7BAE"/>
    <w:rsid w:val="00B07CA7"/>
    <w:rsid w:val="00B12518"/>
    <w:rsid w:val="00B1279A"/>
    <w:rsid w:val="00B15081"/>
    <w:rsid w:val="00B5222E"/>
    <w:rsid w:val="00B5297E"/>
    <w:rsid w:val="00B61C96"/>
    <w:rsid w:val="00B73A2A"/>
    <w:rsid w:val="00B806C4"/>
    <w:rsid w:val="00B94B06"/>
    <w:rsid w:val="00B94C28"/>
    <w:rsid w:val="00BC10BA"/>
    <w:rsid w:val="00BC5AFD"/>
    <w:rsid w:val="00BF59C5"/>
    <w:rsid w:val="00C04F43"/>
    <w:rsid w:val="00C0609D"/>
    <w:rsid w:val="00C115AB"/>
    <w:rsid w:val="00C27D21"/>
    <w:rsid w:val="00C30249"/>
    <w:rsid w:val="00C3723B"/>
    <w:rsid w:val="00C54451"/>
    <w:rsid w:val="00C606C9"/>
    <w:rsid w:val="00C90650"/>
    <w:rsid w:val="00C92896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67236"/>
    <w:rsid w:val="00D807BF"/>
    <w:rsid w:val="00DA7887"/>
    <w:rsid w:val="00DB2C26"/>
    <w:rsid w:val="00DC2D99"/>
    <w:rsid w:val="00DC55DC"/>
    <w:rsid w:val="00DE6B43"/>
    <w:rsid w:val="00E051F3"/>
    <w:rsid w:val="00E06597"/>
    <w:rsid w:val="00E11923"/>
    <w:rsid w:val="00E262D4"/>
    <w:rsid w:val="00E36250"/>
    <w:rsid w:val="00E54511"/>
    <w:rsid w:val="00E61DAC"/>
    <w:rsid w:val="00E75FE3"/>
    <w:rsid w:val="00E821BC"/>
    <w:rsid w:val="00EB2360"/>
    <w:rsid w:val="00EB7AB1"/>
    <w:rsid w:val="00EF10AE"/>
    <w:rsid w:val="00EF48CC"/>
    <w:rsid w:val="00F16F5E"/>
    <w:rsid w:val="00F36D2C"/>
    <w:rsid w:val="00F43230"/>
    <w:rsid w:val="00F46D55"/>
    <w:rsid w:val="00F73032"/>
    <w:rsid w:val="00F848FC"/>
    <w:rsid w:val="00F9282A"/>
    <w:rsid w:val="00F96BAD"/>
    <w:rsid w:val="00F972E6"/>
    <w:rsid w:val="00FB0E84"/>
    <w:rsid w:val="00FC4BCA"/>
    <w:rsid w:val="00FD01C2"/>
    <w:rsid w:val="00FD3D0C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42FAB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6"/>
      </w:numPr>
      <w:spacing w:before="240" w:after="60"/>
      <w:ind w:left="360" w:hanging="36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textAlignment w:val="baseline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textAlignment w:val="baseline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textAlignment w:val="baseline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textAlignment w:val="baseline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textAlignment w:val="baseline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textAlignment w:val="baseline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textAlignment w:val="baseline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textAlignment w:val="baseline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paragraph" w:styleId="Footer">
    <w:name w:val="footer"/>
    <w:basedOn w:val="Normal"/>
    <w:rsid w:val="00981FB1"/>
    <w:pPr>
      <w:tabs>
        <w:tab w:val="center" w:pos="4320"/>
        <w:tab w:val="right" w:pos="8640"/>
      </w:tabs>
      <w:textAlignment w:val="baseline"/>
    </w:pPr>
  </w:style>
  <w:style w:type="character" w:styleId="PageNumber">
    <w:name w:val="page number"/>
    <w:basedOn w:val="DefaultParagraphFont"/>
    <w:rsid w:val="00981FB1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pPr>
      <w:textAlignment w:val="baseline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4D2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nhideWhenUsed/>
    <w:qFormat/>
    <w:rsid w:val="00DC55DC"/>
    <w:pPr>
      <w:textAlignment w:val="baseline"/>
    </w:pPr>
    <w:rPr>
      <w:b/>
      <w:bCs/>
      <w:sz w:val="20"/>
    </w:rPr>
  </w:style>
  <w:style w:type="paragraph" w:customStyle="1" w:styleId="tableheading">
    <w:name w:val="table heading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5297E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baseline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5297E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baseline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5297E"/>
    <w:rPr>
      <w:rFonts w:ascii="Times" w:eastAsia="Malgun Gothic" w:hAnsi="Times"/>
      <w:lang w:val="en-GB" w:eastAsia="en-US"/>
    </w:rPr>
  </w:style>
  <w:style w:type="paragraph" w:styleId="ListParagraph">
    <w:name w:val="List Paragraph"/>
    <w:basedOn w:val="Normal"/>
    <w:uiPriority w:val="34"/>
    <w:qFormat/>
    <w:rsid w:val="000B1A9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="720"/>
      <w:contextualSpacing/>
    </w:pPr>
    <w:rPr>
      <w:sz w:val="24"/>
      <w:szCs w:val="24"/>
    </w:rPr>
  </w:style>
  <w:style w:type="table" w:styleId="TableSimple2">
    <w:name w:val="Table Simple 2"/>
    <w:basedOn w:val="TableNormal"/>
    <w:rsid w:val="0049031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041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598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338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06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ximin.zhang@mediatek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A24D0573-83BC-4429-B098-CD85B9FD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776</Words>
  <Characters>4428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5194</CharactersWithSpaces>
  <SharedDoc>false</SharedDoc>
  <HLinks>
    <vt:vector size="6" baseType="variant">
      <vt:variant>
        <vt:i4>2818048</vt:i4>
      </vt:variant>
      <vt:variant>
        <vt:i4>0</vt:i4>
      </vt:variant>
      <vt:variant>
        <vt:i4>0</vt:i4>
      </vt:variant>
      <vt:variant>
        <vt:i4>5</vt:i4>
      </vt:variant>
      <vt:variant>
        <vt:lpwstr>mailto:cheung.auyeung@am.sony.com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mtk30169</cp:lastModifiedBy>
  <cp:revision>12</cp:revision>
  <cp:lastPrinted>2011-11-08T02:39:00Z</cp:lastPrinted>
  <dcterms:created xsi:type="dcterms:W3CDTF">2011-11-11T18:22:00Z</dcterms:created>
  <dcterms:modified xsi:type="dcterms:W3CDTF">2011-11-14T18:14:00Z</dcterms:modified>
</cp:coreProperties>
</file>