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EC77EE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640AF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640AF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2D644A" w:rsidP="00E5025A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Geneva,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Switzerland, </w:t>
            </w:r>
            <w:r w:rsidRPr="00923488">
              <w:rPr>
                <w:szCs w:val="22"/>
              </w:rPr>
              <w:t>21-30 July, 2011</w:t>
            </w:r>
          </w:p>
        </w:tc>
        <w:tc>
          <w:tcPr>
            <w:tcW w:w="3168" w:type="dxa"/>
          </w:tcPr>
          <w:p w:rsidR="008A4B4C" w:rsidRDefault="00E61DAC" w:rsidP="005C1230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5C1230">
              <w:t>G</w:t>
            </w:r>
            <w:r w:rsidR="005C1230" w:rsidRPr="00EA4C94">
              <w:t>762</w:t>
            </w:r>
          </w:p>
          <w:p w:rsidR="00235C9E" w:rsidRPr="00235C9E" w:rsidRDefault="00235C9E" w:rsidP="005C1230">
            <w:pPr>
              <w:tabs>
                <w:tab w:val="left" w:pos="7200"/>
              </w:tabs>
            </w:pPr>
            <w:r w:rsidRPr="00235C9E">
              <w:t xml:space="preserve">WG11 number: </w:t>
            </w:r>
            <w:r>
              <w:t>m22332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6783B" w:rsidRDefault="00046D94" w:rsidP="00EA4C94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Cross-check report for </w:t>
            </w:r>
            <w:r w:rsidR="005C1230">
              <w:rPr>
                <w:szCs w:val="22"/>
              </w:rPr>
              <w:t xml:space="preserve">JCTVC-G374 </w:t>
            </w:r>
            <w:r w:rsidR="00EA4C94">
              <w:rPr>
                <w:szCs w:val="22"/>
              </w:rPr>
              <w:t>on</w:t>
            </w:r>
            <w:r w:rsidR="005C1230">
              <w:rPr>
                <w:szCs w:val="22"/>
              </w:rPr>
              <w:t xml:space="preserve"> </w:t>
            </w:r>
            <w:r w:rsidR="00EA4C94">
              <w:rPr>
                <w:szCs w:val="22"/>
              </w:rPr>
              <w:t>i</w:t>
            </w:r>
            <w:r w:rsidR="005C1230">
              <w:rPr>
                <w:szCs w:val="22"/>
              </w:rPr>
              <w:t xml:space="preserve">mproving intra prediction 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  <w:r w:rsidRPr="00AE341B">
              <w:rPr>
                <w:szCs w:val="22"/>
              </w:rPr>
              <w:t xml:space="preserve"> 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046D94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Report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235C9E" w:rsidRDefault="007C738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H. L. Tan</w:t>
            </w:r>
          </w:p>
          <w:p w:rsidR="007C7386" w:rsidRDefault="007C738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C. Yeo</w:t>
            </w:r>
          </w:p>
          <w:p w:rsidR="007C7386" w:rsidRDefault="007C7386">
            <w:pPr>
              <w:spacing w:before="60" w:after="60"/>
              <w:rPr>
                <w:szCs w:val="22"/>
              </w:rPr>
            </w:pPr>
          </w:p>
          <w:p w:rsidR="0026783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1 Fusionopolis Way</w:t>
            </w:r>
          </w:p>
          <w:p w:rsidR="0026783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#21-01 Connexis (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szCs w:val="22"/>
                  </w:rPr>
                  <w:t>South</w:t>
                </w:r>
              </w:smartTag>
              <w:r>
                <w:rPr>
                  <w:szCs w:val="22"/>
                </w:rPr>
                <w:t xml:space="preserve"> </w:t>
              </w:r>
              <w:smartTag w:uri="urn:schemas-microsoft-com:office:smarttags" w:element="PlaceType">
                <w:r>
                  <w:rPr>
                    <w:szCs w:val="22"/>
                  </w:rPr>
                  <w:t>Tower</w:t>
                </w:r>
              </w:smartTag>
            </w:smartTag>
            <w:r>
              <w:rPr>
                <w:szCs w:val="22"/>
              </w:rPr>
              <w:t>)</w:t>
            </w:r>
          </w:p>
          <w:p w:rsidR="0026783B" w:rsidRPr="00AE341B" w:rsidRDefault="0026783B">
            <w:pPr>
              <w:spacing w:before="60" w:after="60"/>
              <w:rPr>
                <w:szCs w:val="22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Cs w:val="22"/>
                  </w:rPr>
                  <w:t>Singapore</w:t>
                </w:r>
              </w:smartTag>
            </w:smartTag>
            <w:r>
              <w:rPr>
                <w:szCs w:val="22"/>
              </w:rPr>
              <w:t xml:space="preserve"> 138632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26783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+65 6408 2000</w:t>
            </w:r>
          </w:p>
          <w:p w:rsidR="00E61DAC" w:rsidRPr="00AE341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chyeo@i2r.a-star.edu.sg</w:t>
            </w:r>
            <w:r w:rsidR="00E61DAC" w:rsidRPr="00AE341B">
              <w:rPr>
                <w:szCs w:val="22"/>
              </w:rPr>
              <w:br/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2678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Institute for Infocomm Research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75BCF" w:rsidRDefault="005C1230" w:rsidP="0026783B">
      <w:pPr>
        <w:jc w:val="both"/>
      </w:pPr>
      <w:r>
        <w:t xml:space="preserve">JCTVC-G374 aims </w:t>
      </w:r>
      <w:r w:rsidRPr="00EA4C94">
        <w:t xml:space="preserve">to improve intra prediction by </w:t>
      </w:r>
      <w:r w:rsidR="00EA4C94" w:rsidRPr="00EA4C94">
        <w:t xml:space="preserve">either </w:t>
      </w:r>
      <w:r w:rsidRPr="00EA4C94">
        <w:t xml:space="preserve">using a </w:t>
      </w:r>
      <w:r w:rsidR="00EA4C94" w:rsidRPr="00EA4C94">
        <w:t>different set of angle parameters for angular intra prediction or switching between angle parameters for angular intra prediction.</w:t>
      </w:r>
      <w:r w:rsidR="0026783B">
        <w:t xml:space="preserve"> This </w:t>
      </w:r>
      <w:r w:rsidR="00703A01">
        <w:t>contribution presents</w:t>
      </w:r>
      <w:r w:rsidR="0026783B">
        <w:t xml:space="preserve"> the results and observations from the experiments </w:t>
      </w:r>
      <w:r w:rsidR="00703A01">
        <w:t xml:space="preserve">performed </w:t>
      </w:r>
      <w:r w:rsidR="0026783B">
        <w:t xml:space="preserve">by </w:t>
      </w:r>
      <w:r w:rsidR="00703A01">
        <w:t xml:space="preserve">the </w:t>
      </w:r>
      <w:r w:rsidR="0026783B">
        <w:t xml:space="preserve">Institute for Infocomm Research. The coding results obtained </w:t>
      </w:r>
      <w:r w:rsidR="00703A01">
        <w:t xml:space="preserve">reportedly </w:t>
      </w:r>
      <w:r w:rsidR="0026783B">
        <w:t xml:space="preserve">match what was provided by the proponents. </w:t>
      </w:r>
    </w:p>
    <w:p w:rsidR="0026783B" w:rsidRDefault="00745F6B" w:rsidP="0026783B">
      <w:pPr>
        <w:pStyle w:val="Heading1"/>
      </w:pPr>
      <w:r w:rsidRPr="00AE341B">
        <w:t xml:space="preserve">Introduction </w:t>
      </w:r>
    </w:p>
    <w:p w:rsidR="00615206" w:rsidRDefault="00615206" w:rsidP="005C123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nsolas" w:hAnsi="Consolas" w:cs="Consolas"/>
          <w:sz w:val="19"/>
          <w:szCs w:val="19"/>
          <w:lang w:val="en-SG" w:eastAsia="zh-CN"/>
        </w:rPr>
      </w:pPr>
    </w:p>
    <w:p w:rsidR="00A54B50" w:rsidRPr="00A54B50" w:rsidRDefault="00A54B50" w:rsidP="005C123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w:r>
        <w:rPr>
          <w:szCs w:val="22"/>
          <w:lang w:val="en-SG" w:eastAsia="zh-CN"/>
        </w:rPr>
        <w:t xml:space="preserve">In HM4, the following tables </w:t>
      </w:r>
      <w:r w:rsidR="003D5CD8">
        <w:rPr>
          <w:szCs w:val="22"/>
          <w:lang w:val="en-SG" w:eastAsia="zh-CN"/>
        </w:rPr>
        <w:t>are</w:t>
      </w:r>
      <w:r>
        <w:rPr>
          <w:szCs w:val="22"/>
          <w:lang w:val="en-SG" w:eastAsia="zh-CN"/>
        </w:rPr>
        <w:t xml:space="preserve"> used for scaling the angle parameter to the different block sizes: </w:t>
      </w:r>
    </w:p>
    <w:p w:rsidR="005E4266" w:rsidRPr="00A54B50" w:rsidRDefault="005E4266" w:rsidP="005E4266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w:r w:rsidRPr="00A54B50">
        <w:rPr>
          <w:szCs w:val="22"/>
          <w:lang w:val="en-SG" w:eastAsia="zh-CN"/>
        </w:rPr>
        <w:t xml:space="preserve">Int angTable[9]    = {0,    2,    5,   9,  13,  </w:t>
      </w:r>
      <w:r w:rsidRPr="00A54B50">
        <w:rPr>
          <w:b/>
          <w:szCs w:val="22"/>
          <w:lang w:val="en-SG" w:eastAsia="zh-CN"/>
        </w:rPr>
        <w:t>17</w:t>
      </w:r>
      <w:r w:rsidRPr="00A54B50">
        <w:rPr>
          <w:szCs w:val="22"/>
          <w:lang w:val="en-SG" w:eastAsia="zh-CN"/>
        </w:rPr>
        <w:t xml:space="preserve">,  </w:t>
      </w:r>
      <w:r w:rsidRPr="00A54B50">
        <w:rPr>
          <w:b/>
          <w:szCs w:val="22"/>
          <w:lang w:val="en-SG" w:eastAsia="zh-CN"/>
        </w:rPr>
        <w:t>21</w:t>
      </w:r>
      <w:r w:rsidRPr="00A54B50">
        <w:rPr>
          <w:szCs w:val="22"/>
          <w:lang w:val="en-SG" w:eastAsia="zh-CN"/>
        </w:rPr>
        <w:t xml:space="preserve">,  </w:t>
      </w:r>
      <w:r w:rsidRPr="00A54B50">
        <w:rPr>
          <w:b/>
          <w:szCs w:val="22"/>
          <w:lang w:val="en-SG" w:eastAsia="zh-CN"/>
        </w:rPr>
        <w:t>26</w:t>
      </w:r>
      <w:r w:rsidR="00A54B50" w:rsidRPr="00A54B50">
        <w:rPr>
          <w:szCs w:val="22"/>
          <w:lang w:val="en-SG" w:eastAsia="zh-CN"/>
        </w:rPr>
        <w:t>,  32}</w:t>
      </w:r>
    </w:p>
    <w:p w:rsidR="005E4266" w:rsidRPr="00A54B50" w:rsidRDefault="005E4266" w:rsidP="005E4266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color w:val="008000"/>
          <w:szCs w:val="22"/>
          <w:lang w:val="en-SG" w:eastAsia="zh-CN"/>
        </w:rPr>
      </w:pPr>
      <w:r w:rsidRPr="00A54B50">
        <w:rPr>
          <w:szCs w:val="22"/>
          <w:lang w:val="en-SG" w:eastAsia="zh-CN"/>
        </w:rPr>
        <w:t xml:space="preserve">Int invAngTable[9] = {0, 4096, 1638, 910, 630, </w:t>
      </w:r>
      <w:r w:rsidRPr="00A54B50">
        <w:rPr>
          <w:b/>
          <w:szCs w:val="22"/>
          <w:lang w:val="en-SG" w:eastAsia="zh-CN"/>
        </w:rPr>
        <w:t>482</w:t>
      </w:r>
      <w:r w:rsidRPr="00A54B50">
        <w:rPr>
          <w:szCs w:val="22"/>
          <w:lang w:val="en-SG" w:eastAsia="zh-CN"/>
        </w:rPr>
        <w:t xml:space="preserve">, </w:t>
      </w:r>
      <w:r w:rsidRPr="00A54B50">
        <w:rPr>
          <w:b/>
          <w:szCs w:val="22"/>
          <w:lang w:val="en-SG" w:eastAsia="zh-CN"/>
        </w:rPr>
        <w:t>390</w:t>
      </w:r>
      <w:r w:rsidRPr="00A54B50">
        <w:rPr>
          <w:szCs w:val="22"/>
          <w:lang w:val="en-SG" w:eastAsia="zh-CN"/>
        </w:rPr>
        <w:t xml:space="preserve">, </w:t>
      </w:r>
      <w:r w:rsidRPr="00A54B50">
        <w:rPr>
          <w:b/>
          <w:szCs w:val="22"/>
          <w:lang w:val="en-SG" w:eastAsia="zh-CN"/>
        </w:rPr>
        <w:t>315</w:t>
      </w:r>
      <w:r w:rsidR="00A54B50" w:rsidRPr="00A54B50">
        <w:rPr>
          <w:szCs w:val="22"/>
          <w:lang w:val="en-SG" w:eastAsia="zh-CN"/>
        </w:rPr>
        <w:t>, 256}</w:t>
      </w:r>
      <w:r w:rsidRPr="00A54B50">
        <w:rPr>
          <w:szCs w:val="22"/>
          <w:lang w:val="en-SG" w:eastAsia="zh-CN"/>
        </w:rPr>
        <w:t xml:space="preserve"> </w:t>
      </w:r>
    </w:p>
    <w:p w:rsidR="005E4266" w:rsidRPr="00A54B50" w:rsidRDefault="005E4266" w:rsidP="005C123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</w:p>
    <w:p w:rsidR="005E4266" w:rsidRPr="00A54B50" w:rsidRDefault="00A54B50" w:rsidP="005C1230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w:r w:rsidRPr="00A54B50">
        <w:rPr>
          <w:szCs w:val="22"/>
          <w:lang w:val="en-SG" w:eastAsia="zh-CN"/>
        </w:rPr>
        <w:t>JCTVC-G374</w:t>
      </w:r>
      <w:r>
        <w:rPr>
          <w:szCs w:val="22"/>
          <w:lang w:val="en-SG" w:eastAsia="zh-CN"/>
        </w:rPr>
        <w:t xml:space="preserve"> proposes</w:t>
      </w:r>
      <w:r w:rsidR="0040601D">
        <w:rPr>
          <w:szCs w:val="22"/>
          <w:lang w:val="en-SG" w:eastAsia="zh-CN"/>
        </w:rPr>
        <w:t xml:space="preserve"> the</w:t>
      </w:r>
      <w:r>
        <w:rPr>
          <w:szCs w:val="22"/>
          <w:lang w:val="en-SG" w:eastAsia="zh-CN"/>
        </w:rPr>
        <w:t xml:space="preserve"> replace</w:t>
      </w:r>
      <w:r w:rsidR="0040601D">
        <w:rPr>
          <w:szCs w:val="22"/>
          <w:lang w:val="en-SG" w:eastAsia="zh-CN"/>
        </w:rPr>
        <w:t>ment of</w:t>
      </w:r>
      <w:r>
        <w:rPr>
          <w:szCs w:val="22"/>
          <w:lang w:val="en-SG" w:eastAsia="zh-CN"/>
        </w:rPr>
        <w:t xml:space="preserve"> the above tables with the following</w:t>
      </w:r>
      <w:r w:rsidR="0040601D">
        <w:rPr>
          <w:szCs w:val="22"/>
          <w:lang w:val="en-SG" w:eastAsia="zh-CN"/>
        </w:rPr>
        <w:t xml:space="preserve"> tables</w:t>
      </w:r>
      <w:r>
        <w:rPr>
          <w:szCs w:val="22"/>
          <w:lang w:val="en-SG" w:eastAsia="zh-CN"/>
        </w:rPr>
        <w:t xml:space="preserve">: </w:t>
      </w:r>
    </w:p>
    <w:p w:rsidR="00615206" w:rsidRPr="00A54B50" w:rsidRDefault="00615206" w:rsidP="00615206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w:r w:rsidRPr="00A54B50">
        <w:rPr>
          <w:szCs w:val="22"/>
          <w:lang w:val="en-SG" w:eastAsia="zh-CN"/>
        </w:rPr>
        <w:t xml:space="preserve">Int angTable[9]    = {0,    2,    5,   9,  13,  </w:t>
      </w:r>
      <w:r w:rsidRPr="00A54B50">
        <w:rPr>
          <w:b/>
          <w:szCs w:val="22"/>
          <w:lang w:val="en-SG" w:eastAsia="zh-CN"/>
        </w:rPr>
        <w:t>18</w:t>
      </w:r>
      <w:r w:rsidRPr="00A54B50">
        <w:rPr>
          <w:szCs w:val="22"/>
          <w:lang w:val="en-SG" w:eastAsia="zh-CN"/>
        </w:rPr>
        <w:t xml:space="preserve">,  </w:t>
      </w:r>
      <w:r w:rsidRPr="00A54B50">
        <w:rPr>
          <w:b/>
          <w:szCs w:val="22"/>
          <w:lang w:val="en-SG" w:eastAsia="zh-CN"/>
        </w:rPr>
        <w:t>23</w:t>
      </w:r>
      <w:r w:rsidRPr="00A54B50">
        <w:rPr>
          <w:szCs w:val="22"/>
          <w:lang w:val="en-SG" w:eastAsia="zh-CN"/>
        </w:rPr>
        <w:t xml:space="preserve">,  </w:t>
      </w:r>
      <w:r w:rsidRPr="00A54B50">
        <w:rPr>
          <w:b/>
          <w:szCs w:val="22"/>
          <w:lang w:val="en-SG" w:eastAsia="zh-CN"/>
        </w:rPr>
        <w:t>28</w:t>
      </w:r>
      <w:r w:rsidR="00A54B50">
        <w:rPr>
          <w:szCs w:val="22"/>
          <w:lang w:val="en-SG" w:eastAsia="zh-CN"/>
        </w:rPr>
        <w:t>,  32}</w:t>
      </w:r>
    </w:p>
    <w:p w:rsidR="00615206" w:rsidRPr="00A54B50" w:rsidRDefault="00615206" w:rsidP="00615206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SG" w:eastAsia="zh-CN"/>
        </w:rPr>
      </w:pPr>
      <w:r w:rsidRPr="00A54B50">
        <w:rPr>
          <w:szCs w:val="22"/>
          <w:lang w:val="en-SG" w:eastAsia="zh-CN"/>
        </w:rPr>
        <w:t xml:space="preserve">Int invAngTable[9] = {0, 4096, 1638, 910, 630, </w:t>
      </w:r>
      <w:r w:rsidRPr="00A54B50">
        <w:rPr>
          <w:b/>
          <w:szCs w:val="22"/>
          <w:lang w:val="en-SG" w:eastAsia="zh-CN"/>
        </w:rPr>
        <w:t>455</w:t>
      </w:r>
      <w:r w:rsidRPr="00A54B50">
        <w:rPr>
          <w:szCs w:val="22"/>
          <w:lang w:val="en-SG" w:eastAsia="zh-CN"/>
        </w:rPr>
        <w:t xml:space="preserve">, </w:t>
      </w:r>
      <w:r w:rsidRPr="00A54B50">
        <w:rPr>
          <w:b/>
          <w:szCs w:val="22"/>
          <w:lang w:val="en-SG" w:eastAsia="zh-CN"/>
        </w:rPr>
        <w:t>356</w:t>
      </w:r>
      <w:r w:rsidRPr="00A54B50">
        <w:rPr>
          <w:szCs w:val="22"/>
          <w:lang w:val="en-SG" w:eastAsia="zh-CN"/>
        </w:rPr>
        <w:t xml:space="preserve">, </w:t>
      </w:r>
      <w:r w:rsidRPr="00A54B50">
        <w:rPr>
          <w:b/>
          <w:szCs w:val="22"/>
          <w:lang w:val="en-SG" w:eastAsia="zh-CN"/>
        </w:rPr>
        <w:t>293</w:t>
      </w:r>
      <w:r w:rsidR="00A54B50">
        <w:rPr>
          <w:szCs w:val="22"/>
          <w:lang w:val="en-SG" w:eastAsia="zh-CN"/>
        </w:rPr>
        <w:t>, 256}</w:t>
      </w:r>
    </w:p>
    <w:p w:rsidR="0040601D" w:rsidRDefault="0040601D" w:rsidP="00F84B8B">
      <w:pPr>
        <w:jc w:val="both"/>
      </w:pPr>
      <w:r>
        <w:rPr>
          <w:lang w:val="en-SG"/>
        </w:rPr>
        <w:t>T</w:t>
      </w:r>
      <w:r w:rsidR="00A54B50">
        <w:rPr>
          <w:lang w:val="en-SG"/>
        </w:rPr>
        <w:t>wo cases</w:t>
      </w:r>
      <w:r>
        <w:rPr>
          <w:lang w:val="en-SG"/>
        </w:rPr>
        <w:t xml:space="preserve"> are</w:t>
      </w:r>
      <w:r w:rsidR="00A54B50">
        <w:rPr>
          <w:lang w:val="en-SG"/>
        </w:rPr>
        <w:t xml:space="preserve"> proposed. In Case 1, the original tables are replaced with the proposed tables. In Case 2, </w:t>
      </w:r>
      <w:r w:rsidR="00EA4C94">
        <w:rPr>
          <w:lang w:val="en-SG"/>
        </w:rPr>
        <w:t xml:space="preserve">both the original HM4 angle parameter table and the new angle parameter table </w:t>
      </w:r>
      <w:r w:rsidR="00A54B50">
        <w:t xml:space="preserve">are present, </w:t>
      </w:r>
      <w:r>
        <w:t xml:space="preserve">and the </w:t>
      </w:r>
      <w:r w:rsidR="00EA4C94">
        <w:t>table to be used depends on the intra prediction mode of the neighboring prediction units (PU).</w:t>
      </w:r>
    </w:p>
    <w:p w:rsidR="003A762C" w:rsidRPr="003D5CD8" w:rsidRDefault="0040601D" w:rsidP="0026783B">
      <w:pPr>
        <w:jc w:val="both"/>
      </w:pPr>
      <w:r>
        <w:t>If both</w:t>
      </w:r>
      <w:r w:rsidR="003D5CD8">
        <w:t xml:space="preserve"> </w:t>
      </w:r>
      <w:r w:rsidR="00EA4C94">
        <w:t xml:space="preserve">the left neighboring and above neighboring PUs are either not available or not intra coded, then </w:t>
      </w:r>
      <w:r>
        <w:t xml:space="preserve">the </w:t>
      </w:r>
      <w:r w:rsidR="00EA4C94">
        <w:t xml:space="preserve">new set of </w:t>
      </w:r>
      <w:r>
        <w:t xml:space="preserve">proposed </w:t>
      </w:r>
      <w:r w:rsidR="00EA4C94">
        <w:t xml:space="preserve">angle parameters is </w:t>
      </w:r>
      <w:r>
        <w:t xml:space="preserve">used. If either or both </w:t>
      </w:r>
      <w:r w:rsidR="00EA4C94">
        <w:t xml:space="preserve">neighboring PUs are available and intra coded, which table to be used depends on the entries of a look-up table indexed by the intra prediction mode of the neighboring PUs. </w:t>
      </w:r>
      <w:r>
        <w:t xml:space="preserve">The original </w:t>
      </w:r>
      <w:r w:rsidR="00EA4C94">
        <w:t xml:space="preserve">set of HM4 angle parameters is used </w:t>
      </w:r>
      <w:r w:rsidR="003D5CD8">
        <w:t xml:space="preserve">only </w:t>
      </w:r>
      <w:r>
        <w:t xml:space="preserve">when the </w:t>
      </w:r>
      <w:r w:rsidR="00EA4C94">
        <w:t xml:space="preserve">entries for both the left and above intra prediction mode are </w:t>
      </w:r>
      <w:r>
        <w:t>0.</w:t>
      </w:r>
    </w:p>
    <w:p w:rsidR="00E61DAC" w:rsidRPr="00AE341B" w:rsidRDefault="0026783B" w:rsidP="0026783B">
      <w:pPr>
        <w:pStyle w:val="Heading1"/>
      </w:pPr>
      <w:r>
        <w:t>Simulation Results</w:t>
      </w:r>
    </w:p>
    <w:p w:rsidR="0026783B" w:rsidRDefault="0026783B" w:rsidP="0026783B">
      <w:pPr>
        <w:jc w:val="both"/>
        <w:rPr>
          <w:szCs w:val="22"/>
        </w:rPr>
      </w:pPr>
      <w:r>
        <w:rPr>
          <w:szCs w:val="22"/>
        </w:rPr>
        <w:t>The proposed</w:t>
      </w:r>
      <w:r w:rsidR="00EA4C94">
        <w:rPr>
          <w:szCs w:val="22"/>
        </w:rPr>
        <w:t xml:space="preserve"> modifications were made in HM</w:t>
      </w:r>
      <w:r w:rsidR="00253CBD">
        <w:rPr>
          <w:szCs w:val="22"/>
        </w:rPr>
        <w:t>4</w:t>
      </w:r>
      <w:r>
        <w:rPr>
          <w:szCs w:val="22"/>
        </w:rPr>
        <w:t xml:space="preserve">. Tests were conducted using the two </w:t>
      </w:r>
      <w:r w:rsidR="00856157">
        <w:rPr>
          <w:szCs w:val="22"/>
        </w:rPr>
        <w:t xml:space="preserve">All-Intra </w:t>
      </w:r>
      <w:r>
        <w:rPr>
          <w:szCs w:val="22"/>
        </w:rPr>
        <w:t xml:space="preserve">configurations, i.e. high-efficiency and low complexity, following the common testing conditions </w:t>
      </w:r>
      <w:r w:rsidRPr="00A870C5">
        <w:rPr>
          <w:szCs w:val="22"/>
        </w:rPr>
        <w:t>[</w:t>
      </w:r>
      <w:r w:rsidR="00304990">
        <w:rPr>
          <w:szCs w:val="22"/>
        </w:rPr>
        <w:t>5</w:t>
      </w:r>
      <w:r w:rsidRPr="00A870C5">
        <w:rPr>
          <w:szCs w:val="22"/>
        </w:rPr>
        <w:t>]</w:t>
      </w:r>
      <w:r>
        <w:rPr>
          <w:szCs w:val="22"/>
        </w:rPr>
        <w:t>.</w:t>
      </w:r>
    </w:p>
    <w:p w:rsidR="00322471" w:rsidRDefault="0026783B" w:rsidP="001F2294">
      <w:pPr>
        <w:jc w:val="both"/>
      </w:pPr>
      <w:r>
        <w:rPr>
          <w:szCs w:val="22"/>
        </w:rPr>
        <w:t xml:space="preserve">Table 1 </w:t>
      </w:r>
      <w:r w:rsidR="00615206">
        <w:rPr>
          <w:szCs w:val="22"/>
        </w:rPr>
        <w:t xml:space="preserve">and 2 </w:t>
      </w:r>
      <w:r>
        <w:rPr>
          <w:szCs w:val="22"/>
        </w:rPr>
        <w:t>show</w:t>
      </w:r>
      <w:r w:rsidR="00253CBD">
        <w:rPr>
          <w:szCs w:val="22"/>
        </w:rPr>
        <w:t xml:space="preserve"> the results of </w:t>
      </w:r>
      <w:r w:rsidR="00615206">
        <w:rPr>
          <w:szCs w:val="22"/>
        </w:rPr>
        <w:t>Case 1 and 2 respectively.</w:t>
      </w:r>
      <w:r w:rsidR="002B1D79">
        <w:rPr>
          <w:szCs w:val="22"/>
        </w:rPr>
        <w:t xml:space="preserve"> </w:t>
      </w:r>
    </w:p>
    <w:p w:rsidR="00CC70A4" w:rsidRDefault="00CC70A4" w:rsidP="001F2294">
      <w:pPr>
        <w:jc w:val="both"/>
      </w:pPr>
    </w:p>
    <w:tbl>
      <w:tblPr>
        <w:tblW w:w="7660" w:type="dxa"/>
        <w:jc w:val="center"/>
        <w:tblInd w:w="96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LC</w:t>
            </w:r>
          </w:p>
        </w:tc>
      </w:tr>
      <w:tr w:rsidR="00615206" w:rsidRPr="00615206" w:rsidTr="00615206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lastRenderedPageBreak/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-0.3%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</w:tr>
      <w:tr w:rsidR="00615206" w:rsidRPr="00615206" w:rsidTr="00615206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0.1%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</w:tr>
      <w:tr w:rsidR="00615206" w:rsidRPr="00615206" w:rsidTr="00615206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100%</w:t>
            </w:r>
          </w:p>
        </w:tc>
      </w:tr>
      <w:tr w:rsidR="00615206" w:rsidRPr="00615206" w:rsidTr="00615206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98%</w:t>
            </w:r>
          </w:p>
        </w:tc>
      </w:tr>
    </w:tbl>
    <w:p w:rsidR="0026783B" w:rsidRDefault="00322471" w:rsidP="00615206">
      <w:pPr>
        <w:jc w:val="center"/>
        <w:rPr>
          <w:szCs w:val="22"/>
        </w:rPr>
      </w:pPr>
      <w:r>
        <w:rPr>
          <w:szCs w:val="22"/>
        </w:rPr>
        <w:t xml:space="preserve">Table 1. Cross-check </w:t>
      </w:r>
      <w:r w:rsidR="0026783B">
        <w:rPr>
          <w:szCs w:val="22"/>
        </w:rPr>
        <w:t xml:space="preserve">results for </w:t>
      </w:r>
      <w:r w:rsidR="00615206">
        <w:rPr>
          <w:szCs w:val="22"/>
        </w:rPr>
        <w:t>Case 1</w:t>
      </w:r>
      <w:r w:rsidR="00176D02">
        <w:rPr>
          <w:szCs w:val="22"/>
        </w:rPr>
        <w:t>.</w:t>
      </w:r>
    </w:p>
    <w:p w:rsidR="00615206" w:rsidRDefault="00615206" w:rsidP="00615206">
      <w:pPr>
        <w:jc w:val="center"/>
        <w:rPr>
          <w:szCs w:val="22"/>
        </w:rPr>
      </w:pPr>
    </w:p>
    <w:tbl>
      <w:tblPr>
        <w:tblW w:w="7660" w:type="dxa"/>
        <w:jc w:val="center"/>
        <w:tblInd w:w="96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All Intra LC</w:t>
            </w:r>
          </w:p>
        </w:tc>
      </w:tr>
      <w:tr w:rsidR="00615206" w:rsidRPr="00615206" w:rsidTr="00615206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V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-0.2%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</w:tr>
      <w:tr w:rsidR="00615206" w:rsidRPr="00615206" w:rsidTr="00615206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SG" w:eastAsia="zh-CN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0.0%</w:t>
            </w:r>
          </w:p>
        </w:tc>
      </w:tr>
      <w:tr w:rsidR="00615206" w:rsidRPr="00615206" w:rsidTr="00615206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808080"/>
                <w:sz w:val="18"/>
                <w:szCs w:val="18"/>
                <w:lang w:val="en-SG" w:eastAsia="zh-CN"/>
              </w:rPr>
              <w:t>0.0%</w:t>
            </w:r>
          </w:p>
        </w:tc>
      </w:tr>
      <w:tr w:rsidR="00615206" w:rsidRPr="00615206" w:rsidTr="00615206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101%</w:t>
            </w:r>
          </w:p>
        </w:tc>
      </w:tr>
      <w:tr w:rsidR="00615206" w:rsidRPr="00615206" w:rsidTr="00615206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5206" w:rsidRPr="00615206" w:rsidRDefault="00615206" w:rsidP="0061520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</w:pPr>
            <w:r w:rsidRPr="00615206">
              <w:rPr>
                <w:rFonts w:ascii="Arial" w:hAnsi="Arial" w:cs="Arial"/>
                <w:color w:val="000000"/>
                <w:sz w:val="18"/>
                <w:szCs w:val="18"/>
                <w:lang w:val="en-SG" w:eastAsia="zh-CN"/>
              </w:rPr>
              <w:t>98%</w:t>
            </w:r>
          </w:p>
        </w:tc>
      </w:tr>
    </w:tbl>
    <w:p w:rsidR="00615206" w:rsidRDefault="00615206" w:rsidP="00615206">
      <w:pPr>
        <w:jc w:val="center"/>
        <w:rPr>
          <w:szCs w:val="22"/>
        </w:rPr>
      </w:pPr>
      <w:r>
        <w:rPr>
          <w:szCs w:val="22"/>
        </w:rPr>
        <w:t xml:space="preserve">Table </w:t>
      </w:r>
      <w:r w:rsidR="00CC70A4">
        <w:rPr>
          <w:szCs w:val="22"/>
        </w:rPr>
        <w:t>2</w:t>
      </w:r>
      <w:r>
        <w:rPr>
          <w:szCs w:val="22"/>
        </w:rPr>
        <w:t>. Cross-check results for Case 2.</w:t>
      </w:r>
    </w:p>
    <w:p w:rsidR="001F2594" w:rsidRDefault="00A870C5" w:rsidP="00E11923">
      <w:pPr>
        <w:pStyle w:val="Heading1"/>
      </w:pPr>
      <w:r>
        <w:t>Conclusions</w:t>
      </w:r>
    </w:p>
    <w:p w:rsidR="00A870C5" w:rsidRDefault="00CF14FF" w:rsidP="00253CBD">
      <w:pPr>
        <w:jc w:val="both"/>
      </w:pPr>
      <w:r>
        <w:t xml:space="preserve">We have carried out </w:t>
      </w:r>
      <w:r w:rsidR="00A870C5">
        <w:t>cross-check</w:t>
      </w:r>
      <w:r>
        <w:t xml:space="preserve">s of the proposal in JCTVC-G374, and experimental results obtained </w:t>
      </w:r>
      <w:r w:rsidR="00A870C5">
        <w:t xml:space="preserve">are consistent with those provided by the proponents. </w:t>
      </w:r>
    </w:p>
    <w:p w:rsidR="001F2294" w:rsidRDefault="001F2294" w:rsidP="001F2294">
      <w:pPr>
        <w:pStyle w:val="Heading1"/>
      </w:pPr>
      <w:r>
        <w:t>References</w:t>
      </w:r>
    </w:p>
    <w:p w:rsidR="00615206" w:rsidRDefault="00615206" w:rsidP="00615206">
      <w:pPr>
        <w:pStyle w:val="ListParagraph"/>
        <w:numPr>
          <w:ilvl w:val="0"/>
          <w:numId w:val="11"/>
        </w:numPr>
        <w:jc w:val="both"/>
      </w:pPr>
      <w:r>
        <w:t>L. Liu, “Improving the Intra Prediction based on a Uniform Probability Model,” JCTVC-</w:t>
      </w:r>
      <w:r w:rsidR="00FF046D">
        <w:rPr>
          <w:lang w:eastAsia="ja-JP"/>
        </w:rPr>
        <w:t>G</w:t>
      </w:r>
      <w:r>
        <w:rPr>
          <w:lang w:eastAsia="ja-JP"/>
        </w:rPr>
        <w:t>374</w:t>
      </w:r>
      <w:r>
        <w:t xml:space="preserve">, </w:t>
      </w:r>
      <w:r>
        <w:rPr>
          <w:lang w:eastAsia="ja-JP"/>
        </w:rPr>
        <w:t>Geneva</w:t>
      </w:r>
      <w:r>
        <w:t xml:space="preserve">, </w:t>
      </w:r>
      <w:r>
        <w:rPr>
          <w:lang w:eastAsia="ja-JP"/>
        </w:rPr>
        <w:t>CH</w:t>
      </w:r>
      <w:r>
        <w:t xml:space="preserve">, </w:t>
      </w:r>
      <w:r>
        <w:rPr>
          <w:lang w:eastAsia="ja-JP"/>
        </w:rPr>
        <w:t>Nov.</w:t>
      </w:r>
      <w:r>
        <w:rPr>
          <w:rFonts w:hint="eastAsia"/>
          <w:lang w:eastAsia="ja-JP"/>
        </w:rPr>
        <w:t>,</w:t>
      </w:r>
      <w:r>
        <w:t xml:space="preserve"> 2011.</w:t>
      </w:r>
    </w:p>
    <w:p w:rsidR="00881CBC" w:rsidRPr="007E35D0" w:rsidRDefault="00881CBC" w:rsidP="00881CBC">
      <w:pPr>
        <w:pStyle w:val="ListParagraph"/>
        <w:numPr>
          <w:ilvl w:val="0"/>
          <w:numId w:val="11"/>
        </w:numPr>
        <w:jc w:val="both"/>
      </w:pPr>
      <w:r>
        <w:t>F. Bossen, “</w:t>
      </w:r>
      <w:r w:rsidRPr="005F0BC0">
        <w:t>Common conditions and software reference configurations</w:t>
      </w:r>
      <w:r>
        <w:t>,” JCTVC-</w:t>
      </w:r>
      <w:r>
        <w:rPr>
          <w:lang w:eastAsia="ja-JP"/>
        </w:rPr>
        <w:t>F9</w:t>
      </w:r>
      <w:r>
        <w:t xml:space="preserve">00, </w:t>
      </w:r>
      <w:r>
        <w:rPr>
          <w:lang w:eastAsia="ja-JP"/>
        </w:rPr>
        <w:t>Torino</w:t>
      </w:r>
      <w:r>
        <w:t xml:space="preserve">, </w:t>
      </w:r>
      <w:r>
        <w:rPr>
          <w:lang w:eastAsia="ja-JP"/>
        </w:rPr>
        <w:t>Italy</w:t>
      </w:r>
      <w:r>
        <w:t xml:space="preserve">, </w:t>
      </w:r>
      <w:r>
        <w:rPr>
          <w:lang w:eastAsia="ja-JP"/>
        </w:rPr>
        <w:t>Jul</w:t>
      </w:r>
      <w:r>
        <w:rPr>
          <w:rFonts w:hint="eastAsia"/>
          <w:lang w:eastAsia="ja-JP"/>
        </w:rPr>
        <w:t>.,</w:t>
      </w:r>
      <w:r>
        <w:t xml:space="preserve"> 2011.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1A8" w:rsidRDefault="009521A8">
      <w:r>
        <w:separator/>
      </w:r>
    </w:p>
  </w:endnote>
  <w:endnote w:type="continuationSeparator" w:id="0">
    <w:p w:rsidR="009521A8" w:rsidRDefault="00952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0C5" w:rsidRDefault="00A870C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C77E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C77EE">
      <w:rPr>
        <w:rStyle w:val="PageNumber"/>
      </w:rPr>
      <w:fldChar w:fldCharType="separate"/>
    </w:r>
    <w:r w:rsidR="00CF14FF">
      <w:rPr>
        <w:rStyle w:val="PageNumber"/>
        <w:noProof/>
      </w:rPr>
      <w:t>2</w:t>
    </w:r>
    <w:r w:rsidR="00EC77E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C77E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C77EE">
      <w:rPr>
        <w:rStyle w:val="PageNumber"/>
      </w:rPr>
      <w:fldChar w:fldCharType="separate"/>
    </w:r>
    <w:r w:rsidR="007C7386">
      <w:rPr>
        <w:rStyle w:val="PageNumber"/>
        <w:noProof/>
      </w:rPr>
      <w:t>2011-11-09</w:t>
    </w:r>
    <w:r w:rsidR="00EC77E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1A8" w:rsidRDefault="009521A8">
      <w:r>
        <w:separator/>
      </w:r>
    </w:p>
  </w:footnote>
  <w:footnote w:type="continuationSeparator" w:id="0">
    <w:p w:rsidR="009521A8" w:rsidRDefault="009521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4A4454D"/>
    <w:multiLevelType w:val="hybridMultilevel"/>
    <w:tmpl w:val="B4C0D23C"/>
    <w:lvl w:ilvl="0" w:tplc="E2E86C98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BB2B31"/>
    <w:multiLevelType w:val="hybridMultilevel"/>
    <w:tmpl w:val="64AA3580"/>
    <w:lvl w:ilvl="0" w:tplc="A4562AC2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0043"/>
    <w:rsid w:val="000458BC"/>
    <w:rsid w:val="00045C41"/>
    <w:rsid w:val="00046C03"/>
    <w:rsid w:val="00046D94"/>
    <w:rsid w:val="000640AF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76D02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294"/>
    <w:rsid w:val="001F2594"/>
    <w:rsid w:val="00206460"/>
    <w:rsid w:val="002069B4"/>
    <w:rsid w:val="00215014"/>
    <w:rsid w:val="00215DFC"/>
    <w:rsid w:val="002212DF"/>
    <w:rsid w:val="00227BA7"/>
    <w:rsid w:val="002358D2"/>
    <w:rsid w:val="00235C9E"/>
    <w:rsid w:val="00253CBD"/>
    <w:rsid w:val="0026783B"/>
    <w:rsid w:val="00275BCF"/>
    <w:rsid w:val="00292257"/>
    <w:rsid w:val="002A54E0"/>
    <w:rsid w:val="002B1595"/>
    <w:rsid w:val="002B191D"/>
    <w:rsid w:val="002B1D79"/>
    <w:rsid w:val="002D0AF6"/>
    <w:rsid w:val="002D644A"/>
    <w:rsid w:val="002E72B7"/>
    <w:rsid w:val="002F0DBF"/>
    <w:rsid w:val="002F164D"/>
    <w:rsid w:val="00304990"/>
    <w:rsid w:val="00306206"/>
    <w:rsid w:val="00322471"/>
    <w:rsid w:val="00327C56"/>
    <w:rsid w:val="003315A1"/>
    <w:rsid w:val="003373EC"/>
    <w:rsid w:val="00362350"/>
    <w:rsid w:val="003706CC"/>
    <w:rsid w:val="003A2D8E"/>
    <w:rsid w:val="003A762C"/>
    <w:rsid w:val="003B68BC"/>
    <w:rsid w:val="003C20E4"/>
    <w:rsid w:val="003D5CD8"/>
    <w:rsid w:val="003E6F90"/>
    <w:rsid w:val="003F5D0F"/>
    <w:rsid w:val="0040601D"/>
    <w:rsid w:val="00414101"/>
    <w:rsid w:val="00433DDB"/>
    <w:rsid w:val="00437619"/>
    <w:rsid w:val="004B210C"/>
    <w:rsid w:val="004D405F"/>
    <w:rsid w:val="004E7D35"/>
    <w:rsid w:val="004F61E3"/>
    <w:rsid w:val="0051015C"/>
    <w:rsid w:val="00510506"/>
    <w:rsid w:val="00514295"/>
    <w:rsid w:val="00516503"/>
    <w:rsid w:val="00517BBC"/>
    <w:rsid w:val="00531AE9"/>
    <w:rsid w:val="005552DB"/>
    <w:rsid w:val="00567EC7"/>
    <w:rsid w:val="00570013"/>
    <w:rsid w:val="005A33A1"/>
    <w:rsid w:val="005C1230"/>
    <w:rsid w:val="005C385F"/>
    <w:rsid w:val="005E4266"/>
    <w:rsid w:val="005E4F0E"/>
    <w:rsid w:val="005F24B5"/>
    <w:rsid w:val="005F6F1B"/>
    <w:rsid w:val="00615206"/>
    <w:rsid w:val="00624B33"/>
    <w:rsid w:val="00630AA2"/>
    <w:rsid w:val="00646707"/>
    <w:rsid w:val="00664DCF"/>
    <w:rsid w:val="006B59C4"/>
    <w:rsid w:val="006C5D39"/>
    <w:rsid w:val="006E2810"/>
    <w:rsid w:val="006E5417"/>
    <w:rsid w:val="00701AE8"/>
    <w:rsid w:val="00703A01"/>
    <w:rsid w:val="00712F60"/>
    <w:rsid w:val="00720E3B"/>
    <w:rsid w:val="00745F6B"/>
    <w:rsid w:val="0075585E"/>
    <w:rsid w:val="007768FF"/>
    <w:rsid w:val="007824D3"/>
    <w:rsid w:val="00796EE3"/>
    <w:rsid w:val="007A7D29"/>
    <w:rsid w:val="007B4490"/>
    <w:rsid w:val="007C7386"/>
    <w:rsid w:val="007F1F8B"/>
    <w:rsid w:val="00800037"/>
    <w:rsid w:val="008206C8"/>
    <w:rsid w:val="008335D2"/>
    <w:rsid w:val="0084676E"/>
    <w:rsid w:val="00850619"/>
    <w:rsid w:val="00856157"/>
    <w:rsid w:val="00874A6C"/>
    <w:rsid w:val="00874AC8"/>
    <w:rsid w:val="00876C65"/>
    <w:rsid w:val="00877905"/>
    <w:rsid w:val="00881CBC"/>
    <w:rsid w:val="008A1F23"/>
    <w:rsid w:val="008A4B4C"/>
    <w:rsid w:val="008C239F"/>
    <w:rsid w:val="00907757"/>
    <w:rsid w:val="0092087C"/>
    <w:rsid w:val="009212B0"/>
    <w:rsid w:val="009234A5"/>
    <w:rsid w:val="00932F7E"/>
    <w:rsid w:val="009336F7"/>
    <w:rsid w:val="009374A7"/>
    <w:rsid w:val="009521A8"/>
    <w:rsid w:val="00961A2C"/>
    <w:rsid w:val="00967033"/>
    <w:rsid w:val="009831F3"/>
    <w:rsid w:val="0099518F"/>
    <w:rsid w:val="009A1CB2"/>
    <w:rsid w:val="009A523D"/>
    <w:rsid w:val="009A6205"/>
    <w:rsid w:val="009E51C0"/>
    <w:rsid w:val="009F496B"/>
    <w:rsid w:val="00A01439"/>
    <w:rsid w:val="00A02E61"/>
    <w:rsid w:val="00A05CFF"/>
    <w:rsid w:val="00A54B50"/>
    <w:rsid w:val="00A56B97"/>
    <w:rsid w:val="00A6093D"/>
    <w:rsid w:val="00A76A6D"/>
    <w:rsid w:val="00A83253"/>
    <w:rsid w:val="00A870C5"/>
    <w:rsid w:val="00AA6E84"/>
    <w:rsid w:val="00AB14DD"/>
    <w:rsid w:val="00AC2865"/>
    <w:rsid w:val="00AC32B6"/>
    <w:rsid w:val="00AD2863"/>
    <w:rsid w:val="00AE341B"/>
    <w:rsid w:val="00AF43C5"/>
    <w:rsid w:val="00B07CA7"/>
    <w:rsid w:val="00B1279A"/>
    <w:rsid w:val="00B20B06"/>
    <w:rsid w:val="00B5222E"/>
    <w:rsid w:val="00B61C96"/>
    <w:rsid w:val="00B62FA5"/>
    <w:rsid w:val="00B66966"/>
    <w:rsid w:val="00B73A2A"/>
    <w:rsid w:val="00B94B06"/>
    <w:rsid w:val="00B94C28"/>
    <w:rsid w:val="00BC10BA"/>
    <w:rsid w:val="00BC278B"/>
    <w:rsid w:val="00BC501B"/>
    <w:rsid w:val="00BC5AFD"/>
    <w:rsid w:val="00C0609D"/>
    <w:rsid w:val="00C115AB"/>
    <w:rsid w:val="00C30249"/>
    <w:rsid w:val="00C50D3A"/>
    <w:rsid w:val="00C549F1"/>
    <w:rsid w:val="00C606C9"/>
    <w:rsid w:val="00C90650"/>
    <w:rsid w:val="00C97D78"/>
    <w:rsid w:val="00CC5A42"/>
    <w:rsid w:val="00CC70A4"/>
    <w:rsid w:val="00CD0EAB"/>
    <w:rsid w:val="00CF14FF"/>
    <w:rsid w:val="00CF34DB"/>
    <w:rsid w:val="00CF558F"/>
    <w:rsid w:val="00D015B0"/>
    <w:rsid w:val="00D073E2"/>
    <w:rsid w:val="00D15556"/>
    <w:rsid w:val="00D446EC"/>
    <w:rsid w:val="00D51BF0"/>
    <w:rsid w:val="00D544B3"/>
    <w:rsid w:val="00D55942"/>
    <w:rsid w:val="00D807BF"/>
    <w:rsid w:val="00DA0BD7"/>
    <w:rsid w:val="00DA7887"/>
    <w:rsid w:val="00DB2C26"/>
    <w:rsid w:val="00DE6B43"/>
    <w:rsid w:val="00E11923"/>
    <w:rsid w:val="00E262D4"/>
    <w:rsid w:val="00E36250"/>
    <w:rsid w:val="00E5025A"/>
    <w:rsid w:val="00E54511"/>
    <w:rsid w:val="00E56E6A"/>
    <w:rsid w:val="00E61DAC"/>
    <w:rsid w:val="00E6687D"/>
    <w:rsid w:val="00E75FE3"/>
    <w:rsid w:val="00EA12C3"/>
    <w:rsid w:val="00EA4C94"/>
    <w:rsid w:val="00EA68C2"/>
    <w:rsid w:val="00EB7AB1"/>
    <w:rsid w:val="00EC77EE"/>
    <w:rsid w:val="00EE6FBB"/>
    <w:rsid w:val="00EF48CC"/>
    <w:rsid w:val="00F21B8F"/>
    <w:rsid w:val="00F57742"/>
    <w:rsid w:val="00F73032"/>
    <w:rsid w:val="00F83DDE"/>
    <w:rsid w:val="00F848FC"/>
    <w:rsid w:val="00F84B8B"/>
    <w:rsid w:val="00F86E44"/>
    <w:rsid w:val="00F9282A"/>
    <w:rsid w:val="00F96BAD"/>
    <w:rsid w:val="00FA4A9A"/>
    <w:rsid w:val="00FB0E84"/>
    <w:rsid w:val="00FD01C2"/>
    <w:rsid w:val="00FF046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12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12C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A12C3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81C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chyeo</cp:lastModifiedBy>
  <cp:revision>22</cp:revision>
  <cp:lastPrinted>1601-01-01T00:00:00Z</cp:lastPrinted>
  <dcterms:created xsi:type="dcterms:W3CDTF">2011-11-09T02:44:00Z</dcterms:created>
  <dcterms:modified xsi:type="dcterms:W3CDTF">2011-11-09T09:34:00Z</dcterms:modified>
</cp:coreProperties>
</file>