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70603C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AF22DB" w:rsidP="00106BD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7th Meeting: Geneva, CH, 21-30 November, 2011</w:t>
            </w:r>
          </w:p>
        </w:tc>
        <w:tc>
          <w:tcPr>
            <w:tcW w:w="3168" w:type="dxa"/>
          </w:tcPr>
          <w:p w:rsidR="008A4B4C" w:rsidRPr="00630AA2" w:rsidRDefault="00E61DAC" w:rsidP="00DB4607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DB4607">
              <w:rPr>
                <w:rFonts w:hint="eastAsia"/>
                <w:u w:val="single"/>
                <w:lang w:eastAsia="ko-KR"/>
              </w:rPr>
              <w:t>G586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D818D5" w:rsidP="00615475">
            <w:pPr>
              <w:spacing w:before="60" w:after="60"/>
              <w:rPr>
                <w:b/>
                <w:szCs w:val="22"/>
                <w:lang w:eastAsia="ko-KR"/>
              </w:rPr>
            </w:pPr>
            <w:r>
              <w:rPr>
                <w:rFonts w:hint="eastAsia"/>
                <w:b/>
                <w:szCs w:val="22"/>
                <w:lang w:eastAsia="ko-KR"/>
              </w:rPr>
              <w:t xml:space="preserve">Parallelizable context for significance </w:t>
            </w:r>
            <w:r w:rsidR="009F626C">
              <w:rPr>
                <w:rFonts w:hint="eastAsia"/>
                <w:b/>
                <w:szCs w:val="22"/>
                <w:lang w:eastAsia="ko-KR"/>
              </w:rPr>
              <w:t xml:space="preserve">coding </w:t>
            </w:r>
            <w:r w:rsidR="00615475">
              <w:rPr>
                <w:b/>
                <w:szCs w:val="22"/>
                <w:lang w:eastAsia="ko-KR"/>
              </w:rPr>
              <w:t>of</w:t>
            </w:r>
            <w:r w:rsidR="00D77B13">
              <w:rPr>
                <w:rFonts w:hint="eastAsia"/>
                <w:b/>
                <w:szCs w:val="22"/>
                <w:lang w:eastAsia="ko-KR"/>
              </w:rPr>
              <w:t xml:space="preserve"> large transform blocks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F060D0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F060D0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F060D0" w:rsidRPr="00DD4978" w:rsidRDefault="00F060D0" w:rsidP="007B3D6C">
            <w:pPr>
              <w:spacing w:before="60" w:after="60"/>
              <w:rPr>
                <w:szCs w:val="22"/>
                <w:lang w:val="fi-FI" w:eastAsia="ko-KR"/>
              </w:rPr>
            </w:pPr>
            <w:r w:rsidRPr="00DD4978">
              <w:rPr>
                <w:szCs w:val="22"/>
                <w:lang w:val="fi-FI"/>
              </w:rPr>
              <w:t>Jewon Kang</w:t>
            </w:r>
            <w:r w:rsidR="007B3D6C" w:rsidRPr="00DD4978">
              <w:rPr>
                <w:szCs w:val="22"/>
                <w:lang w:val="fi-FI"/>
              </w:rPr>
              <w:t>,</w:t>
            </w:r>
            <w:r w:rsidR="007B3D6C" w:rsidRPr="00DD4978">
              <w:rPr>
                <w:szCs w:val="22"/>
                <w:lang w:val="fi-FI"/>
              </w:rPr>
              <w:br/>
            </w:r>
            <w:r w:rsidRPr="00DD4978">
              <w:rPr>
                <w:szCs w:val="22"/>
                <w:lang w:val="fi-FI"/>
              </w:rPr>
              <w:t>Jani Lainema</w:t>
            </w:r>
            <w:r w:rsidR="007B3D6C" w:rsidRPr="00DD4978">
              <w:rPr>
                <w:szCs w:val="22"/>
                <w:lang w:val="fi-FI"/>
              </w:rPr>
              <w:t>,</w:t>
            </w:r>
            <w:r w:rsidR="007B3D6C" w:rsidRPr="00DD4978">
              <w:rPr>
                <w:szCs w:val="22"/>
                <w:lang w:val="fi-FI"/>
              </w:rPr>
              <w:br/>
            </w:r>
            <w:r w:rsidR="00D818D5" w:rsidRPr="00DD4978">
              <w:rPr>
                <w:szCs w:val="22"/>
                <w:lang w:val="fi-FI"/>
              </w:rPr>
              <w:t>Antti Hallapuro</w:t>
            </w:r>
            <w:r w:rsidR="00615475" w:rsidRPr="00DD4978">
              <w:rPr>
                <w:szCs w:val="22"/>
                <w:lang w:val="fi-FI"/>
              </w:rPr>
              <w:t>,</w:t>
            </w:r>
            <w:r w:rsidR="00615475" w:rsidRPr="00DD4978">
              <w:rPr>
                <w:szCs w:val="22"/>
                <w:lang w:val="fi-FI"/>
              </w:rPr>
              <w:br/>
            </w:r>
            <w:r w:rsidR="00615475">
              <w:rPr>
                <w:szCs w:val="22"/>
                <w:lang w:val="fi-FI"/>
              </w:rPr>
              <w:t>Kemal Ugur</w:t>
            </w:r>
          </w:p>
        </w:tc>
        <w:tc>
          <w:tcPr>
            <w:tcW w:w="900" w:type="dxa"/>
          </w:tcPr>
          <w:p w:rsidR="00E61DAC" w:rsidRPr="00615475" w:rsidRDefault="00E61DAC">
            <w:pPr>
              <w:spacing w:before="60" w:after="60"/>
              <w:rPr>
                <w:szCs w:val="22"/>
              </w:rPr>
            </w:pPr>
            <w:r w:rsidRPr="00615475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D818D5" w:rsidRPr="00615475" w:rsidRDefault="00CD674B">
            <w:pPr>
              <w:spacing w:before="60" w:after="60"/>
              <w:rPr>
                <w:lang w:eastAsia="ko-KR"/>
              </w:rPr>
            </w:pPr>
            <w:hyperlink r:id="rId10" w:history="1">
              <w:r w:rsidR="00D818D5" w:rsidRPr="00615475">
                <w:rPr>
                  <w:rStyle w:val="Hyperlink"/>
                  <w:lang w:eastAsia="ko-KR"/>
                </w:rPr>
                <w:t>ext-jewon.kang@nokia.com</w:t>
              </w:r>
            </w:hyperlink>
          </w:p>
          <w:p w:rsidR="00D818D5" w:rsidRDefault="00CD674B">
            <w:pPr>
              <w:spacing w:before="60" w:after="60"/>
              <w:rPr>
                <w:lang w:eastAsia="ko-KR"/>
              </w:rPr>
            </w:pPr>
            <w:hyperlink r:id="rId11" w:history="1">
              <w:r w:rsidR="00615475" w:rsidRPr="00615475">
                <w:rPr>
                  <w:rStyle w:val="Hyperlink"/>
                  <w:lang w:eastAsia="ko-KR"/>
                </w:rPr>
                <w:t>jani.Lainema@nokia.com</w:t>
              </w:r>
            </w:hyperlink>
          </w:p>
          <w:p w:rsidR="00E61DAC" w:rsidRPr="00AE341B" w:rsidRDefault="00CD674B">
            <w:pPr>
              <w:spacing w:before="60" w:after="60"/>
              <w:rPr>
                <w:szCs w:val="22"/>
              </w:rPr>
            </w:pPr>
            <w:hyperlink r:id="rId12" w:history="1">
              <w:r w:rsidR="00F060D0" w:rsidRPr="00A2769D">
                <w:rPr>
                  <w:rStyle w:val="Hyperlink"/>
                  <w:szCs w:val="22"/>
                </w:rPr>
                <w:t>antti.hallapuro@nokia.com</w:t>
              </w:r>
            </w:hyperlink>
            <w:r w:rsidR="00615475">
              <w:rPr>
                <w:rStyle w:val="Hyperlink"/>
                <w:szCs w:val="22"/>
              </w:rPr>
              <w:br/>
              <w:t>kemal.ugur@nokia.com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F060D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Nokia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38066D" w:rsidRDefault="007B292F" w:rsidP="00C97D78">
      <w:pPr>
        <w:rPr>
          <w:lang w:eastAsia="ko-KR"/>
        </w:rPr>
      </w:pPr>
      <w:r>
        <w:t>Th</w:t>
      </w:r>
      <w:r>
        <w:rPr>
          <w:rFonts w:hint="eastAsia"/>
          <w:lang w:eastAsia="ko-KR"/>
        </w:rPr>
        <w:t>is</w:t>
      </w:r>
      <w:r w:rsidR="00B54237">
        <w:t xml:space="preserve"> contribution proposes </w:t>
      </w:r>
      <w:r w:rsidR="00615475">
        <w:rPr>
          <w:lang w:eastAsia="ko-KR"/>
        </w:rPr>
        <w:t xml:space="preserve">a modification to </w:t>
      </w:r>
      <w:r w:rsidR="00D77B13">
        <w:rPr>
          <w:rFonts w:hint="eastAsia"/>
          <w:lang w:eastAsia="ko-KR"/>
        </w:rPr>
        <w:t xml:space="preserve">context </w:t>
      </w:r>
      <w:r w:rsidR="009F626C">
        <w:rPr>
          <w:rFonts w:hint="eastAsia"/>
          <w:lang w:eastAsia="ko-KR"/>
        </w:rPr>
        <w:t>model</w:t>
      </w:r>
      <w:r w:rsidR="00615475">
        <w:rPr>
          <w:lang w:eastAsia="ko-KR"/>
        </w:rPr>
        <w:t>ing</w:t>
      </w:r>
      <w:r w:rsidR="009F626C">
        <w:rPr>
          <w:rFonts w:hint="eastAsia"/>
          <w:lang w:eastAsia="ko-KR"/>
        </w:rPr>
        <w:t xml:space="preserve"> </w:t>
      </w:r>
      <w:r w:rsidR="00615475">
        <w:rPr>
          <w:lang w:eastAsia="ko-KR"/>
        </w:rPr>
        <w:t xml:space="preserve">of </w:t>
      </w:r>
      <w:r w:rsidR="009F626C">
        <w:rPr>
          <w:rFonts w:hint="eastAsia"/>
          <w:lang w:eastAsia="ko-KR"/>
        </w:rPr>
        <w:t>significan</w:t>
      </w:r>
      <w:r w:rsidR="00615475">
        <w:rPr>
          <w:lang w:eastAsia="ko-KR"/>
        </w:rPr>
        <w:t>t</w:t>
      </w:r>
      <w:r w:rsidR="009F626C">
        <w:rPr>
          <w:rFonts w:hint="eastAsia"/>
          <w:lang w:eastAsia="ko-KR"/>
        </w:rPr>
        <w:t xml:space="preserve"> </w:t>
      </w:r>
      <w:r w:rsidR="00615475">
        <w:rPr>
          <w:lang w:eastAsia="ko-KR"/>
        </w:rPr>
        <w:t xml:space="preserve">coefficient </w:t>
      </w:r>
      <w:r w:rsidR="009F626C">
        <w:rPr>
          <w:rFonts w:hint="eastAsia"/>
          <w:lang w:eastAsia="ko-KR"/>
        </w:rPr>
        <w:t>coding</w:t>
      </w:r>
      <w:r w:rsidR="00514818">
        <w:rPr>
          <w:rFonts w:hint="eastAsia"/>
          <w:lang w:eastAsia="ko-KR"/>
        </w:rPr>
        <w:t>/decoding</w:t>
      </w:r>
      <w:r w:rsidR="009F626C">
        <w:rPr>
          <w:rFonts w:hint="eastAsia"/>
          <w:lang w:eastAsia="ko-KR"/>
        </w:rPr>
        <w:t xml:space="preserve"> </w:t>
      </w:r>
      <w:r w:rsidR="00615475">
        <w:rPr>
          <w:lang w:eastAsia="ko-KR"/>
        </w:rPr>
        <w:t xml:space="preserve">in CABAC. The intention is to allow same level of parallelism for </w:t>
      </w:r>
      <w:r w:rsidR="009F626C">
        <w:rPr>
          <w:rFonts w:hint="eastAsia"/>
          <w:lang w:eastAsia="ko-KR"/>
        </w:rPr>
        <w:t xml:space="preserve">mode dependent coefficient scanning (MDCS) </w:t>
      </w:r>
      <w:r w:rsidR="00615475">
        <w:rPr>
          <w:lang w:eastAsia="ko-KR"/>
        </w:rPr>
        <w:t xml:space="preserve">as what is currently available for the diagonal scans </w:t>
      </w:r>
      <w:r w:rsidR="009F626C">
        <w:rPr>
          <w:rFonts w:hint="eastAsia"/>
          <w:lang w:eastAsia="ko-KR"/>
        </w:rPr>
        <w:t xml:space="preserve">in large </w:t>
      </w:r>
      <w:r w:rsidR="00884214">
        <w:rPr>
          <w:rFonts w:hint="eastAsia"/>
          <w:lang w:eastAsia="ko-KR"/>
        </w:rPr>
        <w:t>intra</w:t>
      </w:r>
      <w:r w:rsidR="00615475">
        <w:rPr>
          <w:lang w:eastAsia="ko-KR"/>
        </w:rPr>
        <w:t xml:space="preserve"> </w:t>
      </w:r>
      <w:r w:rsidR="00884214">
        <w:rPr>
          <w:rFonts w:hint="eastAsia"/>
          <w:lang w:eastAsia="ko-KR"/>
        </w:rPr>
        <w:t xml:space="preserve">coded </w:t>
      </w:r>
      <w:r w:rsidR="009F626C">
        <w:rPr>
          <w:rFonts w:hint="eastAsia"/>
          <w:lang w:eastAsia="ko-KR"/>
        </w:rPr>
        <w:t xml:space="preserve">blocks. This is accomplished by excluding the </w:t>
      </w:r>
      <w:r w:rsidR="009F626C">
        <w:rPr>
          <w:lang w:eastAsia="ko-KR"/>
        </w:rPr>
        <w:t>latest</w:t>
      </w:r>
      <w:r w:rsidR="009F626C">
        <w:rPr>
          <w:rFonts w:hint="eastAsia"/>
          <w:lang w:eastAsia="ko-KR"/>
        </w:rPr>
        <w:t xml:space="preserve"> coded coefficient </w:t>
      </w:r>
      <w:r w:rsidR="00C74A6E">
        <w:rPr>
          <w:rFonts w:hint="eastAsia"/>
          <w:lang w:eastAsia="ko-KR"/>
        </w:rPr>
        <w:t xml:space="preserve">in the context model and </w:t>
      </w:r>
      <w:r w:rsidR="009F626C">
        <w:rPr>
          <w:rFonts w:hint="eastAsia"/>
          <w:lang w:eastAsia="ko-KR"/>
        </w:rPr>
        <w:t>removing the</w:t>
      </w:r>
      <w:r w:rsidR="00C74A6E">
        <w:rPr>
          <w:rFonts w:hint="eastAsia"/>
          <w:lang w:eastAsia="ko-KR"/>
        </w:rPr>
        <w:t xml:space="preserve"> </w:t>
      </w:r>
      <w:r w:rsidR="009F626C">
        <w:rPr>
          <w:rFonts w:hint="eastAsia"/>
          <w:lang w:eastAsia="ko-KR"/>
        </w:rPr>
        <w:t xml:space="preserve">neighboring </w:t>
      </w:r>
      <w:r w:rsidR="00D77B13">
        <w:rPr>
          <w:rFonts w:hint="eastAsia"/>
          <w:lang w:eastAsia="ko-KR"/>
        </w:rPr>
        <w:t>dependencies</w:t>
      </w:r>
      <w:r w:rsidR="00C74A6E">
        <w:rPr>
          <w:rFonts w:hint="eastAsia"/>
          <w:lang w:eastAsia="ko-KR"/>
        </w:rPr>
        <w:t xml:space="preserve"> along the </w:t>
      </w:r>
      <w:r w:rsidR="00344C20">
        <w:rPr>
          <w:rFonts w:hint="eastAsia"/>
          <w:lang w:eastAsia="ko-KR"/>
        </w:rPr>
        <w:t xml:space="preserve">same </w:t>
      </w:r>
      <w:r w:rsidR="00C74A6E">
        <w:rPr>
          <w:rFonts w:hint="eastAsia"/>
          <w:lang w:eastAsia="ko-KR"/>
        </w:rPr>
        <w:t>scanning line</w:t>
      </w:r>
      <w:r w:rsidR="009F626C">
        <w:rPr>
          <w:rFonts w:hint="eastAsia"/>
          <w:lang w:eastAsia="ko-KR"/>
        </w:rPr>
        <w:t xml:space="preserve">. </w:t>
      </w:r>
      <w:r w:rsidR="00615475">
        <w:rPr>
          <w:lang w:eastAsia="ko-KR"/>
        </w:rPr>
        <w:t>T</w:t>
      </w:r>
      <w:r w:rsidR="00C74A6E">
        <w:rPr>
          <w:rFonts w:hint="eastAsia"/>
          <w:lang w:eastAsia="ko-KR"/>
        </w:rPr>
        <w:t xml:space="preserve">he </w:t>
      </w:r>
      <w:r w:rsidR="0038066D">
        <w:rPr>
          <w:rFonts w:hint="eastAsia"/>
          <w:lang w:eastAsia="ko-KR"/>
        </w:rPr>
        <w:t>scheme</w:t>
      </w:r>
      <w:r w:rsidR="00C74A6E">
        <w:rPr>
          <w:rFonts w:hint="eastAsia"/>
          <w:lang w:eastAsia="ko-KR"/>
        </w:rPr>
        <w:t xml:space="preserve"> </w:t>
      </w:r>
      <w:r w:rsidR="00615475">
        <w:rPr>
          <w:lang w:eastAsia="ko-KR"/>
        </w:rPr>
        <w:t xml:space="preserve">is integrated </w:t>
      </w:r>
      <w:r w:rsidR="00C74A6E">
        <w:rPr>
          <w:rFonts w:hint="eastAsia"/>
          <w:lang w:eastAsia="ko-KR"/>
        </w:rPr>
        <w:t>to two</w:t>
      </w:r>
      <w:r w:rsidR="0038066D">
        <w:rPr>
          <w:rFonts w:hint="eastAsia"/>
          <w:lang w:eastAsia="ko-KR"/>
        </w:rPr>
        <w:t xml:space="preserve"> different</w:t>
      </w:r>
      <w:r w:rsidR="00C74A6E">
        <w:rPr>
          <w:rFonts w:hint="eastAsia"/>
          <w:lang w:eastAsia="ko-KR"/>
        </w:rPr>
        <w:t xml:space="preserve"> </w:t>
      </w:r>
      <w:r w:rsidR="00884214">
        <w:rPr>
          <w:rFonts w:hint="eastAsia"/>
          <w:lang w:eastAsia="ko-KR"/>
        </w:rPr>
        <w:t>MDCS</w:t>
      </w:r>
      <w:r w:rsidR="00C74A6E">
        <w:rPr>
          <w:rFonts w:hint="eastAsia"/>
          <w:lang w:eastAsia="ko-KR"/>
        </w:rPr>
        <w:t xml:space="preserve"> methods used for large transform blocks. </w:t>
      </w:r>
      <w:r w:rsidR="00737502">
        <w:rPr>
          <w:lang w:eastAsia="ko-KR"/>
        </w:rPr>
        <w:t xml:space="preserve">It is reported that the proposed </w:t>
      </w:r>
      <w:r w:rsidR="00344C20">
        <w:rPr>
          <w:rFonts w:hint="eastAsia"/>
          <w:lang w:eastAsia="ko-KR"/>
        </w:rPr>
        <w:t xml:space="preserve">context </w:t>
      </w:r>
      <w:r w:rsidR="00EC7D57">
        <w:rPr>
          <w:lang w:eastAsia="ko-KR"/>
        </w:rPr>
        <w:t>model has negligible effect on BD bitrate and both MDCS schemes studied provide a -</w:t>
      </w:r>
      <w:r w:rsidR="00C74A6E">
        <w:rPr>
          <w:rFonts w:hint="eastAsia"/>
          <w:lang w:eastAsia="ko-KR"/>
        </w:rPr>
        <w:t xml:space="preserve">0.1% </w:t>
      </w:r>
      <w:r w:rsidR="00344C20">
        <w:rPr>
          <w:rFonts w:hint="eastAsia"/>
          <w:lang w:eastAsia="ko-KR"/>
        </w:rPr>
        <w:t>BD-rate</w:t>
      </w:r>
      <w:r w:rsidR="00C74A6E">
        <w:rPr>
          <w:rFonts w:hint="eastAsia"/>
          <w:lang w:eastAsia="ko-KR"/>
        </w:rPr>
        <w:t xml:space="preserve"> gain in </w:t>
      </w:r>
      <w:r w:rsidR="00EC7D57">
        <w:rPr>
          <w:lang w:eastAsia="ko-KR"/>
        </w:rPr>
        <w:t>AI_HE</w:t>
      </w:r>
      <w:r w:rsidR="00C74A6E">
        <w:rPr>
          <w:rFonts w:hint="eastAsia"/>
          <w:lang w:eastAsia="ko-KR"/>
        </w:rPr>
        <w:t xml:space="preserve"> configuration</w:t>
      </w:r>
      <w:r w:rsidR="00EC7D57">
        <w:rPr>
          <w:lang w:eastAsia="ko-KR"/>
        </w:rPr>
        <w:t xml:space="preserve"> when utilizing the proposed context definition</w:t>
      </w:r>
      <w:r w:rsidR="007556DC">
        <w:rPr>
          <w:rFonts w:hint="eastAsia"/>
          <w:lang w:eastAsia="ko-KR"/>
        </w:rPr>
        <w:t xml:space="preserve">. </w:t>
      </w:r>
    </w:p>
    <w:p w:rsidR="009F626C" w:rsidRDefault="009F626C" w:rsidP="00C97D78">
      <w:pPr>
        <w:rPr>
          <w:lang w:eastAsia="ko-KR"/>
        </w:rPr>
      </w:pPr>
    </w:p>
    <w:p w:rsidR="00745F6B" w:rsidRDefault="00745F6B" w:rsidP="00E11923">
      <w:pPr>
        <w:pStyle w:val="Heading1"/>
        <w:rPr>
          <w:lang w:eastAsia="ko-KR"/>
        </w:rPr>
      </w:pPr>
      <w:r w:rsidRPr="00AE341B">
        <w:t>Introduction</w:t>
      </w:r>
    </w:p>
    <w:p w:rsidR="008F4786" w:rsidRDefault="008F4786" w:rsidP="008F4786">
      <w:pPr>
        <w:pStyle w:val="Heading2"/>
        <w:rPr>
          <w:lang w:eastAsia="ko-KR"/>
        </w:rPr>
      </w:pPr>
      <w:r>
        <w:rPr>
          <w:rFonts w:hint="eastAsia"/>
          <w:lang w:eastAsia="ko-KR"/>
        </w:rPr>
        <w:t xml:space="preserve">Context selection of significance map coding in HM4.0 </w:t>
      </w:r>
    </w:p>
    <w:p w:rsidR="00CA7248" w:rsidRDefault="007556DC" w:rsidP="007556DC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There were several </w:t>
      </w:r>
      <w:r w:rsidR="00F14CE3">
        <w:rPr>
          <w:szCs w:val="22"/>
          <w:lang w:eastAsia="ko-KR"/>
        </w:rPr>
        <w:t>efforts</w:t>
      </w:r>
      <w:r>
        <w:rPr>
          <w:rFonts w:hint="eastAsia"/>
          <w:szCs w:val="22"/>
          <w:lang w:eastAsia="ko-KR"/>
        </w:rPr>
        <w:t xml:space="preserve"> to reduce the neighboring dependency in </w:t>
      </w:r>
      <w:r>
        <w:rPr>
          <w:szCs w:val="22"/>
          <w:lang w:eastAsia="ko-KR"/>
        </w:rPr>
        <w:t>context</w:t>
      </w:r>
      <w:r>
        <w:rPr>
          <w:rFonts w:hint="eastAsia"/>
          <w:szCs w:val="22"/>
          <w:lang w:eastAsia="ko-KR"/>
        </w:rPr>
        <w:t xml:space="preserve"> selection</w:t>
      </w:r>
      <w:r w:rsidR="000267AA">
        <w:rPr>
          <w:rFonts w:hint="eastAsia"/>
          <w:szCs w:val="22"/>
          <w:lang w:eastAsia="ko-KR"/>
        </w:rPr>
        <w:t xml:space="preserve">, and the </w:t>
      </w:r>
      <w:r>
        <w:rPr>
          <w:rFonts w:hint="eastAsia"/>
          <w:szCs w:val="22"/>
          <w:lang w:eastAsia="ko-KR"/>
        </w:rPr>
        <w:t xml:space="preserve">HM 4.0 design adopts </w:t>
      </w:r>
      <w:r w:rsidR="000267AA">
        <w:rPr>
          <w:rFonts w:hint="eastAsia"/>
          <w:szCs w:val="22"/>
          <w:lang w:eastAsia="ko-KR"/>
        </w:rPr>
        <w:t xml:space="preserve">a </w:t>
      </w:r>
      <w:r w:rsidR="004B4AB9">
        <w:rPr>
          <w:rFonts w:hint="eastAsia"/>
          <w:szCs w:val="22"/>
          <w:lang w:eastAsia="ko-KR"/>
        </w:rPr>
        <w:t xml:space="preserve">reverse </w:t>
      </w:r>
      <w:r w:rsidR="000267AA">
        <w:rPr>
          <w:szCs w:val="22"/>
          <w:lang w:eastAsia="ko-KR"/>
        </w:rPr>
        <w:t>diagonal</w:t>
      </w:r>
      <w:r w:rsidR="000267AA">
        <w:rPr>
          <w:rFonts w:hint="eastAsia"/>
          <w:szCs w:val="22"/>
          <w:lang w:eastAsia="ko-KR"/>
        </w:rPr>
        <w:t xml:space="preserve"> scanning </w:t>
      </w:r>
      <w:r w:rsidR="00344C20">
        <w:rPr>
          <w:rFonts w:hint="eastAsia"/>
          <w:szCs w:val="22"/>
          <w:lang w:eastAsia="ko-KR"/>
        </w:rPr>
        <w:t xml:space="preserve">order </w:t>
      </w:r>
      <w:r w:rsidR="00F14CE3">
        <w:rPr>
          <w:rFonts w:hint="eastAsia"/>
          <w:szCs w:val="22"/>
          <w:lang w:eastAsia="ko-KR"/>
        </w:rPr>
        <w:t>enhanc</w:t>
      </w:r>
      <w:r w:rsidR="00344C20">
        <w:rPr>
          <w:rFonts w:hint="eastAsia"/>
          <w:szCs w:val="22"/>
          <w:lang w:eastAsia="ko-KR"/>
        </w:rPr>
        <w:t>ing</w:t>
      </w:r>
      <w:r w:rsidR="00F14CE3">
        <w:rPr>
          <w:rFonts w:hint="eastAsia"/>
          <w:szCs w:val="22"/>
          <w:lang w:eastAsia="ko-KR"/>
        </w:rPr>
        <w:t xml:space="preserve"> the parallel processing [1</w:t>
      </w:r>
      <w:r w:rsidR="00A634DD">
        <w:rPr>
          <w:rFonts w:hint="eastAsia"/>
          <w:szCs w:val="22"/>
          <w:lang w:eastAsia="ko-KR"/>
        </w:rPr>
        <w:t>, 2</w:t>
      </w:r>
      <w:r w:rsidR="00F14CE3">
        <w:rPr>
          <w:rFonts w:hint="eastAsia"/>
          <w:szCs w:val="22"/>
          <w:lang w:eastAsia="ko-KR"/>
        </w:rPr>
        <w:t xml:space="preserve">]. The idea was to </w:t>
      </w:r>
      <w:r w:rsidR="00C95E8F">
        <w:rPr>
          <w:rFonts w:hint="eastAsia"/>
          <w:szCs w:val="22"/>
          <w:lang w:eastAsia="ko-KR"/>
        </w:rPr>
        <w:t>avoid</w:t>
      </w:r>
      <w:r w:rsidR="00F14CE3">
        <w:rPr>
          <w:rFonts w:hint="eastAsia"/>
          <w:szCs w:val="22"/>
          <w:lang w:eastAsia="ko-KR"/>
        </w:rPr>
        <w:t xml:space="preserve"> the most recently coded bin be</w:t>
      </w:r>
      <w:r w:rsidR="00C95E8F">
        <w:rPr>
          <w:rFonts w:hint="eastAsia"/>
          <w:szCs w:val="22"/>
          <w:lang w:eastAsia="ko-KR"/>
        </w:rPr>
        <w:t>ing</w:t>
      </w:r>
      <w:r w:rsidR="00F14CE3">
        <w:rPr>
          <w:rFonts w:hint="eastAsia"/>
          <w:szCs w:val="22"/>
          <w:lang w:eastAsia="ko-KR"/>
        </w:rPr>
        <w:t xml:space="preserve"> used in the context</w:t>
      </w:r>
      <w:r w:rsidR="00CA7248">
        <w:rPr>
          <w:rFonts w:hint="eastAsia"/>
          <w:szCs w:val="22"/>
          <w:lang w:eastAsia="ko-KR"/>
        </w:rPr>
        <w:t xml:space="preserve"> as shown in Fig.1.</w:t>
      </w:r>
      <w:r w:rsidR="0055295F">
        <w:rPr>
          <w:rFonts w:hint="eastAsia"/>
          <w:szCs w:val="22"/>
          <w:lang w:eastAsia="ko-KR"/>
        </w:rPr>
        <w:t xml:space="preserve"> </w:t>
      </w:r>
    </w:p>
    <w:p w:rsidR="00C95E8F" w:rsidRDefault="00CA7248" w:rsidP="007556DC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HM 4.0 </w:t>
      </w:r>
      <w:r w:rsidR="00344C20">
        <w:rPr>
          <w:szCs w:val="22"/>
          <w:lang w:eastAsia="ko-KR"/>
        </w:rPr>
        <w:t>utilize</w:t>
      </w:r>
      <w:r w:rsidR="00344C20">
        <w:rPr>
          <w:rFonts w:hint="eastAsia"/>
          <w:szCs w:val="22"/>
          <w:lang w:eastAsia="ko-KR"/>
        </w:rPr>
        <w:t>s</w:t>
      </w:r>
      <w:r>
        <w:rPr>
          <w:rFonts w:hint="eastAsia"/>
          <w:szCs w:val="22"/>
          <w:lang w:eastAsia="ko-KR"/>
        </w:rPr>
        <w:t xml:space="preserve"> 15 contexts for a 4x4 block and 16 contexts for a 8x8 block. The context derivation is solely dependent on the position of the current coefficient</w:t>
      </w:r>
      <w:r w:rsidR="00134EB3">
        <w:rPr>
          <w:rFonts w:hint="eastAsia"/>
          <w:szCs w:val="22"/>
          <w:lang w:eastAsia="ko-KR"/>
        </w:rPr>
        <w:t>, and thus there is no dependency problem</w:t>
      </w:r>
      <w:r>
        <w:rPr>
          <w:rFonts w:hint="eastAsia"/>
          <w:szCs w:val="22"/>
          <w:lang w:eastAsia="ko-KR"/>
        </w:rPr>
        <w:t xml:space="preserve">. </w:t>
      </w:r>
      <w:r w:rsidR="008F4786">
        <w:rPr>
          <w:rFonts w:hint="eastAsia"/>
          <w:szCs w:val="22"/>
          <w:lang w:eastAsia="ko-KR"/>
        </w:rPr>
        <w:t>Meanwhile</w:t>
      </w:r>
      <w:r w:rsidRPr="00CA7248">
        <w:rPr>
          <w:rFonts w:hint="eastAsia"/>
          <w:szCs w:val="22"/>
          <w:lang w:eastAsia="ko-KR"/>
        </w:rPr>
        <w:t xml:space="preserve">, in large block sizes such as 16x16 and 32x32, the context numbers are assigned </w:t>
      </w:r>
      <w:r w:rsidR="00344C20">
        <w:rPr>
          <w:rFonts w:hint="eastAsia"/>
          <w:szCs w:val="22"/>
          <w:lang w:eastAsia="ko-KR"/>
        </w:rPr>
        <w:t xml:space="preserve">using neighbor coefficients, </w:t>
      </w:r>
      <w:r w:rsidRPr="00CA7248">
        <w:rPr>
          <w:rFonts w:hint="eastAsia"/>
          <w:szCs w:val="22"/>
          <w:lang w:eastAsia="ko-KR"/>
        </w:rPr>
        <w:t>as shown in Fig</w:t>
      </w:r>
      <w:r>
        <w:rPr>
          <w:rFonts w:hint="eastAsia"/>
          <w:szCs w:val="22"/>
          <w:lang w:eastAsia="ko-KR"/>
        </w:rPr>
        <w:t>. 1</w:t>
      </w:r>
      <w:r w:rsidRPr="00CA7248">
        <w:rPr>
          <w:rFonts w:hint="eastAsia"/>
          <w:szCs w:val="22"/>
          <w:lang w:eastAsia="ko-KR"/>
        </w:rPr>
        <w:t xml:space="preserve">. The context of the current significance is determined by the existences of the neighbor </w:t>
      </w:r>
      <w:r w:rsidR="00344C20">
        <w:rPr>
          <w:rFonts w:hint="eastAsia"/>
          <w:szCs w:val="22"/>
          <w:lang w:eastAsia="ko-KR"/>
        </w:rPr>
        <w:t xml:space="preserve">non-zero </w:t>
      </w:r>
      <w:r w:rsidRPr="00CA7248">
        <w:rPr>
          <w:rFonts w:hint="eastAsia"/>
          <w:szCs w:val="22"/>
          <w:lang w:eastAsia="ko-KR"/>
        </w:rPr>
        <w:t xml:space="preserve">coefficients such as </w:t>
      </w:r>
      <w:r w:rsidRPr="00CA7248">
        <w:rPr>
          <w:szCs w:val="22"/>
          <w:lang w:eastAsia="ko-KR"/>
        </w:rPr>
        <w:t>‘</w:t>
      </w:r>
      <w:r w:rsidRPr="00CA7248">
        <w:rPr>
          <w:rFonts w:hint="eastAsia"/>
          <w:szCs w:val="22"/>
          <w:lang w:eastAsia="ko-KR"/>
        </w:rPr>
        <w:t>A</w:t>
      </w:r>
      <w:r w:rsidRPr="00CA7248">
        <w:rPr>
          <w:szCs w:val="22"/>
          <w:lang w:eastAsia="ko-KR"/>
        </w:rPr>
        <w:t>’</w:t>
      </w:r>
      <w:r w:rsidRPr="00CA7248">
        <w:rPr>
          <w:rFonts w:hint="eastAsia"/>
          <w:szCs w:val="22"/>
          <w:lang w:eastAsia="ko-KR"/>
        </w:rPr>
        <w:t xml:space="preserve">, </w:t>
      </w:r>
      <w:r w:rsidRPr="00CA7248">
        <w:rPr>
          <w:szCs w:val="22"/>
          <w:lang w:eastAsia="ko-KR"/>
        </w:rPr>
        <w:t>‘</w:t>
      </w:r>
      <w:r w:rsidRPr="00CA7248">
        <w:rPr>
          <w:rFonts w:hint="eastAsia"/>
          <w:szCs w:val="22"/>
          <w:lang w:eastAsia="ko-KR"/>
        </w:rPr>
        <w:t>B</w:t>
      </w:r>
      <w:r w:rsidRPr="00CA7248">
        <w:rPr>
          <w:szCs w:val="22"/>
          <w:lang w:eastAsia="ko-KR"/>
        </w:rPr>
        <w:t>’</w:t>
      </w:r>
      <w:r w:rsidRPr="00CA7248">
        <w:rPr>
          <w:rFonts w:hint="eastAsia"/>
          <w:szCs w:val="22"/>
          <w:lang w:eastAsia="ko-KR"/>
        </w:rPr>
        <w:t xml:space="preserve">, </w:t>
      </w:r>
      <w:r w:rsidRPr="00CA7248">
        <w:rPr>
          <w:szCs w:val="22"/>
          <w:lang w:eastAsia="ko-KR"/>
        </w:rPr>
        <w:t>‘</w:t>
      </w:r>
      <w:r w:rsidRPr="00CA7248">
        <w:rPr>
          <w:rFonts w:hint="eastAsia"/>
          <w:szCs w:val="22"/>
          <w:lang w:eastAsia="ko-KR"/>
        </w:rPr>
        <w:t>C</w:t>
      </w:r>
      <w:r w:rsidRPr="00CA7248">
        <w:rPr>
          <w:szCs w:val="22"/>
          <w:lang w:eastAsia="ko-KR"/>
        </w:rPr>
        <w:t>’</w:t>
      </w:r>
      <w:r w:rsidRPr="00CA7248">
        <w:rPr>
          <w:rFonts w:hint="eastAsia"/>
          <w:szCs w:val="22"/>
          <w:lang w:eastAsia="ko-KR"/>
        </w:rPr>
        <w:t xml:space="preserve">, </w:t>
      </w:r>
      <w:r w:rsidRPr="00CA7248">
        <w:rPr>
          <w:szCs w:val="22"/>
          <w:lang w:eastAsia="ko-KR"/>
        </w:rPr>
        <w:t>‘</w:t>
      </w:r>
      <w:r w:rsidRPr="00CA7248">
        <w:rPr>
          <w:rFonts w:hint="eastAsia"/>
          <w:szCs w:val="22"/>
          <w:lang w:eastAsia="ko-KR"/>
        </w:rPr>
        <w:t>D</w:t>
      </w:r>
      <w:r w:rsidRPr="00CA7248">
        <w:rPr>
          <w:szCs w:val="22"/>
          <w:lang w:eastAsia="ko-KR"/>
        </w:rPr>
        <w:t>’</w:t>
      </w:r>
      <w:r w:rsidRPr="00CA7248">
        <w:rPr>
          <w:rFonts w:hint="eastAsia"/>
          <w:szCs w:val="22"/>
          <w:lang w:eastAsia="ko-KR"/>
        </w:rPr>
        <w:t xml:space="preserve">, and </w:t>
      </w:r>
      <w:r w:rsidRPr="00CA7248">
        <w:rPr>
          <w:szCs w:val="22"/>
          <w:lang w:eastAsia="ko-KR"/>
        </w:rPr>
        <w:t>‘</w:t>
      </w:r>
      <w:r w:rsidRPr="00CA7248">
        <w:rPr>
          <w:rFonts w:hint="eastAsia"/>
          <w:szCs w:val="22"/>
          <w:lang w:eastAsia="ko-KR"/>
        </w:rPr>
        <w:t>E</w:t>
      </w:r>
      <w:r w:rsidRPr="00CA7248">
        <w:rPr>
          <w:szCs w:val="22"/>
          <w:lang w:eastAsia="ko-KR"/>
        </w:rPr>
        <w:t>’</w:t>
      </w:r>
      <w:r>
        <w:rPr>
          <w:rFonts w:hint="eastAsia"/>
          <w:szCs w:val="22"/>
          <w:lang w:eastAsia="ko-KR"/>
        </w:rPr>
        <w:t>.</w:t>
      </w:r>
    </w:p>
    <w:p w:rsidR="00C95E8F" w:rsidRDefault="00C95E8F" w:rsidP="00C95E8F">
      <w:pPr>
        <w:jc w:val="center"/>
        <w:rPr>
          <w:szCs w:val="22"/>
          <w:lang w:eastAsia="ko-KR"/>
        </w:rPr>
      </w:pPr>
      <w:r>
        <w:rPr>
          <w:rFonts w:hint="eastAsia"/>
          <w:noProof/>
          <w:szCs w:val="22"/>
        </w:rPr>
        <w:drawing>
          <wp:inline distT="0" distB="0" distL="0" distR="0" wp14:anchorId="500D1C9E" wp14:editId="220FBF3A">
            <wp:extent cx="1319917" cy="1283378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889" cy="1283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8F" w:rsidRPr="00A0721F" w:rsidRDefault="00C95E8F" w:rsidP="00C95E8F">
      <w:pPr>
        <w:jc w:val="center"/>
        <w:rPr>
          <w:b/>
          <w:szCs w:val="22"/>
          <w:lang w:eastAsia="ko-KR"/>
        </w:rPr>
      </w:pPr>
      <w:r w:rsidRPr="00A0721F">
        <w:rPr>
          <w:rFonts w:hint="eastAsia"/>
          <w:b/>
          <w:szCs w:val="22"/>
          <w:lang w:eastAsia="ko-KR"/>
        </w:rPr>
        <w:t xml:space="preserve">Fig. 1 Context selection of </w:t>
      </w:r>
      <w:r w:rsidRPr="00A0721F">
        <w:rPr>
          <w:b/>
          <w:szCs w:val="22"/>
          <w:lang w:eastAsia="ko-KR"/>
        </w:rPr>
        <w:t>‘</w:t>
      </w:r>
      <w:r w:rsidRPr="00A0721F">
        <w:rPr>
          <w:rFonts w:hint="eastAsia"/>
          <w:b/>
          <w:szCs w:val="22"/>
          <w:lang w:eastAsia="ko-KR"/>
        </w:rPr>
        <w:t>X</w:t>
      </w:r>
      <w:r w:rsidRPr="00A0721F">
        <w:rPr>
          <w:b/>
          <w:szCs w:val="22"/>
          <w:lang w:eastAsia="ko-KR"/>
        </w:rPr>
        <w:t>’</w:t>
      </w:r>
      <w:r w:rsidRPr="00A0721F">
        <w:rPr>
          <w:rFonts w:hint="eastAsia"/>
          <w:b/>
          <w:szCs w:val="22"/>
          <w:lang w:eastAsia="ko-KR"/>
        </w:rPr>
        <w:t xml:space="preserve"> in significance map coding </w:t>
      </w:r>
      <w:r w:rsidR="008F4786">
        <w:rPr>
          <w:rFonts w:hint="eastAsia"/>
          <w:b/>
          <w:szCs w:val="22"/>
          <w:lang w:eastAsia="ko-KR"/>
        </w:rPr>
        <w:t>used for a large transform block, based on the summation of the significances at</w:t>
      </w:r>
      <w:r w:rsidRPr="00A0721F">
        <w:rPr>
          <w:rFonts w:hint="eastAsia"/>
          <w:b/>
          <w:szCs w:val="22"/>
          <w:lang w:eastAsia="ko-KR"/>
        </w:rPr>
        <w:t xml:space="preserve"> A, B, C, D, and E.</w:t>
      </w:r>
    </w:p>
    <w:p w:rsidR="00C95E8F" w:rsidRDefault="00C95E8F" w:rsidP="00C95E8F">
      <w:pPr>
        <w:jc w:val="center"/>
        <w:rPr>
          <w:szCs w:val="22"/>
          <w:lang w:eastAsia="ko-KR"/>
        </w:rPr>
      </w:pPr>
    </w:p>
    <w:p w:rsidR="008F4786" w:rsidRDefault="008F4786" w:rsidP="00C95E8F">
      <w:pPr>
        <w:jc w:val="center"/>
        <w:rPr>
          <w:szCs w:val="22"/>
          <w:lang w:eastAsia="ko-KR"/>
        </w:rPr>
      </w:pPr>
    </w:p>
    <w:p w:rsidR="008F4786" w:rsidRDefault="008F4786" w:rsidP="00C95E8F">
      <w:pPr>
        <w:jc w:val="center"/>
        <w:rPr>
          <w:szCs w:val="22"/>
          <w:lang w:eastAsia="ko-KR"/>
        </w:rPr>
      </w:pPr>
    </w:p>
    <w:p w:rsidR="008F4786" w:rsidRPr="00AE341B" w:rsidRDefault="008F4786" w:rsidP="008F4786">
      <w:pPr>
        <w:pStyle w:val="Heading2"/>
      </w:pPr>
      <w:r>
        <w:rPr>
          <w:rFonts w:hint="eastAsia"/>
          <w:lang w:eastAsia="ko-KR"/>
        </w:rPr>
        <w:t xml:space="preserve">Issue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MDCS in large blocks and </w:t>
      </w:r>
      <w:r w:rsidR="00D44F73">
        <w:rPr>
          <w:rFonts w:hint="eastAsia"/>
          <w:lang w:eastAsia="ko-KR"/>
        </w:rPr>
        <w:t>parallel processing problem with the current context model</w:t>
      </w:r>
    </w:p>
    <w:p w:rsidR="00012A55" w:rsidRDefault="00C95E8F" w:rsidP="009234A5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A mode dependent coefficient scanning (MDCS) </w:t>
      </w:r>
      <w:r w:rsidR="004B4AB9">
        <w:rPr>
          <w:rFonts w:hint="eastAsia"/>
          <w:szCs w:val="22"/>
          <w:lang w:eastAsia="ko-KR"/>
        </w:rPr>
        <w:t>method</w:t>
      </w:r>
      <w:r>
        <w:rPr>
          <w:rFonts w:hint="eastAsia"/>
          <w:szCs w:val="22"/>
          <w:lang w:eastAsia="ko-KR"/>
        </w:rPr>
        <w:t xml:space="preserve"> in intra coding </w:t>
      </w:r>
      <w:r w:rsidR="004B4AB9">
        <w:rPr>
          <w:rFonts w:hint="eastAsia"/>
          <w:szCs w:val="22"/>
          <w:lang w:eastAsia="ko-KR"/>
        </w:rPr>
        <w:t>was</w:t>
      </w:r>
      <w:r>
        <w:rPr>
          <w:rFonts w:hint="eastAsia"/>
          <w:szCs w:val="22"/>
          <w:lang w:eastAsia="ko-KR"/>
        </w:rPr>
        <w:t xml:space="preserve"> extended to the large block sizes, e.g. 16x16 and 32x32, and they are </w:t>
      </w:r>
      <w:r w:rsidR="00746582">
        <w:rPr>
          <w:rFonts w:hint="eastAsia"/>
          <w:szCs w:val="22"/>
          <w:lang w:eastAsia="ko-KR"/>
        </w:rPr>
        <w:t xml:space="preserve">tested </w:t>
      </w:r>
      <w:r w:rsidR="00A634DD">
        <w:rPr>
          <w:rFonts w:hint="eastAsia"/>
          <w:szCs w:val="22"/>
          <w:lang w:eastAsia="ko-KR"/>
        </w:rPr>
        <w:t xml:space="preserve">in </w:t>
      </w:r>
      <w:r>
        <w:rPr>
          <w:rFonts w:hint="eastAsia"/>
          <w:szCs w:val="22"/>
          <w:lang w:eastAsia="ko-KR"/>
        </w:rPr>
        <w:t xml:space="preserve">CE </w:t>
      </w:r>
      <w:r w:rsidR="00A634DD">
        <w:rPr>
          <w:rFonts w:hint="eastAsia"/>
          <w:szCs w:val="22"/>
          <w:lang w:eastAsia="ko-KR"/>
        </w:rPr>
        <w:t xml:space="preserve">11 </w:t>
      </w:r>
      <w:r>
        <w:rPr>
          <w:rFonts w:hint="eastAsia"/>
          <w:szCs w:val="22"/>
          <w:lang w:eastAsia="ko-KR"/>
        </w:rPr>
        <w:t>now</w:t>
      </w:r>
      <w:r w:rsidR="004B4AB9">
        <w:rPr>
          <w:rFonts w:hint="eastAsia"/>
          <w:szCs w:val="22"/>
          <w:lang w:eastAsia="ko-KR"/>
        </w:rPr>
        <w:t xml:space="preserve"> [</w:t>
      </w:r>
      <w:r w:rsidR="003E61AF">
        <w:rPr>
          <w:rFonts w:hint="eastAsia"/>
          <w:szCs w:val="22"/>
          <w:lang w:eastAsia="ko-KR"/>
        </w:rPr>
        <w:t>3</w:t>
      </w:r>
      <w:r w:rsidR="004B4AB9">
        <w:rPr>
          <w:rFonts w:hint="eastAsia"/>
          <w:szCs w:val="22"/>
          <w:lang w:eastAsia="ko-KR"/>
        </w:rPr>
        <w:t>]</w:t>
      </w:r>
      <w:r>
        <w:rPr>
          <w:rFonts w:hint="eastAsia"/>
          <w:szCs w:val="22"/>
          <w:lang w:eastAsia="ko-KR"/>
        </w:rPr>
        <w:t xml:space="preserve">. </w:t>
      </w:r>
      <w:r w:rsidR="00A634DD">
        <w:rPr>
          <w:rFonts w:hint="eastAsia"/>
          <w:szCs w:val="22"/>
          <w:lang w:eastAsia="ko-KR"/>
        </w:rPr>
        <w:t xml:space="preserve">The </w:t>
      </w:r>
      <w:r w:rsidR="00746582">
        <w:rPr>
          <w:rFonts w:hint="eastAsia"/>
          <w:szCs w:val="22"/>
          <w:lang w:eastAsia="ko-KR"/>
        </w:rPr>
        <w:t>different</w:t>
      </w:r>
      <w:r w:rsidR="00A634DD">
        <w:rPr>
          <w:rFonts w:hint="eastAsia"/>
          <w:szCs w:val="22"/>
          <w:lang w:eastAsia="ko-KR"/>
        </w:rPr>
        <w:t xml:space="preserve"> MDCS choose different scanning methods </w:t>
      </w:r>
      <w:r w:rsidR="00746582">
        <w:rPr>
          <w:rFonts w:hint="eastAsia"/>
          <w:szCs w:val="22"/>
          <w:lang w:eastAsia="ko-KR"/>
        </w:rPr>
        <w:t xml:space="preserve">among </w:t>
      </w:r>
      <w:r w:rsidR="00737502">
        <w:rPr>
          <w:szCs w:val="22"/>
          <w:lang w:eastAsia="ko-KR"/>
        </w:rPr>
        <w:t>diagonal</w:t>
      </w:r>
      <w:r w:rsidR="00746582">
        <w:rPr>
          <w:rFonts w:hint="eastAsia"/>
          <w:szCs w:val="22"/>
          <w:lang w:eastAsia="ko-KR"/>
        </w:rPr>
        <w:t xml:space="preserve">, horizontal, vertical, and adaptive scanning pattern, </w:t>
      </w:r>
      <w:r w:rsidR="00A634DD">
        <w:rPr>
          <w:rFonts w:hint="eastAsia"/>
          <w:szCs w:val="22"/>
          <w:lang w:eastAsia="ko-KR"/>
        </w:rPr>
        <w:t xml:space="preserve">depending on prediction direction. However, the new scanning methods </w:t>
      </w:r>
      <w:r w:rsidR="008F4786">
        <w:rPr>
          <w:rFonts w:hint="eastAsia"/>
          <w:szCs w:val="22"/>
          <w:lang w:eastAsia="ko-KR"/>
        </w:rPr>
        <w:t xml:space="preserve">in transform blocks larger than 8x8 </w:t>
      </w:r>
      <w:r w:rsidR="00A634DD">
        <w:rPr>
          <w:rFonts w:hint="eastAsia"/>
          <w:szCs w:val="22"/>
          <w:lang w:eastAsia="ko-KR"/>
        </w:rPr>
        <w:t xml:space="preserve">can obstruct the parallel processing </w:t>
      </w:r>
      <w:r w:rsidR="00514818">
        <w:rPr>
          <w:rFonts w:hint="eastAsia"/>
          <w:szCs w:val="22"/>
          <w:lang w:eastAsia="ko-KR"/>
        </w:rPr>
        <w:t xml:space="preserve">in decoding </w:t>
      </w:r>
      <w:r w:rsidR="00A634DD">
        <w:rPr>
          <w:rFonts w:hint="eastAsia"/>
          <w:szCs w:val="22"/>
          <w:lang w:eastAsia="ko-KR"/>
        </w:rPr>
        <w:t xml:space="preserve">without the </w:t>
      </w:r>
      <w:r w:rsidR="00A730AF">
        <w:rPr>
          <w:rFonts w:hint="eastAsia"/>
          <w:szCs w:val="22"/>
          <w:lang w:eastAsia="ko-KR"/>
        </w:rPr>
        <w:t xml:space="preserve">proper </w:t>
      </w:r>
      <w:r w:rsidR="00A634DD">
        <w:rPr>
          <w:rFonts w:hint="eastAsia"/>
          <w:szCs w:val="22"/>
          <w:lang w:eastAsia="ko-KR"/>
        </w:rPr>
        <w:t xml:space="preserve">modification of the context model in </w:t>
      </w:r>
      <w:r w:rsidR="00A634DD">
        <w:rPr>
          <w:szCs w:val="22"/>
          <w:lang w:eastAsia="ko-KR"/>
        </w:rPr>
        <w:t>significance</w:t>
      </w:r>
      <w:r w:rsidR="00A634DD">
        <w:rPr>
          <w:rFonts w:hint="eastAsia"/>
          <w:szCs w:val="22"/>
          <w:lang w:eastAsia="ko-KR"/>
        </w:rPr>
        <w:t xml:space="preserve"> map coding</w:t>
      </w:r>
      <w:r w:rsidR="004B4AB9">
        <w:rPr>
          <w:rFonts w:hint="eastAsia"/>
          <w:szCs w:val="22"/>
          <w:lang w:eastAsia="ko-KR"/>
        </w:rPr>
        <w:t>.</w:t>
      </w:r>
    </w:p>
    <w:p w:rsidR="00A0721F" w:rsidRDefault="002F345F" w:rsidP="009234A5">
      <w:pPr>
        <w:jc w:val="both"/>
        <w:rPr>
          <w:szCs w:val="22"/>
          <w:lang w:eastAsia="ko-KR"/>
        </w:rPr>
      </w:pPr>
      <w:r>
        <w:rPr>
          <w:szCs w:val="22"/>
        </w:rPr>
        <w:t xml:space="preserve">This contribution </w:t>
      </w:r>
      <w:r w:rsidR="00A0721F">
        <w:rPr>
          <w:rFonts w:hint="eastAsia"/>
          <w:szCs w:val="22"/>
          <w:lang w:eastAsia="ko-KR"/>
        </w:rPr>
        <w:t xml:space="preserve">proposes </w:t>
      </w:r>
      <w:r w:rsidR="00A0721F">
        <w:rPr>
          <w:szCs w:val="22"/>
          <w:lang w:eastAsia="ko-KR"/>
        </w:rPr>
        <w:t>parallelizable</w:t>
      </w:r>
      <w:r w:rsidR="00A0721F">
        <w:rPr>
          <w:rFonts w:hint="eastAsia"/>
          <w:szCs w:val="22"/>
          <w:lang w:eastAsia="ko-KR"/>
        </w:rPr>
        <w:t xml:space="preserve"> context modeling on the top of the MDCS</w:t>
      </w:r>
      <w:r w:rsidR="00746582">
        <w:rPr>
          <w:rFonts w:hint="eastAsia"/>
          <w:szCs w:val="22"/>
          <w:lang w:eastAsia="ko-KR"/>
        </w:rPr>
        <w:t xml:space="preserve"> in large transform blocks</w:t>
      </w:r>
      <w:r w:rsidR="00A0721F">
        <w:rPr>
          <w:rFonts w:hint="eastAsia"/>
          <w:szCs w:val="22"/>
          <w:lang w:eastAsia="ko-KR"/>
        </w:rPr>
        <w:t xml:space="preserve">. Two MDCS are used for </w:t>
      </w:r>
      <w:r w:rsidR="00A23A5B">
        <w:rPr>
          <w:rFonts w:hint="eastAsia"/>
          <w:szCs w:val="22"/>
          <w:lang w:eastAsia="ko-KR"/>
        </w:rPr>
        <w:t>the evaluation.</w:t>
      </w:r>
    </w:p>
    <w:p w:rsidR="00A23A5B" w:rsidRDefault="00A23A5B" w:rsidP="009234A5">
      <w:pPr>
        <w:jc w:val="both"/>
        <w:rPr>
          <w:szCs w:val="22"/>
        </w:rPr>
      </w:pPr>
    </w:p>
    <w:p w:rsidR="00CF5E25" w:rsidRDefault="00CF5E25" w:rsidP="00CF5E25">
      <w:pPr>
        <w:pStyle w:val="Heading1"/>
        <w:rPr>
          <w:lang w:eastAsia="ko-KR"/>
        </w:rPr>
      </w:pPr>
      <w:r>
        <w:t>Algorithm</w:t>
      </w:r>
    </w:p>
    <w:p w:rsidR="00D44F73" w:rsidRPr="00D44F73" w:rsidRDefault="00D44F73" w:rsidP="00D44F73">
      <w:pPr>
        <w:rPr>
          <w:lang w:eastAsia="ko-KR"/>
        </w:rPr>
      </w:pPr>
    </w:p>
    <w:p w:rsidR="00CE55B7" w:rsidRDefault="00057838" w:rsidP="00CF5E25">
      <w:pPr>
        <w:rPr>
          <w:lang w:eastAsia="ko-KR"/>
        </w:rPr>
      </w:pPr>
      <w:r>
        <w:t xml:space="preserve">The basic principle of the algorithm is </w:t>
      </w:r>
      <w:r w:rsidR="00A0721F">
        <w:rPr>
          <w:rFonts w:hint="eastAsia"/>
          <w:lang w:eastAsia="ko-KR"/>
        </w:rPr>
        <w:t xml:space="preserve">to </w:t>
      </w:r>
      <w:r w:rsidR="00A0721F" w:rsidRPr="00A0721F">
        <w:rPr>
          <w:rFonts w:hint="eastAsia"/>
          <w:lang w:eastAsia="ko-KR"/>
        </w:rPr>
        <w:t>exclude the latest coded coefficient in a context model</w:t>
      </w:r>
      <w:r w:rsidR="00A0721F">
        <w:rPr>
          <w:rFonts w:hint="eastAsia"/>
          <w:lang w:eastAsia="ko-KR"/>
        </w:rPr>
        <w:t xml:space="preserve">, if it is along the same scanning line. Fig. 2 shows the </w:t>
      </w:r>
      <w:r w:rsidR="00403F87">
        <w:rPr>
          <w:rFonts w:hint="eastAsia"/>
          <w:lang w:eastAsia="ko-KR"/>
        </w:rPr>
        <w:t xml:space="preserve">modified </w:t>
      </w:r>
      <w:r w:rsidR="00A0721F">
        <w:rPr>
          <w:rFonts w:hint="eastAsia"/>
          <w:lang w:eastAsia="ko-KR"/>
        </w:rPr>
        <w:t>c</w:t>
      </w:r>
      <w:r w:rsidR="00403F87">
        <w:rPr>
          <w:rFonts w:hint="eastAsia"/>
          <w:lang w:eastAsia="ko-KR"/>
        </w:rPr>
        <w:t>ontext</w:t>
      </w:r>
      <w:r w:rsidR="00A0721F">
        <w:rPr>
          <w:rFonts w:hint="eastAsia"/>
          <w:lang w:eastAsia="ko-KR"/>
        </w:rPr>
        <w:t xml:space="preserve"> </w:t>
      </w:r>
      <w:r w:rsidR="00A0721F" w:rsidRPr="00A0721F">
        <w:rPr>
          <w:lang w:eastAsia="ko-KR"/>
        </w:rPr>
        <w:t>selection</w:t>
      </w:r>
      <w:r w:rsidR="00A0721F" w:rsidRPr="00A0721F">
        <w:rPr>
          <w:rFonts w:hint="eastAsia"/>
          <w:lang w:eastAsia="ko-KR"/>
        </w:rPr>
        <w:t xml:space="preserve"> </w:t>
      </w:r>
      <w:r w:rsidR="00403F87">
        <w:rPr>
          <w:rFonts w:hint="eastAsia"/>
          <w:lang w:eastAsia="ko-KR"/>
        </w:rPr>
        <w:t xml:space="preserve">when the horizontal or vertical scanning order is used for the significance map coding. </w:t>
      </w:r>
      <w:r w:rsidR="008A66A8">
        <w:rPr>
          <w:rFonts w:hint="eastAsia"/>
          <w:lang w:eastAsia="ko-KR"/>
        </w:rPr>
        <w:t>For example, i</w:t>
      </w:r>
      <w:r w:rsidR="00A0721F" w:rsidRPr="00A0721F">
        <w:rPr>
          <w:rFonts w:hint="eastAsia"/>
          <w:lang w:eastAsia="ko-KR"/>
        </w:rPr>
        <w:t>n Fig</w:t>
      </w:r>
      <w:r w:rsidR="00A0721F">
        <w:rPr>
          <w:rFonts w:hint="eastAsia"/>
          <w:lang w:eastAsia="ko-KR"/>
        </w:rPr>
        <w:t>. 2</w:t>
      </w:r>
      <w:r w:rsidR="008A66A8">
        <w:rPr>
          <w:rFonts w:hint="eastAsia"/>
          <w:lang w:eastAsia="ko-KR"/>
        </w:rPr>
        <w:t xml:space="preserve"> (a)</w:t>
      </w:r>
      <w:r w:rsidR="00A0721F" w:rsidRPr="00A0721F">
        <w:rPr>
          <w:rFonts w:hint="eastAsia"/>
          <w:lang w:eastAsia="ko-KR"/>
        </w:rPr>
        <w:t xml:space="preserve">, the position </w:t>
      </w:r>
      <w:r w:rsidR="00A0721F" w:rsidRPr="00A0721F">
        <w:rPr>
          <w:lang w:eastAsia="ko-KR"/>
        </w:rPr>
        <w:t>‘</w:t>
      </w:r>
      <w:r w:rsidR="00A0721F" w:rsidRPr="00A0721F">
        <w:rPr>
          <w:rFonts w:hint="eastAsia"/>
          <w:lang w:eastAsia="ko-KR"/>
        </w:rPr>
        <w:t>A</w:t>
      </w:r>
      <w:r w:rsidR="00A0721F" w:rsidRPr="00A0721F">
        <w:rPr>
          <w:lang w:eastAsia="ko-KR"/>
        </w:rPr>
        <w:t>’</w:t>
      </w:r>
      <w:r w:rsidR="00A0721F" w:rsidRPr="00A0721F">
        <w:rPr>
          <w:rFonts w:hint="eastAsia"/>
          <w:lang w:eastAsia="ko-KR"/>
        </w:rPr>
        <w:t xml:space="preserve"> is moved from the right position of the current coefficient position </w:t>
      </w:r>
      <w:r w:rsidR="00A0721F" w:rsidRPr="00A0721F">
        <w:rPr>
          <w:lang w:eastAsia="ko-KR"/>
        </w:rPr>
        <w:t>‘</w:t>
      </w:r>
      <w:r w:rsidR="00A0721F" w:rsidRPr="00A0721F">
        <w:rPr>
          <w:rFonts w:hint="eastAsia"/>
          <w:lang w:eastAsia="ko-KR"/>
        </w:rPr>
        <w:t>X</w:t>
      </w:r>
      <w:r w:rsidR="00A0721F" w:rsidRPr="00A0721F">
        <w:rPr>
          <w:lang w:eastAsia="ko-KR"/>
        </w:rPr>
        <w:t>’</w:t>
      </w:r>
      <w:r w:rsidR="00A0721F" w:rsidRPr="00A0721F">
        <w:rPr>
          <w:rFonts w:hint="eastAsia"/>
          <w:lang w:eastAsia="ko-KR"/>
        </w:rPr>
        <w:t xml:space="preserve"> to the bottom left position. Otherwise, the significance coding in </w:t>
      </w:r>
      <w:r w:rsidR="00A0721F" w:rsidRPr="00A0721F">
        <w:rPr>
          <w:lang w:eastAsia="ko-KR"/>
        </w:rPr>
        <w:t>‘</w:t>
      </w:r>
      <w:r w:rsidR="00A0721F" w:rsidRPr="00A0721F">
        <w:rPr>
          <w:rFonts w:hint="eastAsia"/>
          <w:lang w:eastAsia="ko-KR"/>
        </w:rPr>
        <w:t>X</w:t>
      </w:r>
      <w:r w:rsidR="00A0721F" w:rsidRPr="00A0721F">
        <w:rPr>
          <w:lang w:eastAsia="ko-KR"/>
        </w:rPr>
        <w:t>’</w:t>
      </w:r>
      <w:r w:rsidR="00A0721F" w:rsidRPr="00A0721F">
        <w:rPr>
          <w:rFonts w:hint="eastAsia"/>
          <w:lang w:eastAsia="ko-KR"/>
        </w:rPr>
        <w:t xml:space="preserve"> </w:t>
      </w:r>
      <w:r w:rsidR="00A0721F" w:rsidRPr="00A0721F">
        <w:rPr>
          <w:lang w:eastAsia="ko-KR"/>
        </w:rPr>
        <w:t>cannot</w:t>
      </w:r>
      <w:r w:rsidR="00A0721F" w:rsidRPr="00A0721F">
        <w:rPr>
          <w:rFonts w:hint="eastAsia"/>
          <w:lang w:eastAsia="ko-KR"/>
        </w:rPr>
        <w:t xml:space="preserve"> start until the significance coding</w:t>
      </w:r>
      <w:r w:rsidR="00514818">
        <w:rPr>
          <w:rFonts w:hint="eastAsia"/>
          <w:lang w:eastAsia="ko-KR"/>
        </w:rPr>
        <w:t>/decoding</w:t>
      </w:r>
      <w:r w:rsidR="00A0721F" w:rsidRPr="00A0721F">
        <w:rPr>
          <w:rFonts w:hint="eastAsia"/>
          <w:lang w:eastAsia="ko-KR"/>
        </w:rPr>
        <w:t xml:space="preserve"> in the right position is completed.</w:t>
      </w:r>
      <w:r w:rsidR="003A1D28">
        <w:rPr>
          <w:rFonts w:hint="eastAsia"/>
          <w:lang w:eastAsia="ko-KR"/>
        </w:rPr>
        <w:t xml:space="preserve"> </w:t>
      </w:r>
      <w:r w:rsidR="00514818">
        <w:rPr>
          <w:rFonts w:hint="eastAsia"/>
          <w:lang w:eastAsia="ko-KR"/>
        </w:rPr>
        <w:t xml:space="preserve">This problem can stop the parallel processing particularly in decoder side. </w:t>
      </w:r>
      <w:r w:rsidR="008A66A8">
        <w:rPr>
          <w:rFonts w:hint="eastAsia"/>
          <w:lang w:eastAsia="ko-KR"/>
        </w:rPr>
        <w:t xml:space="preserve">The same principle is applied to the </w:t>
      </w:r>
      <w:r w:rsidR="003A1D28">
        <w:rPr>
          <w:rFonts w:hint="eastAsia"/>
          <w:lang w:eastAsia="ko-KR"/>
        </w:rPr>
        <w:t>vertical scanning</w:t>
      </w:r>
      <w:r w:rsidR="008A66A8">
        <w:rPr>
          <w:rFonts w:hint="eastAsia"/>
          <w:lang w:eastAsia="ko-KR"/>
        </w:rPr>
        <w:t>.</w:t>
      </w:r>
    </w:p>
    <w:p w:rsidR="00A0721F" w:rsidRDefault="00A0721F" w:rsidP="00A0721F">
      <w:pPr>
        <w:jc w:val="center"/>
        <w:rPr>
          <w:lang w:eastAsia="ko-KR"/>
        </w:rPr>
      </w:pPr>
    </w:p>
    <w:p w:rsidR="008A66A8" w:rsidRDefault="008A66A8" w:rsidP="00A0721F">
      <w:pPr>
        <w:jc w:val="center"/>
        <w:rPr>
          <w:lang w:eastAsia="ko-KR"/>
        </w:rPr>
      </w:pPr>
      <w:r>
        <w:rPr>
          <w:rFonts w:hint="eastAsia"/>
          <w:noProof/>
        </w:rPr>
        <w:drawing>
          <wp:inline distT="0" distB="0" distL="0" distR="0" wp14:anchorId="5127E824" wp14:editId="03017F47">
            <wp:extent cx="3951798" cy="1645104"/>
            <wp:effectExtent l="0" t="0" r="0" b="0"/>
            <wp:docPr id="6224" name="Picture 6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533" cy="1644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6A8" w:rsidRDefault="008A66A8" w:rsidP="008A66A8">
      <w:pPr>
        <w:pStyle w:val="ListParagraph"/>
        <w:numPr>
          <w:ilvl w:val="0"/>
          <w:numId w:val="12"/>
        </w:numPr>
        <w:rPr>
          <w:lang w:eastAsia="ko-KR"/>
        </w:rPr>
      </w:pPr>
      <w:r>
        <w:rPr>
          <w:rFonts w:hint="eastAsia"/>
          <w:lang w:eastAsia="ko-KR"/>
        </w:rPr>
        <w:t xml:space="preserve">                             (b)</w:t>
      </w:r>
    </w:p>
    <w:p w:rsidR="008A66A8" w:rsidRDefault="008A66A8" w:rsidP="008A66A8">
      <w:pPr>
        <w:pStyle w:val="ListParagraph"/>
        <w:ind w:left="3240"/>
        <w:rPr>
          <w:lang w:eastAsia="ko-KR"/>
        </w:rPr>
      </w:pPr>
    </w:p>
    <w:p w:rsidR="003A1D28" w:rsidRDefault="00A0721F" w:rsidP="00A0721F">
      <w:pPr>
        <w:jc w:val="center"/>
        <w:rPr>
          <w:b/>
          <w:szCs w:val="22"/>
          <w:lang w:eastAsia="ko-KR"/>
        </w:rPr>
      </w:pPr>
      <w:r w:rsidRPr="00A0721F">
        <w:rPr>
          <w:rFonts w:hint="eastAsia"/>
          <w:b/>
          <w:szCs w:val="22"/>
          <w:lang w:eastAsia="ko-KR"/>
        </w:rPr>
        <w:t xml:space="preserve">Fig. </w:t>
      </w:r>
      <w:r w:rsidR="00403F87">
        <w:rPr>
          <w:rFonts w:hint="eastAsia"/>
          <w:b/>
          <w:szCs w:val="22"/>
          <w:lang w:eastAsia="ko-KR"/>
        </w:rPr>
        <w:t>2</w:t>
      </w:r>
      <w:r w:rsidRPr="00A0721F">
        <w:rPr>
          <w:rFonts w:hint="eastAsia"/>
          <w:b/>
          <w:szCs w:val="22"/>
          <w:lang w:eastAsia="ko-KR"/>
        </w:rPr>
        <w:t xml:space="preserve"> </w:t>
      </w:r>
      <w:r>
        <w:rPr>
          <w:rFonts w:hint="eastAsia"/>
          <w:b/>
          <w:szCs w:val="22"/>
          <w:lang w:eastAsia="ko-KR"/>
        </w:rPr>
        <w:t xml:space="preserve">The </w:t>
      </w:r>
      <w:r w:rsidR="00D44F73">
        <w:rPr>
          <w:rFonts w:hint="eastAsia"/>
          <w:b/>
          <w:szCs w:val="22"/>
          <w:lang w:eastAsia="ko-KR"/>
        </w:rPr>
        <w:t>proposed</w:t>
      </w:r>
      <w:r>
        <w:rPr>
          <w:rFonts w:hint="eastAsia"/>
          <w:b/>
          <w:szCs w:val="22"/>
          <w:lang w:eastAsia="ko-KR"/>
        </w:rPr>
        <w:t xml:space="preserve"> c</w:t>
      </w:r>
      <w:r w:rsidRPr="00A0721F">
        <w:rPr>
          <w:rFonts w:hint="eastAsia"/>
          <w:b/>
          <w:szCs w:val="22"/>
          <w:lang w:eastAsia="ko-KR"/>
        </w:rPr>
        <w:t xml:space="preserve">ontext selection of </w:t>
      </w:r>
      <w:r w:rsidRPr="00A0721F">
        <w:rPr>
          <w:b/>
          <w:szCs w:val="22"/>
          <w:lang w:eastAsia="ko-KR"/>
        </w:rPr>
        <w:t>‘</w:t>
      </w:r>
      <w:r w:rsidRPr="00A0721F">
        <w:rPr>
          <w:rFonts w:hint="eastAsia"/>
          <w:b/>
          <w:szCs w:val="22"/>
          <w:lang w:eastAsia="ko-KR"/>
        </w:rPr>
        <w:t>X</w:t>
      </w:r>
      <w:r w:rsidRPr="00A0721F">
        <w:rPr>
          <w:b/>
          <w:szCs w:val="22"/>
          <w:lang w:eastAsia="ko-KR"/>
        </w:rPr>
        <w:t>’</w:t>
      </w:r>
      <w:r w:rsidRPr="00A0721F">
        <w:rPr>
          <w:rFonts w:hint="eastAsia"/>
          <w:b/>
          <w:szCs w:val="22"/>
          <w:lang w:eastAsia="ko-KR"/>
        </w:rPr>
        <w:t xml:space="preserve"> in significance map coding</w:t>
      </w:r>
      <w:r w:rsidR="003A1D28">
        <w:rPr>
          <w:rFonts w:hint="eastAsia"/>
          <w:b/>
          <w:szCs w:val="22"/>
          <w:lang w:eastAsia="ko-KR"/>
        </w:rPr>
        <w:t xml:space="preserve"> used for </w:t>
      </w:r>
      <w:r w:rsidR="00D44F73">
        <w:rPr>
          <w:rFonts w:hint="eastAsia"/>
          <w:b/>
          <w:szCs w:val="22"/>
          <w:lang w:eastAsia="ko-KR"/>
        </w:rPr>
        <w:t>large transform blocks</w:t>
      </w:r>
      <w:r w:rsidR="008A66A8">
        <w:rPr>
          <w:rFonts w:hint="eastAsia"/>
          <w:b/>
          <w:szCs w:val="22"/>
          <w:lang w:eastAsia="ko-KR"/>
        </w:rPr>
        <w:t>: applied to (a) the horizontal scanning pattern and (b) the vertical scanning pattern.</w:t>
      </w:r>
      <w:r w:rsidR="003A1D28">
        <w:rPr>
          <w:rFonts w:hint="eastAsia"/>
          <w:b/>
          <w:szCs w:val="22"/>
          <w:lang w:eastAsia="ko-KR"/>
        </w:rPr>
        <w:t xml:space="preserve"> </w:t>
      </w:r>
    </w:p>
    <w:p w:rsidR="00CF5E25" w:rsidRDefault="00CF5E25" w:rsidP="00CF5E25">
      <w:pPr>
        <w:rPr>
          <w:lang w:eastAsia="ko-KR"/>
        </w:rPr>
      </w:pPr>
    </w:p>
    <w:p w:rsidR="00EB7A77" w:rsidRDefault="007A25B2" w:rsidP="00CF5E25">
      <w:pPr>
        <w:rPr>
          <w:lang w:eastAsia="ko-KR"/>
        </w:rPr>
      </w:pPr>
      <w:r>
        <w:rPr>
          <w:rFonts w:hint="eastAsia"/>
          <w:lang w:eastAsia="ko-KR"/>
        </w:rPr>
        <w:t xml:space="preserve">Because the MDCS in large transform blocks is not a part of HM4.0 yet, we </w:t>
      </w:r>
      <w:r>
        <w:rPr>
          <w:lang w:eastAsia="ko-KR"/>
        </w:rPr>
        <w:t>exemplif</w:t>
      </w:r>
      <w:r>
        <w:rPr>
          <w:rFonts w:hint="eastAsia"/>
          <w:lang w:eastAsia="ko-KR"/>
        </w:rPr>
        <w:t xml:space="preserve">y two patterns integrated into the proposed context selection </w:t>
      </w:r>
      <w:r w:rsidR="00A23A5B">
        <w:rPr>
          <w:rFonts w:hint="eastAsia"/>
          <w:lang w:eastAsia="ko-KR"/>
        </w:rPr>
        <w:t>for the evaluation</w:t>
      </w:r>
      <w:r>
        <w:rPr>
          <w:rFonts w:hint="eastAsia"/>
          <w:lang w:eastAsia="ko-KR"/>
        </w:rPr>
        <w:t>. T</w:t>
      </w:r>
      <w:r w:rsidR="00792254">
        <w:rPr>
          <w:rFonts w:hint="eastAsia"/>
          <w:lang w:eastAsia="ko-KR"/>
        </w:rPr>
        <w:t xml:space="preserve">he </w:t>
      </w:r>
      <w:r>
        <w:rPr>
          <w:rFonts w:hint="eastAsia"/>
          <w:lang w:eastAsia="ko-KR"/>
        </w:rPr>
        <w:t xml:space="preserve">one is conventional </w:t>
      </w:r>
      <w:r w:rsidR="00792254">
        <w:rPr>
          <w:rFonts w:hint="eastAsia"/>
          <w:lang w:eastAsia="ko-KR"/>
        </w:rPr>
        <w:t>horizontal and vertical scanning pattern extended to large blocks, and</w:t>
      </w:r>
      <w:r w:rsidR="00A730AF">
        <w:rPr>
          <w:rFonts w:hint="eastAsia"/>
          <w:lang w:eastAsia="ko-KR"/>
        </w:rPr>
        <w:t xml:space="preserve"> the other is the adaptive MDCS</w:t>
      </w:r>
      <w:r w:rsidR="00792254">
        <w:rPr>
          <w:rFonts w:hint="eastAsia"/>
          <w:lang w:eastAsia="ko-KR"/>
        </w:rPr>
        <w:t xml:space="preserve"> </w:t>
      </w:r>
      <w:r w:rsidR="00A730AF">
        <w:rPr>
          <w:rFonts w:hint="eastAsia"/>
          <w:lang w:eastAsia="ko-KR"/>
        </w:rPr>
        <w:t xml:space="preserve">simplified from the </w:t>
      </w:r>
      <w:r w:rsidR="00A730AF">
        <w:rPr>
          <w:rFonts w:hint="eastAsia"/>
          <w:szCs w:val="22"/>
          <w:lang w:eastAsia="ko-KR"/>
        </w:rPr>
        <w:t>table based scanning method [</w:t>
      </w:r>
      <w:r w:rsidR="00DA2DF1">
        <w:rPr>
          <w:rFonts w:hint="eastAsia"/>
          <w:szCs w:val="22"/>
          <w:lang w:eastAsia="ko-KR"/>
        </w:rPr>
        <w:t>4</w:t>
      </w:r>
      <w:r w:rsidR="00A730AF">
        <w:rPr>
          <w:rFonts w:hint="eastAsia"/>
          <w:szCs w:val="22"/>
          <w:lang w:eastAsia="ko-KR"/>
        </w:rPr>
        <w:t>].</w:t>
      </w:r>
      <w:r w:rsidR="003D7B29">
        <w:rPr>
          <w:rFonts w:hint="eastAsia"/>
          <w:szCs w:val="22"/>
          <w:lang w:eastAsia="ko-KR"/>
        </w:rPr>
        <w:t xml:space="preserve"> T</w:t>
      </w:r>
      <w:r w:rsidR="003D7B29">
        <w:rPr>
          <w:rFonts w:hint="eastAsia"/>
          <w:lang w:eastAsia="ko-KR"/>
        </w:rPr>
        <w:t>he proposed context model is implemented into the HM4.</w:t>
      </w:r>
      <w:r w:rsidR="00D555AC">
        <w:rPr>
          <w:rFonts w:hint="eastAsia"/>
          <w:lang w:eastAsia="ko-KR"/>
        </w:rPr>
        <w:t>1</w:t>
      </w:r>
      <w:r w:rsidR="003D7B29">
        <w:rPr>
          <w:rFonts w:hint="eastAsia"/>
          <w:lang w:eastAsia="ko-KR"/>
        </w:rPr>
        <w:t xml:space="preserve">. </w:t>
      </w:r>
    </w:p>
    <w:p w:rsidR="00146961" w:rsidRDefault="00146961" w:rsidP="00CF5E25">
      <w:pPr>
        <w:rPr>
          <w:lang w:eastAsia="ko-KR"/>
        </w:rPr>
      </w:pPr>
    </w:p>
    <w:p w:rsidR="003A1D28" w:rsidRDefault="00256612" w:rsidP="003A1D28">
      <w:pPr>
        <w:pStyle w:val="Heading2"/>
        <w:rPr>
          <w:lang w:eastAsia="ko-KR"/>
        </w:rPr>
      </w:pPr>
      <w:r>
        <w:rPr>
          <w:rFonts w:hint="eastAsia"/>
          <w:lang w:eastAsia="ko-KR"/>
        </w:rPr>
        <w:lastRenderedPageBreak/>
        <w:t>Example</w:t>
      </w:r>
      <w:r w:rsidR="00792254">
        <w:rPr>
          <w:rFonts w:hint="eastAsia"/>
          <w:lang w:eastAsia="ko-KR"/>
        </w:rPr>
        <w:t xml:space="preserve"> 1: </w:t>
      </w:r>
      <w:r w:rsidR="003A1D28">
        <w:rPr>
          <w:rFonts w:hint="eastAsia"/>
          <w:lang w:eastAsia="ko-KR"/>
        </w:rPr>
        <w:t>with Horizontal/Vertical Scanning</w:t>
      </w:r>
    </w:p>
    <w:p w:rsidR="00792254" w:rsidRDefault="00792254" w:rsidP="00792254">
      <w:pPr>
        <w:rPr>
          <w:lang w:eastAsia="ko-KR"/>
        </w:rPr>
      </w:pPr>
    </w:p>
    <w:p w:rsidR="00182632" w:rsidRDefault="00256612" w:rsidP="00256612">
      <w:pPr>
        <w:rPr>
          <w:lang w:eastAsia="ko-KR"/>
        </w:rPr>
      </w:pPr>
      <w:r>
        <w:rPr>
          <w:rFonts w:hint="eastAsia"/>
          <w:lang w:eastAsia="ko-KR"/>
        </w:rPr>
        <w:t xml:space="preserve">The proposed context model is applied to the </w:t>
      </w:r>
      <w:r>
        <w:rPr>
          <w:lang w:eastAsia="ko-KR"/>
        </w:rPr>
        <w:t>horizontal</w:t>
      </w:r>
      <w:r>
        <w:rPr>
          <w:rFonts w:hint="eastAsia"/>
          <w:lang w:eastAsia="ko-KR"/>
        </w:rPr>
        <w:t xml:space="preserve"> and vertical scanning patterns </w:t>
      </w:r>
      <w:r w:rsidR="008C70EF">
        <w:rPr>
          <w:lang w:eastAsia="ko-KR"/>
        </w:rPr>
        <w:t xml:space="preserve">when the block size is either </w:t>
      </w:r>
      <w:r>
        <w:rPr>
          <w:rFonts w:hint="eastAsia"/>
          <w:lang w:eastAsia="ko-KR"/>
        </w:rPr>
        <w:t xml:space="preserve">16x16 </w:t>
      </w:r>
      <w:r w:rsidR="008C70EF">
        <w:rPr>
          <w:lang w:eastAsia="ko-KR"/>
        </w:rPr>
        <w:t>or</w:t>
      </w:r>
      <w:r w:rsidR="008C70E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32x32.</w:t>
      </w:r>
      <w:r w:rsidR="00182632">
        <w:rPr>
          <w:rFonts w:hint="eastAsia"/>
          <w:lang w:eastAsia="ko-KR"/>
        </w:rPr>
        <w:t xml:space="preserve">The context of </w:t>
      </w:r>
      <w:r w:rsidR="00182632">
        <w:rPr>
          <w:lang w:eastAsia="ko-KR"/>
        </w:rPr>
        <w:t>‘</w:t>
      </w:r>
      <w:r w:rsidR="00182632">
        <w:rPr>
          <w:rFonts w:hint="eastAsia"/>
          <w:lang w:eastAsia="ko-KR"/>
        </w:rPr>
        <w:t>X</w:t>
      </w:r>
      <w:r w:rsidR="00182632">
        <w:rPr>
          <w:lang w:eastAsia="ko-KR"/>
        </w:rPr>
        <w:t>’</w:t>
      </w:r>
      <w:r w:rsidR="00182632">
        <w:rPr>
          <w:rFonts w:hint="eastAsia"/>
          <w:lang w:eastAsia="ko-KR"/>
        </w:rPr>
        <w:t xml:space="preserve">, CTX(X) is derived as the sum of significances in the position of A, B, C, D, and E, respectively defined in Fig.2, as follows: </w:t>
      </w:r>
    </w:p>
    <w:p w:rsidR="00182632" w:rsidRDefault="00182632" w:rsidP="00256612">
      <w:pPr>
        <w:rPr>
          <w:lang w:eastAsia="ko-KR"/>
        </w:rPr>
      </w:pPr>
    </w:p>
    <w:p w:rsidR="00182632" w:rsidRDefault="00182632" w:rsidP="00DD4978">
      <w:pPr>
        <w:jc w:val="center"/>
        <w:rPr>
          <w:lang w:eastAsia="ko-KR"/>
        </w:rPr>
      </w:pPr>
      <w:r>
        <w:rPr>
          <w:rFonts w:hint="eastAsia"/>
          <w:lang w:eastAsia="ko-KR"/>
        </w:rPr>
        <w:t>CTX (X) = min{4, SIG(A)+</w:t>
      </w:r>
      <w:r w:rsidRPr="00182632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SIG (B)+</w:t>
      </w:r>
      <w:r w:rsidRPr="00182632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SIG (C)+</w:t>
      </w:r>
      <w:r w:rsidRPr="00182632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SIG (D)+</w:t>
      </w:r>
      <w:r w:rsidRPr="00182632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SIG (E)},</w:t>
      </w:r>
    </w:p>
    <w:p w:rsidR="00EC7D57" w:rsidRDefault="00EC7D57" w:rsidP="00DD4978">
      <w:pPr>
        <w:jc w:val="center"/>
        <w:rPr>
          <w:lang w:eastAsia="ko-KR"/>
        </w:rPr>
      </w:pPr>
    </w:p>
    <w:p w:rsidR="00182632" w:rsidRDefault="00182632" w:rsidP="00182632">
      <w:pPr>
        <w:rPr>
          <w:lang w:eastAsia="ko-KR"/>
        </w:rPr>
      </w:pPr>
      <w:r>
        <w:rPr>
          <w:rFonts w:hint="eastAsia"/>
          <w:lang w:eastAsia="ko-KR"/>
        </w:rPr>
        <w:t xml:space="preserve">where SIG(.) is 0 when the corresponding coefficient is zero or the position is not valid. Otherwise, SIG(.) is 1.   </w:t>
      </w:r>
    </w:p>
    <w:p w:rsidR="00792254" w:rsidRDefault="004E6CFA" w:rsidP="00256612">
      <w:pPr>
        <w:rPr>
          <w:lang w:eastAsia="ko-KR"/>
        </w:rPr>
      </w:pPr>
      <w:r>
        <w:rPr>
          <w:rFonts w:hint="eastAsia"/>
          <w:lang w:eastAsia="ko-KR"/>
        </w:rPr>
        <w:t xml:space="preserve">From the experimental results, </w:t>
      </w:r>
      <w:r w:rsidR="00A23A5B">
        <w:rPr>
          <w:rFonts w:hint="eastAsia"/>
          <w:lang w:eastAsia="ko-KR"/>
        </w:rPr>
        <w:t>the m</w:t>
      </w:r>
      <w:r>
        <w:rPr>
          <w:rFonts w:hint="eastAsia"/>
          <w:lang w:eastAsia="ko-KR"/>
        </w:rPr>
        <w:t xml:space="preserve">odified context affects </w:t>
      </w:r>
      <w:r w:rsidR="008C70EF">
        <w:rPr>
          <w:lang w:eastAsia="ko-KR"/>
        </w:rPr>
        <w:t>the coding efficiency minimally</w:t>
      </w:r>
      <w:r>
        <w:rPr>
          <w:rFonts w:hint="eastAsia"/>
          <w:lang w:eastAsia="ko-KR"/>
        </w:rPr>
        <w:t xml:space="preserve">, while enhancing the parallel processing. </w:t>
      </w:r>
      <w:r w:rsidR="009959AF">
        <w:rPr>
          <w:lang w:eastAsia="ko-KR"/>
        </w:rPr>
        <w:t>Table</w:t>
      </w:r>
      <w:r>
        <w:rPr>
          <w:rFonts w:hint="eastAsia"/>
          <w:lang w:eastAsia="ko-KR"/>
        </w:rPr>
        <w:t>s</w:t>
      </w:r>
      <w:r w:rsidR="009959AF">
        <w:rPr>
          <w:lang w:eastAsia="ko-KR"/>
        </w:rPr>
        <w:t xml:space="preserve"> below summarize the </w:t>
      </w:r>
      <w:r>
        <w:rPr>
          <w:rFonts w:hint="eastAsia"/>
          <w:lang w:eastAsia="ko-KR"/>
        </w:rPr>
        <w:t>results.</w:t>
      </w:r>
      <w:r w:rsidR="00256612">
        <w:rPr>
          <w:rFonts w:hint="eastAsia"/>
          <w:lang w:eastAsia="ko-KR"/>
        </w:rPr>
        <w:t xml:space="preserve">   </w:t>
      </w:r>
    </w:p>
    <w:p w:rsidR="003D7B29" w:rsidRDefault="003D7B29" w:rsidP="00256612">
      <w:pPr>
        <w:rPr>
          <w:lang w:eastAsia="ko-KR"/>
        </w:rPr>
      </w:pPr>
    </w:p>
    <w:p w:rsidR="00A23A5B" w:rsidRDefault="00A23A5B" w:rsidP="00A96172">
      <w:pPr>
        <w:jc w:val="center"/>
        <w:rPr>
          <w:lang w:eastAsia="ko-KR"/>
        </w:rPr>
      </w:pPr>
      <w:r>
        <w:rPr>
          <w:rFonts w:hint="eastAsia"/>
          <w:lang w:eastAsia="ko-KR"/>
        </w:rPr>
        <w:t xml:space="preserve">Table 1. </w:t>
      </w:r>
      <w:r w:rsidR="004E6CFA">
        <w:rPr>
          <w:rFonts w:hint="eastAsia"/>
          <w:lang w:eastAsia="ko-KR"/>
        </w:rPr>
        <w:t xml:space="preserve">BD-rate of MDCS </w:t>
      </w:r>
      <w:r w:rsidR="00106BDF">
        <w:rPr>
          <w:rFonts w:hint="eastAsia"/>
          <w:lang w:eastAsia="ko-KR"/>
        </w:rPr>
        <w:t xml:space="preserve">in 2.1 </w:t>
      </w:r>
      <w:r w:rsidR="004E6CFA">
        <w:rPr>
          <w:rFonts w:hint="eastAsia"/>
          <w:lang w:eastAsia="ko-KR"/>
        </w:rPr>
        <w:t>with the modified context</w:t>
      </w:r>
      <w:r w:rsidR="003E3172">
        <w:rPr>
          <w:rFonts w:hint="eastAsia"/>
          <w:lang w:eastAsia="ko-KR"/>
        </w:rPr>
        <w:t xml:space="preserve"> </w:t>
      </w:r>
    </w:p>
    <w:p w:rsidR="00106BDF" w:rsidRDefault="00106BDF" w:rsidP="00256612">
      <w:pPr>
        <w:rPr>
          <w:lang w:eastAsia="ko-KR"/>
        </w:rPr>
      </w:pPr>
    </w:p>
    <w:tbl>
      <w:tblPr>
        <w:tblW w:w="4497" w:type="dxa"/>
        <w:jc w:val="center"/>
        <w:tblInd w:w="108" w:type="dxa"/>
        <w:tblLook w:val="04A0" w:firstRow="1" w:lastRow="0" w:firstColumn="1" w:lastColumn="0" w:noHBand="0" w:noVBand="1"/>
      </w:tblPr>
      <w:tblGrid>
        <w:gridCol w:w="1316"/>
        <w:gridCol w:w="1065"/>
        <w:gridCol w:w="1051"/>
        <w:gridCol w:w="1065"/>
      </w:tblGrid>
      <w:tr w:rsidR="00106BDF" w:rsidRPr="00106BDF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</w:t>
            </w:r>
          </w:p>
        </w:tc>
      </w:tr>
      <w:tr w:rsidR="00106BDF" w:rsidRPr="00106BDF" w:rsidTr="00A96172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06BDF" w:rsidRPr="00106BDF" w:rsidTr="00A96172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106BDF" w:rsidRPr="00106BDF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</w:tr>
      <w:tr w:rsidR="00106BDF" w:rsidRPr="00106BDF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106BDF" w:rsidRPr="00106BDF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106BDF" w:rsidRPr="00106BDF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106BDF" w:rsidRPr="00106BDF" w:rsidTr="00A96172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A96172" w:rsidRDefault="00454135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A96172" w:rsidRDefault="00454135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A96172" w:rsidRDefault="00454135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</w:tr>
      <w:tr w:rsidR="00106BDF" w:rsidRPr="00106BDF" w:rsidTr="00A96172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106BDF" w:rsidRPr="00106BDF" w:rsidTr="00A96172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</w:tr>
      <w:tr w:rsidR="00106BDF" w:rsidRPr="00106BDF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06BDF" w:rsidRPr="00A96172" w:rsidRDefault="00FD7734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106BDF" w:rsidRPr="00106BDF" w:rsidTr="00A96172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BDF" w:rsidRPr="00106BDF" w:rsidRDefault="00106BDF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106BDF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06BDF" w:rsidRPr="00A96172" w:rsidRDefault="00FD7734" w:rsidP="00106B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</w:tbl>
    <w:p w:rsidR="004E6CFA" w:rsidRDefault="004E6CFA" w:rsidP="00256612">
      <w:pPr>
        <w:rPr>
          <w:lang w:eastAsia="ko-KR"/>
        </w:rPr>
      </w:pPr>
      <w:r>
        <w:rPr>
          <w:rFonts w:hint="eastAsia"/>
          <w:vanish/>
          <w:lang w:eastAsia="ko-KR"/>
        </w:rPr>
        <w:cr/>
      </w:r>
    </w:p>
    <w:p w:rsidR="004E6CFA" w:rsidRDefault="004E6CFA" w:rsidP="004E6CFA">
      <w:pPr>
        <w:jc w:val="center"/>
        <w:rPr>
          <w:lang w:eastAsia="ko-KR"/>
        </w:rPr>
      </w:pPr>
      <w:r>
        <w:rPr>
          <w:rFonts w:hint="eastAsia"/>
          <w:lang w:eastAsia="ko-KR"/>
        </w:rPr>
        <w:t>Table 2. BD-rate of MDCS</w:t>
      </w:r>
      <w:r w:rsidR="00454135" w:rsidRPr="00454135">
        <w:rPr>
          <w:rFonts w:hint="eastAsia"/>
          <w:lang w:eastAsia="ko-KR"/>
        </w:rPr>
        <w:t xml:space="preserve"> </w:t>
      </w:r>
      <w:r w:rsidR="00454135">
        <w:rPr>
          <w:rFonts w:hint="eastAsia"/>
          <w:lang w:eastAsia="ko-KR"/>
        </w:rPr>
        <w:t xml:space="preserve">in 2.1 </w:t>
      </w:r>
      <w:r>
        <w:rPr>
          <w:rFonts w:hint="eastAsia"/>
          <w:lang w:eastAsia="ko-KR"/>
        </w:rPr>
        <w:t xml:space="preserve">with the </w:t>
      </w:r>
      <w:r w:rsidR="00A502B4">
        <w:rPr>
          <w:rFonts w:hint="eastAsia"/>
          <w:lang w:eastAsia="ko-KR"/>
        </w:rPr>
        <w:t>conventional</w:t>
      </w:r>
      <w:r>
        <w:rPr>
          <w:rFonts w:hint="eastAsia"/>
          <w:lang w:eastAsia="ko-KR"/>
        </w:rPr>
        <w:t xml:space="preserve"> context</w:t>
      </w:r>
    </w:p>
    <w:p w:rsidR="004E6CFA" w:rsidRDefault="004E6CFA" w:rsidP="00256612">
      <w:pPr>
        <w:rPr>
          <w:lang w:eastAsia="ko-KR"/>
        </w:rPr>
      </w:pPr>
    </w:p>
    <w:tbl>
      <w:tblPr>
        <w:tblW w:w="4497" w:type="dxa"/>
        <w:jc w:val="center"/>
        <w:tblInd w:w="108" w:type="dxa"/>
        <w:tblLook w:val="04A0" w:firstRow="1" w:lastRow="0" w:firstColumn="1" w:lastColumn="0" w:noHBand="0" w:noVBand="1"/>
      </w:tblPr>
      <w:tblGrid>
        <w:gridCol w:w="1316"/>
        <w:gridCol w:w="1065"/>
        <w:gridCol w:w="1051"/>
        <w:gridCol w:w="1065"/>
      </w:tblGrid>
      <w:tr w:rsidR="00454135" w:rsidRPr="00454135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</w:t>
            </w:r>
          </w:p>
        </w:tc>
      </w:tr>
      <w:tr w:rsidR="00454135" w:rsidRPr="00454135" w:rsidTr="00A96172">
        <w:trPr>
          <w:trHeight w:val="255"/>
          <w:jc w:val="center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</w:tr>
      <w:tr w:rsidR="00454135" w:rsidRPr="00454135" w:rsidTr="00A96172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A96172" w:rsidRDefault="00BD24CD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A96172" w:rsidRDefault="00BD24CD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A96172" w:rsidRDefault="00BD24CD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</w:tr>
      <w:tr w:rsidR="00454135" w:rsidRPr="00454135" w:rsidTr="00A96172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-0.5%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4135" w:rsidRPr="00A96172" w:rsidRDefault="00FD7734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454135" w:rsidRPr="00454135" w:rsidTr="00A96172">
        <w:trPr>
          <w:trHeight w:val="255"/>
          <w:jc w:val="center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4135" w:rsidRPr="00A96172" w:rsidRDefault="00FD7734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</w:tbl>
    <w:p w:rsidR="004E6CFA" w:rsidRDefault="004E6CFA" w:rsidP="00256612">
      <w:pPr>
        <w:rPr>
          <w:lang w:eastAsia="ko-KR"/>
        </w:rPr>
      </w:pPr>
    </w:p>
    <w:p w:rsidR="008A66A8" w:rsidRDefault="008A66A8" w:rsidP="00792254">
      <w:pPr>
        <w:rPr>
          <w:lang w:eastAsia="ko-KR"/>
        </w:rPr>
      </w:pPr>
    </w:p>
    <w:p w:rsidR="00175179" w:rsidRDefault="00175179" w:rsidP="00792254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As additional information, the coding </w:t>
      </w:r>
      <w:r>
        <w:rPr>
          <w:lang w:eastAsia="ko-KR"/>
        </w:rPr>
        <w:t>performance</w:t>
      </w:r>
      <w:r>
        <w:rPr>
          <w:rFonts w:hint="eastAsia"/>
          <w:lang w:eastAsia="ko-KR"/>
        </w:rPr>
        <w:t xml:space="preserve"> of the MDCS in All intra/low complexity configuration is provided </w:t>
      </w:r>
      <w:r w:rsidR="00B60264">
        <w:rPr>
          <w:rFonts w:hint="eastAsia"/>
          <w:lang w:eastAsia="ko-KR"/>
        </w:rPr>
        <w:t xml:space="preserve">as </w:t>
      </w:r>
      <w:r>
        <w:rPr>
          <w:rFonts w:hint="eastAsia"/>
          <w:lang w:eastAsia="ko-KR"/>
        </w:rPr>
        <w:t xml:space="preserve">below: </w:t>
      </w:r>
    </w:p>
    <w:p w:rsidR="00175179" w:rsidRDefault="00175179" w:rsidP="00792254">
      <w:pPr>
        <w:rPr>
          <w:lang w:eastAsia="ko-KR"/>
        </w:rPr>
      </w:pPr>
    </w:p>
    <w:tbl>
      <w:tblPr>
        <w:tblW w:w="4481" w:type="dxa"/>
        <w:jc w:val="center"/>
        <w:tblInd w:w="108" w:type="dxa"/>
        <w:tblLook w:val="04A0" w:firstRow="1" w:lastRow="0" w:firstColumn="1" w:lastColumn="0" w:noHBand="0" w:noVBand="1"/>
      </w:tblPr>
      <w:tblGrid>
        <w:gridCol w:w="1300"/>
        <w:gridCol w:w="1065"/>
        <w:gridCol w:w="1051"/>
        <w:gridCol w:w="1065"/>
      </w:tblGrid>
      <w:tr w:rsidR="00175179" w:rsidRPr="008B4D25" w:rsidTr="00901AAF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75179" w:rsidRPr="00DD4978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 xml:space="preserve">All Intra </w:t>
            </w:r>
            <w:r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eastAsia="ko-KR"/>
              </w:rPr>
              <w:t>LC</w:t>
            </w:r>
          </w:p>
        </w:tc>
      </w:tr>
      <w:tr w:rsidR="00175179" w:rsidRPr="008B4D25" w:rsidTr="00901AAF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75179" w:rsidRPr="008B4D25" w:rsidTr="00901AAF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17517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175179" w:rsidRPr="008B4D25" w:rsidTr="00901AAF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175179" w:rsidRPr="008B4D25" w:rsidTr="00901AAF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175179" w:rsidRPr="008B4D25" w:rsidTr="00901AAF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175179" w:rsidRPr="008B4D25" w:rsidTr="00901AAF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175179" w:rsidRPr="008B4D25" w:rsidTr="00A9617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179" w:rsidRPr="008B4D25" w:rsidRDefault="00454135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179" w:rsidRPr="008B4D25" w:rsidRDefault="00454135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5179" w:rsidRPr="008B4D25" w:rsidRDefault="00454135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</w:tr>
      <w:tr w:rsidR="00175179" w:rsidRPr="008B4D25" w:rsidTr="00901AAF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175179" w:rsidRPr="008B4D25" w:rsidTr="00901AAF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-0.8%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</w:tr>
      <w:tr w:rsidR="00175179" w:rsidRPr="008B4D25" w:rsidTr="00901AAF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5179" w:rsidRPr="00A96172" w:rsidRDefault="00FD7734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  <w:tr w:rsidR="00175179" w:rsidRPr="008B4D25" w:rsidTr="00901AAF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79" w:rsidRPr="008B4D25" w:rsidRDefault="00175179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4D2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5179" w:rsidRPr="00A96172" w:rsidRDefault="00FD7734" w:rsidP="00901A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</w:tbl>
    <w:p w:rsidR="00175179" w:rsidRDefault="00175179" w:rsidP="00792254">
      <w:pPr>
        <w:rPr>
          <w:lang w:eastAsia="ko-KR"/>
        </w:rPr>
      </w:pPr>
    </w:p>
    <w:p w:rsidR="00175179" w:rsidRDefault="00175179" w:rsidP="00792254">
      <w:pPr>
        <w:rPr>
          <w:lang w:eastAsia="ko-KR"/>
        </w:rPr>
      </w:pPr>
    </w:p>
    <w:p w:rsidR="00256612" w:rsidRDefault="00256612" w:rsidP="00256612">
      <w:pPr>
        <w:pStyle w:val="Heading2"/>
        <w:rPr>
          <w:lang w:eastAsia="ko-KR"/>
        </w:rPr>
      </w:pPr>
      <w:r>
        <w:rPr>
          <w:rFonts w:hint="eastAsia"/>
          <w:lang w:eastAsia="ko-KR"/>
        </w:rPr>
        <w:t>Example 2: with the simplified MDCS from [</w:t>
      </w:r>
      <w:r w:rsidR="00DA2DF1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]</w:t>
      </w:r>
    </w:p>
    <w:p w:rsidR="008A66A8" w:rsidRDefault="008C70EF" w:rsidP="00792254">
      <w:pPr>
        <w:rPr>
          <w:lang w:eastAsia="ko-KR"/>
        </w:rPr>
      </w:pPr>
      <w:r>
        <w:rPr>
          <w:lang w:eastAsia="ko-KR"/>
        </w:rPr>
        <w:t xml:space="preserve">In this example we study the effects of proposed context modeling for the large block size </w:t>
      </w:r>
      <w:r w:rsidR="00A502B4">
        <w:rPr>
          <w:rFonts w:hint="eastAsia"/>
          <w:lang w:eastAsia="ko-KR"/>
        </w:rPr>
        <w:t xml:space="preserve">MDCS </w:t>
      </w:r>
      <w:r>
        <w:rPr>
          <w:lang w:eastAsia="ko-KR"/>
        </w:rPr>
        <w:t xml:space="preserve">variant </w:t>
      </w:r>
      <w:r w:rsidR="00A502B4">
        <w:rPr>
          <w:rFonts w:hint="eastAsia"/>
          <w:lang w:eastAsia="ko-KR"/>
        </w:rPr>
        <w:t xml:space="preserve">proposed in [4]. </w:t>
      </w:r>
      <w:r w:rsidR="00DA2DF1">
        <w:rPr>
          <w:rFonts w:hint="eastAsia"/>
          <w:lang w:eastAsia="ko-KR"/>
        </w:rPr>
        <w:t xml:space="preserve">Fig.3 shows </w:t>
      </w:r>
      <w:r w:rsidR="00A502B4">
        <w:rPr>
          <w:rFonts w:hint="eastAsia"/>
          <w:lang w:eastAsia="ko-KR"/>
        </w:rPr>
        <w:t>a</w:t>
      </w:r>
      <w:r w:rsidR="00DA2DF1">
        <w:rPr>
          <w:rFonts w:hint="eastAsia"/>
          <w:lang w:eastAsia="ko-KR"/>
        </w:rPr>
        <w:t xml:space="preserve"> horizontal scanning pattern order used </w:t>
      </w:r>
      <w:r>
        <w:rPr>
          <w:lang w:eastAsia="ko-KR"/>
        </w:rPr>
        <w:t>for</w:t>
      </w:r>
      <w:r>
        <w:rPr>
          <w:rFonts w:hint="eastAsia"/>
          <w:lang w:eastAsia="ko-KR"/>
        </w:rPr>
        <w:t xml:space="preserve"> </w:t>
      </w:r>
      <w:r w:rsidR="00DA2DF1">
        <w:rPr>
          <w:rFonts w:hint="eastAsia"/>
          <w:lang w:eastAsia="ko-KR"/>
        </w:rPr>
        <w:t>16x16 block</w:t>
      </w:r>
      <w:r>
        <w:rPr>
          <w:lang w:eastAsia="ko-KR"/>
        </w:rPr>
        <w:t>s according to that proposal</w:t>
      </w:r>
      <w:r w:rsidR="00DA2DF1">
        <w:rPr>
          <w:rFonts w:hint="eastAsia"/>
          <w:lang w:eastAsia="ko-KR"/>
        </w:rPr>
        <w:t xml:space="preserve">. As </w:t>
      </w:r>
      <w:r w:rsidR="00A502B4">
        <w:rPr>
          <w:rFonts w:hint="eastAsia"/>
          <w:lang w:eastAsia="ko-KR"/>
        </w:rPr>
        <w:t>shown</w:t>
      </w:r>
      <w:r w:rsidR="008307A9">
        <w:rPr>
          <w:rFonts w:hint="eastAsia"/>
          <w:lang w:eastAsia="ko-KR"/>
        </w:rPr>
        <w:t xml:space="preserve"> in Fig.3</w:t>
      </w:r>
      <w:r w:rsidR="00DA2DF1">
        <w:rPr>
          <w:rFonts w:hint="eastAsia"/>
          <w:lang w:eastAsia="ko-KR"/>
        </w:rPr>
        <w:t xml:space="preserve">, the horizontal scanning pattern is partially used for the significance coding. The </w:t>
      </w:r>
      <w:r w:rsidR="00182632">
        <w:rPr>
          <w:rFonts w:hint="eastAsia"/>
          <w:lang w:eastAsia="ko-KR"/>
        </w:rPr>
        <w:t xml:space="preserve">same </w:t>
      </w:r>
      <w:r w:rsidR="00DA2DF1">
        <w:rPr>
          <w:rFonts w:hint="eastAsia"/>
          <w:lang w:eastAsia="ko-KR"/>
        </w:rPr>
        <w:t xml:space="preserve">context model </w:t>
      </w:r>
      <w:r>
        <w:rPr>
          <w:lang w:eastAsia="ko-KR"/>
        </w:rPr>
        <w:t>described in</w:t>
      </w:r>
      <w:r w:rsidR="00182632">
        <w:rPr>
          <w:rFonts w:hint="eastAsia"/>
          <w:lang w:eastAsia="ko-KR"/>
        </w:rPr>
        <w:t xml:space="preserve"> 2.1 </w:t>
      </w:r>
      <w:r>
        <w:rPr>
          <w:lang w:eastAsia="ko-KR"/>
        </w:rPr>
        <w:t xml:space="preserve">of this contribution </w:t>
      </w:r>
      <w:r w:rsidR="00DA2DF1">
        <w:rPr>
          <w:rFonts w:hint="eastAsia"/>
          <w:lang w:eastAsia="ko-KR"/>
        </w:rPr>
        <w:t xml:space="preserve">is applied </w:t>
      </w:r>
      <w:r w:rsidR="009959AF">
        <w:rPr>
          <w:lang w:eastAsia="ko-KR"/>
        </w:rPr>
        <w:t>for 16x16 and 32x32 blocks when horizontal or vertical scan of [4] is utilized</w:t>
      </w:r>
      <w:r w:rsidR="00DA2DF1">
        <w:rPr>
          <w:rFonts w:hint="eastAsia"/>
          <w:lang w:eastAsia="ko-KR"/>
        </w:rPr>
        <w:t xml:space="preserve"> in order to remove the dependency.</w:t>
      </w:r>
    </w:p>
    <w:p w:rsidR="00DD4978" w:rsidRDefault="00DD4978" w:rsidP="00792254">
      <w:pPr>
        <w:rPr>
          <w:lang w:eastAsia="ko-KR"/>
        </w:rPr>
      </w:pPr>
    </w:p>
    <w:p w:rsidR="00E07D6D" w:rsidRDefault="00E07D6D" w:rsidP="00792254">
      <w:pPr>
        <w:rPr>
          <w:lang w:eastAsia="ko-KR"/>
        </w:rPr>
      </w:pPr>
    </w:p>
    <w:p w:rsidR="00E07D6D" w:rsidRDefault="00E07D6D" w:rsidP="00DA2DF1">
      <w:pPr>
        <w:jc w:val="center"/>
        <w:rPr>
          <w:lang w:eastAsia="ko-KR"/>
        </w:rPr>
      </w:pPr>
      <w:r>
        <w:rPr>
          <w:noProof/>
        </w:rPr>
        <w:drawing>
          <wp:inline distT="0" distB="0" distL="0" distR="0" wp14:anchorId="7256E4E2" wp14:editId="0A97B05C">
            <wp:extent cx="4214191" cy="1031402"/>
            <wp:effectExtent l="0" t="0" r="0" b="0"/>
            <wp:docPr id="6225" name="Picture 6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748" cy="1032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2DF1" w:rsidRDefault="00DA2DF1" w:rsidP="00DA2DF1">
      <w:pPr>
        <w:jc w:val="center"/>
        <w:rPr>
          <w:lang w:eastAsia="ko-KR"/>
        </w:rPr>
      </w:pPr>
    </w:p>
    <w:p w:rsidR="00DD4978" w:rsidRDefault="00DD4978" w:rsidP="00DA2DF1">
      <w:pPr>
        <w:jc w:val="center"/>
        <w:rPr>
          <w:lang w:eastAsia="ko-KR"/>
        </w:rPr>
      </w:pPr>
    </w:p>
    <w:p w:rsidR="00DA2DF1" w:rsidRDefault="00DA2DF1" w:rsidP="00DA2DF1">
      <w:pPr>
        <w:jc w:val="center"/>
        <w:rPr>
          <w:b/>
          <w:szCs w:val="22"/>
          <w:lang w:eastAsia="ko-KR"/>
        </w:rPr>
      </w:pPr>
      <w:r w:rsidRPr="00A0721F">
        <w:rPr>
          <w:rFonts w:hint="eastAsia"/>
          <w:b/>
          <w:szCs w:val="22"/>
          <w:lang w:eastAsia="ko-KR"/>
        </w:rPr>
        <w:t xml:space="preserve">Fig. </w:t>
      </w:r>
      <w:r>
        <w:rPr>
          <w:rFonts w:hint="eastAsia"/>
          <w:b/>
          <w:szCs w:val="22"/>
          <w:lang w:eastAsia="ko-KR"/>
        </w:rPr>
        <w:t>3</w:t>
      </w:r>
      <w:r w:rsidRPr="00A0721F">
        <w:rPr>
          <w:rFonts w:hint="eastAsia"/>
          <w:b/>
          <w:szCs w:val="22"/>
          <w:lang w:eastAsia="ko-KR"/>
        </w:rPr>
        <w:t xml:space="preserve"> </w:t>
      </w:r>
      <w:r>
        <w:rPr>
          <w:rFonts w:hint="eastAsia"/>
          <w:b/>
          <w:szCs w:val="22"/>
          <w:lang w:eastAsia="ko-KR"/>
        </w:rPr>
        <w:t xml:space="preserve">the numbers represent the horizontal </w:t>
      </w:r>
      <w:r>
        <w:rPr>
          <w:b/>
          <w:szCs w:val="22"/>
          <w:lang w:eastAsia="ko-KR"/>
        </w:rPr>
        <w:t>scanning</w:t>
      </w:r>
      <w:r>
        <w:rPr>
          <w:rFonts w:hint="eastAsia"/>
          <w:b/>
          <w:szCs w:val="22"/>
          <w:lang w:eastAsia="ko-KR"/>
        </w:rPr>
        <w:t xml:space="preserve"> order of 16x16, shown in [4]. </w:t>
      </w:r>
    </w:p>
    <w:p w:rsidR="00DD4978" w:rsidRDefault="00DD4978" w:rsidP="00DA2DF1">
      <w:pPr>
        <w:jc w:val="center"/>
        <w:rPr>
          <w:b/>
          <w:szCs w:val="22"/>
          <w:lang w:eastAsia="ko-KR"/>
        </w:rPr>
      </w:pPr>
    </w:p>
    <w:p w:rsidR="00DD4978" w:rsidRDefault="00DD4978" w:rsidP="00DA2DF1">
      <w:pPr>
        <w:jc w:val="center"/>
        <w:rPr>
          <w:b/>
          <w:szCs w:val="22"/>
          <w:lang w:eastAsia="ko-KR"/>
        </w:rPr>
      </w:pPr>
    </w:p>
    <w:p w:rsidR="009959AF" w:rsidRDefault="009959AF" w:rsidP="003D7B29">
      <w:pPr>
        <w:rPr>
          <w:lang w:eastAsia="ko-KR"/>
        </w:rPr>
      </w:pPr>
      <w:r>
        <w:rPr>
          <w:lang w:eastAsia="ko-KR"/>
        </w:rPr>
        <w:t>The table below summarizes the results in the case of proposed method applied to the abovementioned scanning.</w:t>
      </w:r>
    </w:p>
    <w:p w:rsidR="009959AF" w:rsidRDefault="009959AF" w:rsidP="003D7B29">
      <w:pPr>
        <w:rPr>
          <w:lang w:eastAsia="ko-KR"/>
        </w:rPr>
      </w:pPr>
    </w:p>
    <w:p w:rsidR="00DD4978" w:rsidRDefault="00DD4978" w:rsidP="003D7B29">
      <w:pPr>
        <w:rPr>
          <w:lang w:eastAsia="ko-KR"/>
        </w:rPr>
      </w:pPr>
    </w:p>
    <w:p w:rsidR="00DD4978" w:rsidRDefault="00DD4978" w:rsidP="003D7B29">
      <w:pPr>
        <w:rPr>
          <w:lang w:eastAsia="ko-KR"/>
        </w:rPr>
      </w:pPr>
    </w:p>
    <w:p w:rsidR="00DD4978" w:rsidRDefault="00DD4978" w:rsidP="003D7B29">
      <w:pPr>
        <w:rPr>
          <w:lang w:eastAsia="ko-KR"/>
        </w:rPr>
      </w:pPr>
    </w:p>
    <w:p w:rsidR="00DD4978" w:rsidRDefault="00DD4978" w:rsidP="003D7B29">
      <w:pPr>
        <w:rPr>
          <w:lang w:eastAsia="ko-KR"/>
        </w:rPr>
      </w:pPr>
    </w:p>
    <w:p w:rsidR="00A502B4" w:rsidRDefault="00A502B4" w:rsidP="00A502B4">
      <w:pPr>
        <w:jc w:val="center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Table </w:t>
      </w:r>
      <w:r w:rsidR="00175179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 xml:space="preserve">. BD-rate of MDCS </w:t>
      </w:r>
      <w:r w:rsidR="00454135">
        <w:rPr>
          <w:rFonts w:hint="eastAsia"/>
          <w:lang w:eastAsia="ko-KR"/>
        </w:rPr>
        <w:t xml:space="preserve">in 2.2 </w:t>
      </w:r>
      <w:r>
        <w:rPr>
          <w:rFonts w:hint="eastAsia"/>
          <w:lang w:eastAsia="ko-KR"/>
        </w:rPr>
        <w:t>with the modified context</w:t>
      </w:r>
    </w:p>
    <w:p w:rsidR="00784D13" w:rsidRDefault="00784D13" w:rsidP="003D7B29">
      <w:pPr>
        <w:rPr>
          <w:lang w:eastAsia="ko-KR"/>
        </w:rPr>
      </w:pPr>
    </w:p>
    <w:tbl>
      <w:tblPr>
        <w:tblW w:w="4481" w:type="dxa"/>
        <w:jc w:val="center"/>
        <w:tblInd w:w="108" w:type="dxa"/>
        <w:tblLook w:val="04A0" w:firstRow="1" w:lastRow="0" w:firstColumn="1" w:lastColumn="0" w:noHBand="0" w:noVBand="1"/>
      </w:tblPr>
      <w:tblGrid>
        <w:gridCol w:w="1300"/>
        <w:gridCol w:w="1065"/>
        <w:gridCol w:w="1051"/>
        <w:gridCol w:w="1065"/>
      </w:tblGrid>
      <w:tr w:rsidR="00454135" w:rsidRPr="0045413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</w:t>
            </w:r>
          </w:p>
        </w:tc>
      </w:tr>
      <w:tr w:rsidR="00454135" w:rsidRPr="00454135" w:rsidTr="00A9617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</w:tr>
      <w:tr w:rsidR="00454135" w:rsidRPr="00454135" w:rsidTr="00A9617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A96172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A96172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A96172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454135" w:rsidRPr="00454135" w:rsidTr="00A9617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</w:tr>
      <w:tr w:rsidR="00454135" w:rsidRPr="0045413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4135" w:rsidRPr="00A96172" w:rsidRDefault="00FD7734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454135" w:rsidRPr="00454135" w:rsidTr="00A9617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4135" w:rsidRPr="00454135" w:rsidRDefault="00454135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45413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4135" w:rsidRPr="00A96172" w:rsidRDefault="00FD7734" w:rsidP="004541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</w:tbl>
    <w:p w:rsidR="00454135" w:rsidRDefault="00454135" w:rsidP="003D7B29">
      <w:pPr>
        <w:rPr>
          <w:lang w:eastAsia="ko-KR"/>
        </w:rPr>
      </w:pPr>
    </w:p>
    <w:p w:rsidR="00A502B4" w:rsidRDefault="00A502B4" w:rsidP="00A502B4">
      <w:pPr>
        <w:jc w:val="center"/>
        <w:rPr>
          <w:lang w:eastAsia="ko-KR"/>
        </w:rPr>
      </w:pPr>
      <w:r>
        <w:rPr>
          <w:rFonts w:hint="eastAsia"/>
          <w:lang w:eastAsia="ko-KR"/>
        </w:rPr>
        <w:t xml:space="preserve">Table </w:t>
      </w:r>
      <w:r w:rsidR="00175179">
        <w:rPr>
          <w:rFonts w:hint="eastAsia"/>
          <w:lang w:eastAsia="ko-KR"/>
        </w:rPr>
        <w:t>5</w:t>
      </w:r>
      <w:r>
        <w:rPr>
          <w:rFonts w:hint="eastAsia"/>
          <w:lang w:eastAsia="ko-KR"/>
        </w:rPr>
        <w:t>. BD-rate of MDCS</w:t>
      </w:r>
      <w:r w:rsidR="00454135">
        <w:rPr>
          <w:rFonts w:hint="eastAsia"/>
          <w:lang w:eastAsia="ko-KR"/>
        </w:rPr>
        <w:t xml:space="preserve"> in 2.2</w:t>
      </w:r>
      <w:r>
        <w:rPr>
          <w:rFonts w:hint="eastAsia"/>
          <w:lang w:eastAsia="ko-KR"/>
        </w:rPr>
        <w:t xml:space="preserve"> with the conventional context</w:t>
      </w:r>
      <w:r w:rsidR="003335A5">
        <w:rPr>
          <w:rFonts w:hint="eastAsia"/>
          <w:lang w:eastAsia="ko-KR"/>
        </w:rPr>
        <w:t xml:space="preserve"> [4]</w:t>
      </w:r>
    </w:p>
    <w:p w:rsidR="008B4D25" w:rsidRDefault="008B4D25" w:rsidP="003D7B29">
      <w:pPr>
        <w:rPr>
          <w:lang w:eastAsia="ko-KR"/>
        </w:rPr>
      </w:pPr>
    </w:p>
    <w:tbl>
      <w:tblPr>
        <w:tblW w:w="4480" w:type="dxa"/>
        <w:jc w:val="center"/>
        <w:tblInd w:w="93" w:type="dxa"/>
        <w:tblLook w:val="04A0" w:firstRow="1" w:lastRow="0" w:firstColumn="1" w:lastColumn="0" w:noHBand="0" w:noVBand="1"/>
      </w:tblPr>
      <w:tblGrid>
        <w:gridCol w:w="1300"/>
        <w:gridCol w:w="1060"/>
        <w:gridCol w:w="1060"/>
        <w:gridCol w:w="1060"/>
      </w:tblGrid>
      <w:tr w:rsidR="003335A5" w:rsidRPr="003335A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</w:t>
            </w:r>
          </w:p>
        </w:tc>
      </w:tr>
      <w:tr w:rsidR="003335A5" w:rsidRPr="003335A5" w:rsidTr="00A9617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3335A5" w:rsidRPr="003335A5" w:rsidTr="00A9617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3335A5" w:rsidRPr="003335A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bookmarkStart w:id="0" w:name="_GoBack"/>
        <w:bookmarkEnd w:id="0"/>
      </w:tr>
      <w:tr w:rsidR="003335A5" w:rsidRPr="003335A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3335A5" w:rsidRPr="003335A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3335A5" w:rsidRPr="003335A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</w:tr>
      <w:tr w:rsidR="003335A5" w:rsidRPr="003335A5" w:rsidTr="00A9617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A96172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A96172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A96172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-</w:t>
            </w:r>
          </w:p>
        </w:tc>
      </w:tr>
      <w:tr w:rsidR="003335A5" w:rsidRPr="003335A5" w:rsidTr="00A9617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</w:tr>
      <w:tr w:rsidR="003335A5" w:rsidRPr="003335A5" w:rsidTr="00A9617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-0.5%</w:t>
            </w:r>
          </w:p>
        </w:tc>
      </w:tr>
      <w:tr w:rsidR="003335A5" w:rsidRPr="003335A5" w:rsidTr="00A9617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100 %</w:t>
            </w:r>
          </w:p>
        </w:tc>
      </w:tr>
      <w:tr w:rsidR="003335A5" w:rsidRPr="003335A5" w:rsidTr="00A9617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335A5" w:rsidRPr="003335A5" w:rsidRDefault="003335A5" w:rsidP="003335A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333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97 %</w:t>
            </w:r>
          </w:p>
        </w:tc>
      </w:tr>
    </w:tbl>
    <w:p w:rsidR="00503F49" w:rsidRDefault="00503F49" w:rsidP="009234A5">
      <w:pPr>
        <w:jc w:val="both"/>
        <w:rPr>
          <w:szCs w:val="22"/>
          <w:lang w:eastAsia="ko-KR"/>
        </w:rPr>
      </w:pPr>
    </w:p>
    <w:p w:rsidR="0037639B" w:rsidRDefault="0037639B" w:rsidP="0037639B">
      <w:pPr>
        <w:pStyle w:val="Heading1"/>
        <w:rPr>
          <w:lang w:eastAsia="ko-KR"/>
        </w:rPr>
      </w:pPr>
      <w:r>
        <w:t>Conclusion</w:t>
      </w:r>
    </w:p>
    <w:p w:rsidR="003E61AF" w:rsidRDefault="003E61AF" w:rsidP="003E61AF">
      <w:pPr>
        <w:rPr>
          <w:lang w:eastAsia="ko-KR"/>
        </w:rPr>
      </w:pPr>
    </w:p>
    <w:p w:rsidR="003A0E65" w:rsidRDefault="003A0E65" w:rsidP="003A0E65">
      <w:pPr>
        <w:ind w:left="360"/>
        <w:jc w:val="both"/>
        <w:rPr>
          <w:szCs w:val="22"/>
        </w:rPr>
      </w:pPr>
      <w:r>
        <w:rPr>
          <w:szCs w:val="22"/>
        </w:rPr>
        <w:t>Th</w:t>
      </w:r>
      <w:r>
        <w:rPr>
          <w:rFonts w:hint="eastAsia"/>
          <w:szCs w:val="22"/>
          <w:lang w:eastAsia="ko-KR"/>
        </w:rPr>
        <w:t xml:space="preserve">e proposal modifies the parallelizable context selection in </w:t>
      </w:r>
      <w:r>
        <w:rPr>
          <w:szCs w:val="22"/>
        </w:rPr>
        <w:t xml:space="preserve">the significance map </w:t>
      </w:r>
      <w:r>
        <w:rPr>
          <w:rFonts w:hint="eastAsia"/>
          <w:szCs w:val="22"/>
          <w:lang w:eastAsia="ko-KR"/>
        </w:rPr>
        <w:t xml:space="preserve">coding that </w:t>
      </w:r>
      <w:r>
        <w:rPr>
          <w:szCs w:val="22"/>
          <w:lang w:eastAsia="ko-KR"/>
        </w:rPr>
        <w:t>is</w:t>
      </w:r>
      <w:r>
        <w:rPr>
          <w:rFonts w:hint="eastAsia"/>
          <w:szCs w:val="22"/>
          <w:lang w:eastAsia="ko-KR"/>
        </w:rPr>
        <w:t xml:space="preserve"> used for MDCS in large block sizes. The new context model is applied to two MDCS patterns. </w:t>
      </w:r>
      <w:r>
        <w:rPr>
          <w:szCs w:val="22"/>
        </w:rPr>
        <w:t xml:space="preserve">The BD-rate </w:t>
      </w:r>
      <w:r>
        <w:rPr>
          <w:rFonts w:hint="eastAsia"/>
          <w:szCs w:val="22"/>
          <w:lang w:eastAsia="ko-KR"/>
        </w:rPr>
        <w:t>gain</w:t>
      </w:r>
      <w:r w:rsidR="009959AF">
        <w:rPr>
          <w:szCs w:val="22"/>
          <w:lang w:eastAsia="ko-KR"/>
        </w:rPr>
        <w:t>s</w:t>
      </w:r>
      <w:r>
        <w:rPr>
          <w:rFonts w:hint="eastAsia"/>
          <w:szCs w:val="22"/>
          <w:lang w:eastAsia="ko-KR"/>
        </w:rPr>
        <w:t xml:space="preserve"> </w:t>
      </w:r>
      <w:r>
        <w:t xml:space="preserve">for the </w:t>
      </w:r>
      <w:r w:rsidR="009959AF">
        <w:t>AI_HE</w:t>
      </w:r>
      <w:r>
        <w:rPr>
          <w:rFonts w:hint="eastAsia"/>
          <w:lang w:eastAsia="ko-KR"/>
        </w:rPr>
        <w:t xml:space="preserve"> </w:t>
      </w:r>
      <w:r>
        <w:t xml:space="preserve">configuration </w:t>
      </w:r>
      <w:r w:rsidR="009959AF">
        <w:t xml:space="preserve">are </w:t>
      </w:r>
      <w:r w:rsidR="009959AF">
        <w:rPr>
          <w:szCs w:val="22"/>
        </w:rPr>
        <w:t>-</w:t>
      </w:r>
      <w:r w:rsidR="009959AF">
        <w:t>0</w:t>
      </w:r>
      <w:r>
        <w:t>.</w:t>
      </w:r>
      <w:r>
        <w:rPr>
          <w:rFonts w:hint="eastAsia"/>
          <w:lang w:eastAsia="ko-KR"/>
        </w:rPr>
        <w:t>1</w:t>
      </w:r>
      <w:r>
        <w:rPr>
          <w:szCs w:val="22"/>
        </w:rPr>
        <w:t xml:space="preserve">℅, </w:t>
      </w:r>
      <w:r w:rsidR="009959AF">
        <w:rPr>
          <w:szCs w:val="22"/>
        </w:rPr>
        <w:t>-</w:t>
      </w:r>
      <w:r>
        <w:rPr>
          <w:szCs w:val="22"/>
        </w:rPr>
        <w:t>0.</w:t>
      </w:r>
      <w:r w:rsidR="00A96172">
        <w:rPr>
          <w:szCs w:val="22"/>
          <w:lang w:eastAsia="ko-KR"/>
        </w:rPr>
        <w:t>4</w:t>
      </w:r>
      <w:r>
        <w:rPr>
          <w:szCs w:val="22"/>
        </w:rPr>
        <w:t xml:space="preserve">℅, and </w:t>
      </w:r>
      <w:r w:rsidR="009959AF">
        <w:rPr>
          <w:szCs w:val="22"/>
        </w:rPr>
        <w:t>-0</w:t>
      </w:r>
      <w:r>
        <w:rPr>
          <w:szCs w:val="22"/>
        </w:rPr>
        <w:t>.</w:t>
      </w:r>
      <w:r w:rsidR="00A96172">
        <w:rPr>
          <w:szCs w:val="22"/>
          <w:lang w:eastAsia="ko-KR"/>
        </w:rPr>
        <w:t>3</w:t>
      </w:r>
      <w:r>
        <w:rPr>
          <w:szCs w:val="22"/>
        </w:rPr>
        <w:t xml:space="preserve">℅ </w:t>
      </w:r>
      <w:r w:rsidR="009959AF">
        <w:rPr>
          <w:szCs w:val="22"/>
        </w:rPr>
        <w:t xml:space="preserve">for Y, U and V components, </w:t>
      </w:r>
      <w:r>
        <w:rPr>
          <w:szCs w:val="22"/>
        </w:rPr>
        <w:t xml:space="preserve">respectively. </w:t>
      </w:r>
    </w:p>
    <w:p w:rsidR="003A0E65" w:rsidRPr="003E61AF" w:rsidRDefault="003A0E65" w:rsidP="003E61AF">
      <w:pPr>
        <w:rPr>
          <w:lang w:eastAsia="ko-KR"/>
        </w:rPr>
      </w:pPr>
    </w:p>
    <w:p w:rsidR="003E61AF" w:rsidRDefault="003E61AF" w:rsidP="003E61AF">
      <w:pPr>
        <w:pStyle w:val="Heading1"/>
        <w:rPr>
          <w:lang w:eastAsia="ko-KR"/>
        </w:rPr>
      </w:pPr>
      <w:r>
        <w:rPr>
          <w:rFonts w:hint="eastAsia"/>
          <w:lang w:eastAsia="ko-KR"/>
        </w:rPr>
        <w:t>Reference</w:t>
      </w:r>
      <w:r w:rsidR="009959AF">
        <w:rPr>
          <w:lang w:eastAsia="ko-KR"/>
        </w:rPr>
        <w:t>s</w:t>
      </w:r>
    </w:p>
    <w:p w:rsidR="003E61AF" w:rsidRPr="003E61AF" w:rsidRDefault="003E61AF" w:rsidP="003E61AF">
      <w:pPr>
        <w:rPr>
          <w:lang w:eastAsia="ko-KR"/>
        </w:rPr>
      </w:pPr>
    </w:p>
    <w:p w:rsidR="003E61AF" w:rsidRDefault="003E61AF" w:rsidP="003E61AF">
      <w:pPr>
        <w:tabs>
          <w:tab w:val="clear" w:pos="360"/>
        </w:tabs>
        <w:spacing w:before="0" w:after="120"/>
        <w:ind w:left="360"/>
        <w:jc w:val="both"/>
        <w:textAlignment w:val="auto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[1] </w:t>
      </w:r>
      <w:r>
        <w:rPr>
          <w:szCs w:val="22"/>
        </w:rPr>
        <w:t>J. Sole, R. Joshi, M. Karczewicz, “</w:t>
      </w:r>
      <w:r>
        <w:rPr>
          <w:rFonts w:hint="eastAsia"/>
          <w:szCs w:val="22"/>
          <w:lang w:eastAsia="ko-KR"/>
        </w:rPr>
        <w:t xml:space="preserve">CE11: </w:t>
      </w:r>
      <w:r>
        <w:rPr>
          <w:i/>
        </w:rPr>
        <w:t>Unified scans for the significance map and coefficient level coding in high coding efficiency</w:t>
      </w:r>
      <w:r w:rsidR="00134EB3">
        <w:rPr>
          <w:rFonts w:hint="eastAsia"/>
          <w:i/>
          <w:lang w:eastAsia="ko-KR"/>
        </w:rPr>
        <w:t>,</w:t>
      </w:r>
      <w:r w:rsidR="00134EB3">
        <w:rPr>
          <w:szCs w:val="22"/>
        </w:rPr>
        <w:t>”</w:t>
      </w:r>
      <w:r>
        <w:rPr>
          <w:szCs w:val="22"/>
        </w:rPr>
        <w:t xml:space="preserve"> JCTVC-</w:t>
      </w:r>
      <w:r>
        <w:rPr>
          <w:rFonts w:hint="eastAsia"/>
          <w:szCs w:val="22"/>
          <w:lang w:eastAsia="ko-KR"/>
        </w:rPr>
        <w:t>F288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6</w:t>
      </w:r>
      <w:r>
        <w:rPr>
          <w:szCs w:val="22"/>
          <w:vertAlign w:val="superscript"/>
        </w:rPr>
        <w:t>th</w:t>
      </w:r>
      <w:r>
        <w:rPr>
          <w:szCs w:val="22"/>
        </w:rPr>
        <w:t xml:space="preserve"> JCT-VC Meeting, </w:t>
      </w:r>
      <w:r>
        <w:rPr>
          <w:rFonts w:hint="eastAsia"/>
          <w:szCs w:val="22"/>
          <w:lang w:eastAsia="ko-KR"/>
        </w:rPr>
        <w:t>Torino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IT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Jul.</w:t>
      </w:r>
      <w:r>
        <w:rPr>
          <w:szCs w:val="22"/>
        </w:rPr>
        <w:t xml:space="preserve"> 2011.</w:t>
      </w:r>
    </w:p>
    <w:p w:rsidR="003E61AF" w:rsidRDefault="003E61AF" w:rsidP="003E61AF">
      <w:pPr>
        <w:spacing w:before="60" w:after="60"/>
        <w:ind w:left="360"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[2] </w:t>
      </w:r>
      <w:r>
        <w:rPr>
          <w:szCs w:val="22"/>
          <w:lang w:val="de-DE"/>
        </w:rPr>
        <w:t>Vivienne Sze</w:t>
      </w:r>
      <w:r>
        <w:rPr>
          <w:szCs w:val="22"/>
        </w:rPr>
        <w:t xml:space="preserve">, </w:t>
      </w:r>
      <w:r>
        <w:rPr>
          <w:szCs w:val="22"/>
          <w:lang w:val="de-DE"/>
        </w:rPr>
        <w:t>Madhukar Budagavi</w:t>
      </w:r>
      <w:r>
        <w:rPr>
          <w:szCs w:val="22"/>
        </w:rPr>
        <w:t>, “</w:t>
      </w:r>
      <w:r w:rsidRPr="003E61AF">
        <w:rPr>
          <w:szCs w:val="22"/>
        </w:rPr>
        <w:t xml:space="preserve">CE11: </w:t>
      </w:r>
      <w:r w:rsidRPr="003E61AF">
        <w:rPr>
          <w:i/>
          <w:szCs w:val="22"/>
        </w:rPr>
        <w:t>Parallelization of HHI_TRANSFORM_CODING (Fixed Diagonal Scan from C227)</w:t>
      </w:r>
      <w:r w:rsidR="00134EB3">
        <w:rPr>
          <w:rFonts w:hint="eastAsia"/>
          <w:i/>
          <w:szCs w:val="22"/>
          <w:lang w:eastAsia="ko-KR"/>
        </w:rPr>
        <w:t>,</w:t>
      </w:r>
      <w:r w:rsidR="00134EB3">
        <w:rPr>
          <w:szCs w:val="22"/>
        </w:rPr>
        <w:t>”</w:t>
      </w:r>
      <w:r>
        <w:rPr>
          <w:szCs w:val="22"/>
        </w:rPr>
        <w:t xml:space="preserve"> JCTVC-</w:t>
      </w:r>
      <w:r>
        <w:rPr>
          <w:rFonts w:hint="eastAsia"/>
          <w:szCs w:val="22"/>
          <w:lang w:eastAsia="ko-KR"/>
        </w:rPr>
        <w:t>F129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6</w:t>
      </w:r>
      <w:r>
        <w:rPr>
          <w:szCs w:val="22"/>
          <w:vertAlign w:val="superscript"/>
        </w:rPr>
        <w:t>th</w:t>
      </w:r>
      <w:r>
        <w:rPr>
          <w:szCs w:val="22"/>
        </w:rPr>
        <w:t xml:space="preserve"> JCT-VC Meeting, </w:t>
      </w:r>
      <w:r>
        <w:rPr>
          <w:rFonts w:hint="eastAsia"/>
          <w:szCs w:val="22"/>
          <w:lang w:eastAsia="ko-KR"/>
        </w:rPr>
        <w:t>Torino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IT</w:t>
      </w:r>
      <w:r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Jul.</w:t>
      </w:r>
      <w:r>
        <w:rPr>
          <w:szCs w:val="22"/>
        </w:rPr>
        <w:t xml:space="preserve"> 2011.</w:t>
      </w:r>
    </w:p>
    <w:p w:rsidR="003E61AF" w:rsidRDefault="003E61AF" w:rsidP="003E61AF">
      <w:pPr>
        <w:spacing w:before="60" w:after="60"/>
        <w:ind w:left="360"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[3] </w:t>
      </w:r>
      <w:r w:rsidR="00134EB3">
        <w:rPr>
          <w:szCs w:val="22"/>
        </w:rPr>
        <w:t>Vivienne Sze</w:t>
      </w:r>
      <w:r w:rsidR="00134EB3">
        <w:rPr>
          <w:rFonts w:hint="eastAsia"/>
          <w:szCs w:val="22"/>
          <w:lang w:eastAsia="ko-KR"/>
        </w:rPr>
        <w:t xml:space="preserve">, </w:t>
      </w:r>
      <w:r w:rsidR="00134EB3" w:rsidRPr="00134EB3">
        <w:rPr>
          <w:i/>
          <w:szCs w:val="22"/>
          <w:lang w:eastAsia="ko-KR"/>
        </w:rPr>
        <w:t>et.al</w:t>
      </w:r>
      <w:r w:rsidR="00134EB3">
        <w:rPr>
          <w:szCs w:val="22"/>
          <w:lang w:eastAsia="ko-KR"/>
        </w:rPr>
        <w:t>.</w:t>
      </w:r>
      <w:r w:rsidR="00134EB3">
        <w:rPr>
          <w:rFonts w:hint="eastAsia"/>
          <w:szCs w:val="22"/>
          <w:lang w:eastAsia="ko-KR"/>
        </w:rPr>
        <w:t xml:space="preserve"> </w:t>
      </w:r>
      <w:r w:rsidR="00134EB3" w:rsidRPr="00134EB3">
        <w:rPr>
          <w:szCs w:val="22"/>
          <w:lang w:eastAsia="ko-KR"/>
        </w:rPr>
        <w:t>“</w:t>
      </w:r>
      <w:r w:rsidR="00134EB3" w:rsidRPr="00134EB3">
        <w:rPr>
          <w:szCs w:val="22"/>
        </w:rPr>
        <w:t>Description of Core Experiment (CE11): Coefficient scanning and coding</w:t>
      </w:r>
      <w:r w:rsidR="00134EB3" w:rsidRPr="00134EB3">
        <w:rPr>
          <w:rFonts w:hint="eastAsia"/>
          <w:szCs w:val="22"/>
          <w:lang w:eastAsia="ko-KR"/>
        </w:rPr>
        <w:t>,</w:t>
      </w:r>
      <w:r w:rsidR="00134EB3" w:rsidRPr="00134EB3">
        <w:rPr>
          <w:szCs w:val="22"/>
          <w:lang w:eastAsia="ko-KR"/>
        </w:rPr>
        <w:t>”</w:t>
      </w:r>
      <w:r w:rsidR="00134EB3">
        <w:rPr>
          <w:rFonts w:hint="eastAsia"/>
          <w:b/>
          <w:szCs w:val="22"/>
          <w:lang w:eastAsia="ko-KR"/>
        </w:rPr>
        <w:t xml:space="preserve">    </w:t>
      </w:r>
      <w:r w:rsidR="00134EB3">
        <w:rPr>
          <w:szCs w:val="22"/>
        </w:rPr>
        <w:t>JCTVC-</w:t>
      </w:r>
      <w:r w:rsidR="00134EB3">
        <w:rPr>
          <w:rFonts w:hint="eastAsia"/>
          <w:szCs w:val="22"/>
          <w:lang w:eastAsia="ko-KR"/>
        </w:rPr>
        <w:t>F911</w:t>
      </w:r>
      <w:r w:rsidR="00134EB3">
        <w:rPr>
          <w:szCs w:val="22"/>
        </w:rPr>
        <w:t xml:space="preserve">, </w:t>
      </w:r>
      <w:r w:rsidR="00134EB3">
        <w:rPr>
          <w:rFonts w:hint="eastAsia"/>
          <w:szCs w:val="22"/>
          <w:lang w:eastAsia="ko-KR"/>
        </w:rPr>
        <w:t>6</w:t>
      </w:r>
      <w:r w:rsidR="00134EB3">
        <w:rPr>
          <w:szCs w:val="22"/>
          <w:vertAlign w:val="superscript"/>
        </w:rPr>
        <w:t>th</w:t>
      </w:r>
      <w:r w:rsidR="00134EB3">
        <w:rPr>
          <w:szCs w:val="22"/>
        </w:rPr>
        <w:t xml:space="preserve"> JCT-VC Meeting, </w:t>
      </w:r>
      <w:r w:rsidR="00134EB3">
        <w:rPr>
          <w:rFonts w:hint="eastAsia"/>
          <w:szCs w:val="22"/>
          <w:lang w:eastAsia="ko-KR"/>
        </w:rPr>
        <w:t>Torino</w:t>
      </w:r>
      <w:r w:rsidR="00134EB3">
        <w:rPr>
          <w:szCs w:val="22"/>
        </w:rPr>
        <w:t xml:space="preserve">, </w:t>
      </w:r>
      <w:r w:rsidR="00134EB3">
        <w:rPr>
          <w:rFonts w:hint="eastAsia"/>
          <w:szCs w:val="22"/>
          <w:lang w:eastAsia="ko-KR"/>
        </w:rPr>
        <w:t>IT</w:t>
      </w:r>
      <w:r w:rsidR="00134EB3">
        <w:rPr>
          <w:szCs w:val="22"/>
        </w:rPr>
        <w:t xml:space="preserve">, </w:t>
      </w:r>
      <w:r w:rsidR="00134EB3">
        <w:rPr>
          <w:rFonts w:hint="eastAsia"/>
          <w:szCs w:val="22"/>
          <w:lang w:eastAsia="ko-KR"/>
        </w:rPr>
        <w:t>Jul.</w:t>
      </w:r>
      <w:r w:rsidR="00134EB3">
        <w:rPr>
          <w:szCs w:val="22"/>
        </w:rPr>
        <w:t xml:space="preserve"> 2011.</w:t>
      </w:r>
    </w:p>
    <w:p w:rsidR="00134EB3" w:rsidRDefault="00134EB3" w:rsidP="00134EB3">
      <w:pPr>
        <w:spacing w:before="60" w:after="60"/>
        <w:ind w:left="360"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[4] </w:t>
      </w:r>
      <w:r w:rsidR="008307A9">
        <w:rPr>
          <w:rFonts w:hint="eastAsia"/>
          <w:szCs w:val="22"/>
          <w:lang w:eastAsia="ko-KR"/>
        </w:rPr>
        <w:t xml:space="preserve">A simplified version of </w:t>
      </w:r>
      <w:r w:rsidR="00674450">
        <w:rPr>
          <w:rFonts w:hint="eastAsia"/>
          <w:szCs w:val="22"/>
          <w:lang w:eastAsia="ko-KR"/>
        </w:rPr>
        <w:t>JCTVC-</w:t>
      </w:r>
      <w:r w:rsidR="008307A9">
        <w:rPr>
          <w:rFonts w:hint="eastAsia"/>
          <w:szCs w:val="22"/>
          <w:lang w:eastAsia="ko-KR"/>
        </w:rPr>
        <w:t xml:space="preserve">F124, released by </w:t>
      </w:r>
      <w:r w:rsidR="00DA2DF1">
        <w:rPr>
          <w:rFonts w:hint="eastAsia"/>
          <w:szCs w:val="22"/>
          <w:lang w:eastAsia="ko-KR"/>
        </w:rPr>
        <w:t>MediaTek</w:t>
      </w:r>
      <w:r w:rsidR="003335A5">
        <w:rPr>
          <w:rFonts w:hint="eastAsia"/>
          <w:szCs w:val="22"/>
          <w:lang w:eastAsia="ko-KR"/>
        </w:rPr>
        <w:t xml:space="preserve"> </w:t>
      </w:r>
      <w:r w:rsidR="008307A9">
        <w:rPr>
          <w:rFonts w:hint="eastAsia"/>
          <w:szCs w:val="22"/>
          <w:lang w:eastAsia="ko-KR"/>
        </w:rPr>
        <w:t>via the CE 11 reflector.</w:t>
      </w:r>
    </w:p>
    <w:p w:rsidR="001F2594" w:rsidRDefault="001F2594" w:rsidP="009234A5">
      <w:pPr>
        <w:jc w:val="both"/>
        <w:rPr>
          <w:szCs w:val="22"/>
          <w:lang w:eastAsia="ko-KR"/>
        </w:rPr>
      </w:pP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9B01E6" w:rsidP="009234A5">
      <w:pPr>
        <w:jc w:val="both"/>
        <w:rPr>
          <w:szCs w:val="22"/>
        </w:rPr>
      </w:pPr>
      <w:r>
        <w:rPr>
          <w:b/>
          <w:szCs w:val="22"/>
        </w:rPr>
        <w:t xml:space="preserve">Nokia corporation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  <w:lang w:eastAsia="ko-KR"/>
        </w:rPr>
      </w:pPr>
    </w:p>
    <w:sectPr w:rsidR="007F1F8B" w:rsidRPr="009234A5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74B" w:rsidRDefault="00CD674B">
      <w:r>
        <w:separator/>
      </w:r>
    </w:p>
  </w:endnote>
  <w:endnote w:type="continuationSeparator" w:id="0">
    <w:p w:rsidR="00CD674B" w:rsidRDefault="00CD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D7734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D7734">
      <w:rPr>
        <w:rStyle w:val="PageNumber"/>
        <w:noProof/>
      </w:rPr>
      <w:t>2011-11-09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74B" w:rsidRDefault="00CD674B">
      <w:r>
        <w:separator/>
      </w:r>
    </w:p>
  </w:footnote>
  <w:footnote w:type="continuationSeparator" w:id="0">
    <w:p w:rsidR="00CD674B" w:rsidRDefault="00CD6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6292F69"/>
    <w:multiLevelType w:val="hybridMultilevel"/>
    <w:tmpl w:val="3D624080"/>
    <w:lvl w:ilvl="0" w:tplc="04090001">
      <w:start w:val="1"/>
      <w:numFmt w:val="decimal"/>
      <w:lvlText w:val="[%1]"/>
      <w:lvlJc w:val="left"/>
      <w:pPr>
        <w:ind w:left="360" w:hanging="360"/>
      </w:pPr>
    </w:lvl>
    <w:lvl w:ilvl="1" w:tplc="04090003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lowerRoman"/>
      <w:lvlText w:val="%3."/>
      <w:lvlJc w:val="right"/>
      <w:pPr>
        <w:ind w:left="1800" w:hanging="180"/>
      </w:pPr>
    </w:lvl>
    <w:lvl w:ilvl="3" w:tplc="04090001">
      <w:start w:val="1"/>
      <w:numFmt w:val="decimal"/>
      <w:lvlText w:val="%4."/>
      <w:lvlJc w:val="left"/>
      <w:pPr>
        <w:ind w:left="2520" w:hanging="360"/>
      </w:pPr>
    </w:lvl>
    <w:lvl w:ilvl="4" w:tplc="04090003">
      <w:start w:val="1"/>
      <w:numFmt w:val="lowerLetter"/>
      <w:lvlText w:val="%5."/>
      <w:lvlJc w:val="left"/>
      <w:pPr>
        <w:ind w:left="3240" w:hanging="360"/>
      </w:pPr>
    </w:lvl>
    <w:lvl w:ilvl="5" w:tplc="04090005">
      <w:start w:val="1"/>
      <w:numFmt w:val="lowerRoman"/>
      <w:lvlText w:val="%6."/>
      <w:lvlJc w:val="right"/>
      <w:pPr>
        <w:ind w:left="3960" w:hanging="180"/>
      </w:pPr>
    </w:lvl>
    <w:lvl w:ilvl="6" w:tplc="04090001">
      <w:start w:val="1"/>
      <w:numFmt w:val="decimal"/>
      <w:lvlText w:val="%7."/>
      <w:lvlJc w:val="left"/>
      <w:pPr>
        <w:ind w:left="4680" w:hanging="360"/>
      </w:pPr>
    </w:lvl>
    <w:lvl w:ilvl="7" w:tplc="04090003">
      <w:start w:val="1"/>
      <w:numFmt w:val="lowerLetter"/>
      <w:lvlText w:val="%8."/>
      <w:lvlJc w:val="left"/>
      <w:pPr>
        <w:ind w:left="5400" w:hanging="360"/>
      </w:pPr>
    </w:lvl>
    <w:lvl w:ilvl="8" w:tplc="04090005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35078E"/>
    <w:multiLevelType w:val="hybridMultilevel"/>
    <w:tmpl w:val="7DDE356A"/>
    <w:lvl w:ilvl="0" w:tplc="0AF8355C">
      <w:start w:val="1"/>
      <w:numFmt w:val="lowerLetter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37"/>
    <w:rsid w:val="00012A55"/>
    <w:rsid w:val="000267AA"/>
    <w:rsid w:val="000458BC"/>
    <w:rsid w:val="00045C41"/>
    <w:rsid w:val="00046C03"/>
    <w:rsid w:val="00052D05"/>
    <w:rsid w:val="00057838"/>
    <w:rsid w:val="0007614F"/>
    <w:rsid w:val="000B1C6B"/>
    <w:rsid w:val="000B5E8D"/>
    <w:rsid w:val="000C09AC"/>
    <w:rsid w:val="000D7DBA"/>
    <w:rsid w:val="000E00F3"/>
    <w:rsid w:val="000F158C"/>
    <w:rsid w:val="000F73F2"/>
    <w:rsid w:val="00106BDF"/>
    <w:rsid w:val="001166B5"/>
    <w:rsid w:val="00123E4B"/>
    <w:rsid w:val="00124E38"/>
    <w:rsid w:val="0012580B"/>
    <w:rsid w:val="00134EB3"/>
    <w:rsid w:val="0013526E"/>
    <w:rsid w:val="00146961"/>
    <w:rsid w:val="00171371"/>
    <w:rsid w:val="00175179"/>
    <w:rsid w:val="00175A24"/>
    <w:rsid w:val="00182632"/>
    <w:rsid w:val="00187E58"/>
    <w:rsid w:val="001A297E"/>
    <w:rsid w:val="001A368E"/>
    <w:rsid w:val="001A7329"/>
    <w:rsid w:val="001B4E28"/>
    <w:rsid w:val="001C3525"/>
    <w:rsid w:val="001D177E"/>
    <w:rsid w:val="001D1BD2"/>
    <w:rsid w:val="001E02BE"/>
    <w:rsid w:val="001E3B37"/>
    <w:rsid w:val="001F2594"/>
    <w:rsid w:val="0020110B"/>
    <w:rsid w:val="00206460"/>
    <w:rsid w:val="002069B4"/>
    <w:rsid w:val="00215DFC"/>
    <w:rsid w:val="0022116C"/>
    <w:rsid w:val="002212DF"/>
    <w:rsid w:val="00227BA7"/>
    <w:rsid w:val="00256612"/>
    <w:rsid w:val="00275BCF"/>
    <w:rsid w:val="00292257"/>
    <w:rsid w:val="002A54E0"/>
    <w:rsid w:val="002B1595"/>
    <w:rsid w:val="002B191D"/>
    <w:rsid w:val="002C673A"/>
    <w:rsid w:val="002D0AF6"/>
    <w:rsid w:val="002E1F1F"/>
    <w:rsid w:val="002E51FF"/>
    <w:rsid w:val="002F164D"/>
    <w:rsid w:val="002F345F"/>
    <w:rsid w:val="00303D45"/>
    <w:rsid w:val="00306206"/>
    <w:rsid w:val="0032118D"/>
    <w:rsid w:val="00323E91"/>
    <w:rsid w:val="00327C56"/>
    <w:rsid w:val="00331236"/>
    <w:rsid w:val="003315A1"/>
    <w:rsid w:val="003335A5"/>
    <w:rsid w:val="003373EC"/>
    <w:rsid w:val="00342308"/>
    <w:rsid w:val="00344C20"/>
    <w:rsid w:val="003706CC"/>
    <w:rsid w:val="0037639B"/>
    <w:rsid w:val="0038066D"/>
    <w:rsid w:val="003A0E65"/>
    <w:rsid w:val="003A1D28"/>
    <w:rsid w:val="003A2D8E"/>
    <w:rsid w:val="003A479A"/>
    <w:rsid w:val="003C20E4"/>
    <w:rsid w:val="003D7B29"/>
    <w:rsid w:val="003E3172"/>
    <w:rsid w:val="003E61AF"/>
    <w:rsid w:val="003E6F90"/>
    <w:rsid w:val="003F1C1E"/>
    <w:rsid w:val="003F5D0F"/>
    <w:rsid w:val="00400071"/>
    <w:rsid w:val="0040230B"/>
    <w:rsid w:val="004034FC"/>
    <w:rsid w:val="00403F87"/>
    <w:rsid w:val="00414101"/>
    <w:rsid w:val="00430CDD"/>
    <w:rsid w:val="00433DDB"/>
    <w:rsid w:val="00437619"/>
    <w:rsid w:val="00454135"/>
    <w:rsid w:val="00454263"/>
    <w:rsid w:val="0047554F"/>
    <w:rsid w:val="004764D6"/>
    <w:rsid w:val="00482ECA"/>
    <w:rsid w:val="004B210C"/>
    <w:rsid w:val="004B4AB9"/>
    <w:rsid w:val="004D405F"/>
    <w:rsid w:val="004E6CFA"/>
    <w:rsid w:val="004F61E3"/>
    <w:rsid w:val="00503F49"/>
    <w:rsid w:val="0051015C"/>
    <w:rsid w:val="00514818"/>
    <w:rsid w:val="00516757"/>
    <w:rsid w:val="00531AE9"/>
    <w:rsid w:val="0055295F"/>
    <w:rsid w:val="00567EC7"/>
    <w:rsid w:val="00570013"/>
    <w:rsid w:val="0059649C"/>
    <w:rsid w:val="005A33A1"/>
    <w:rsid w:val="005A646D"/>
    <w:rsid w:val="005C385F"/>
    <w:rsid w:val="005D3A1A"/>
    <w:rsid w:val="005F6F1B"/>
    <w:rsid w:val="00607068"/>
    <w:rsid w:val="00615475"/>
    <w:rsid w:val="006245DE"/>
    <w:rsid w:val="00624B33"/>
    <w:rsid w:val="00630AA2"/>
    <w:rsid w:val="00646707"/>
    <w:rsid w:val="00664DCF"/>
    <w:rsid w:val="00674450"/>
    <w:rsid w:val="006779D7"/>
    <w:rsid w:val="006C5D39"/>
    <w:rsid w:val="006D738E"/>
    <w:rsid w:val="006E2810"/>
    <w:rsid w:val="006E5417"/>
    <w:rsid w:val="0070603C"/>
    <w:rsid w:val="00712F60"/>
    <w:rsid w:val="00720E3B"/>
    <w:rsid w:val="00722641"/>
    <w:rsid w:val="00737502"/>
    <w:rsid w:val="00745DBC"/>
    <w:rsid w:val="00745F6B"/>
    <w:rsid w:val="00746582"/>
    <w:rsid w:val="007556DC"/>
    <w:rsid w:val="0075585E"/>
    <w:rsid w:val="00761008"/>
    <w:rsid w:val="00772782"/>
    <w:rsid w:val="007768FF"/>
    <w:rsid w:val="007824D3"/>
    <w:rsid w:val="00784D13"/>
    <w:rsid w:val="00792254"/>
    <w:rsid w:val="007956FF"/>
    <w:rsid w:val="00796EE3"/>
    <w:rsid w:val="007A25B2"/>
    <w:rsid w:val="007A7D29"/>
    <w:rsid w:val="007B1DBF"/>
    <w:rsid w:val="007B292F"/>
    <w:rsid w:val="007B3D6C"/>
    <w:rsid w:val="007C0DD8"/>
    <w:rsid w:val="007D5211"/>
    <w:rsid w:val="007E4D54"/>
    <w:rsid w:val="007E5615"/>
    <w:rsid w:val="007F1F8B"/>
    <w:rsid w:val="00812379"/>
    <w:rsid w:val="008206C8"/>
    <w:rsid w:val="008307A9"/>
    <w:rsid w:val="00874A6C"/>
    <w:rsid w:val="00874E04"/>
    <w:rsid w:val="00874F8A"/>
    <w:rsid w:val="00876C65"/>
    <w:rsid w:val="00884214"/>
    <w:rsid w:val="008A3ACC"/>
    <w:rsid w:val="008A4B4C"/>
    <w:rsid w:val="008A66A8"/>
    <w:rsid w:val="008B4D25"/>
    <w:rsid w:val="008C239F"/>
    <w:rsid w:val="008C70EF"/>
    <w:rsid w:val="008F4786"/>
    <w:rsid w:val="00907757"/>
    <w:rsid w:val="009212B0"/>
    <w:rsid w:val="009234A5"/>
    <w:rsid w:val="009336F7"/>
    <w:rsid w:val="009374A7"/>
    <w:rsid w:val="00957B2C"/>
    <w:rsid w:val="009755B1"/>
    <w:rsid w:val="0099518F"/>
    <w:rsid w:val="009959AF"/>
    <w:rsid w:val="009A523D"/>
    <w:rsid w:val="009B01E6"/>
    <w:rsid w:val="009F496B"/>
    <w:rsid w:val="009F626C"/>
    <w:rsid w:val="00A01439"/>
    <w:rsid w:val="00A02E61"/>
    <w:rsid w:val="00A05CFF"/>
    <w:rsid w:val="00A0721F"/>
    <w:rsid w:val="00A23A5B"/>
    <w:rsid w:val="00A268DA"/>
    <w:rsid w:val="00A502B4"/>
    <w:rsid w:val="00A56B97"/>
    <w:rsid w:val="00A6093D"/>
    <w:rsid w:val="00A634DD"/>
    <w:rsid w:val="00A730AF"/>
    <w:rsid w:val="00A76A6D"/>
    <w:rsid w:val="00A83253"/>
    <w:rsid w:val="00A96172"/>
    <w:rsid w:val="00AA6E84"/>
    <w:rsid w:val="00AD2DE3"/>
    <w:rsid w:val="00AE32B8"/>
    <w:rsid w:val="00AE341B"/>
    <w:rsid w:val="00AE7748"/>
    <w:rsid w:val="00AF22DB"/>
    <w:rsid w:val="00B07CA7"/>
    <w:rsid w:val="00B1279A"/>
    <w:rsid w:val="00B404F5"/>
    <w:rsid w:val="00B431E6"/>
    <w:rsid w:val="00B5222E"/>
    <w:rsid w:val="00B54237"/>
    <w:rsid w:val="00B60264"/>
    <w:rsid w:val="00B61C96"/>
    <w:rsid w:val="00B665DC"/>
    <w:rsid w:val="00B73A2A"/>
    <w:rsid w:val="00B94B06"/>
    <w:rsid w:val="00B94C28"/>
    <w:rsid w:val="00BC10BA"/>
    <w:rsid w:val="00BC5AFD"/>
    <w:rsid w:val="00BD24CD"/>
    <w:rsid w:val="00C0609D"/>
    <w:rsid w:val="00C115AB"/>
    <w:rsid w:val="00C30249"/>
    <w:rsid w:val="00C606C9"/>
    <w:rsid w:val="00C663D3"/>
    <w:rsid w:val="00C74A6E"/>
    <w:rsid w:val="00C90650"/>
    <w:rsid w:val="00C95E8F"/>
    <w:rsid w:val="00C97D78"/>
    <w:rsid w:val="00CA7248"/>
    <w:rsid w:val="00CC5A42"/>
    <w:rsid w:val="00CD0EAB"/>
    <w:rsid w:val="00CD674B"/>
    <w:rsid w:val="00CE0E32"/>
    <w:rsid w:val="00CE55B7"/>
    <w:rsid w:val="00CF34DB"/>
    <w:rsid w:val="00CF558F"/>
    <w:rsid w:val="00CF5920"/>
    <w:rsid w:val="00CF5E25"/>
    <w:rsid w:val="00D073E2"/>
    <w:rsid w:val="00D31C59"/>
    <w:rsid w:val="00D446EC"/>
    <w:rsid w:val="00D44F73"/>
    <w:rsid w:val="00D4713A"/>
    <w:rsid w:val="00D51BF0"/>
    <w:rsid w:val="00D555AC"/>
    <w:rsid w:val="00D55942"/>
    <w:rsid w:val="00D77B13"/>
    <w:rsid w:val="00D807BF"/>
    <w:rsid w:val="00D818D5"/>
    <w:rsid w:val="00D91FF8"/>
    <w:rsid w:val="00DA2DF1"/>
    <w:rsid w:val="00DA7887"/>
    <w:rsid w:val="00DB2C26"/>
    <w:rsid w:val="00DB4607"/>
    <w:rsid w:val="00DB4D9A"/>
    <w:rsid w:val="00DB4E35"/>
    <w:rsid w:val="00DD4978"/>
    <w:rsid w:val="00DE6B43"/>
    <w:rsid w:val="00DF40DA"/>
    <w:rsid w:val="00E07D6D"/>
    <w:rsid w:val="00E11923"/>
    <w:rsid w:val="00E262D4"/>
    <w:rsid w:val="00E332B7"/>
    <w:rsid w:val="00E36250"/>
    <w:rsid w:val="00E54511"/>
    <w:rsid w:val="00E546F2"/>
    <w:rsid w:val="00E61DAC"/>
    <w:rsid w:val="00E66B1A"/>
    <w:rsid w:val="00E66E76"/>
    <w:rsid w:val="00E75529"/>
    <w:rsid w:val="00E75BBA"/>
    <w:rsid w:val="00E75FE3"/>
    <w:rsid w:val="00E91586"/>
    <w:rsid w:val="00E93B08"/>
    <w:rsid w:val="00EB7A77"/>
    <w:rsid w:val="00EB7AB1"/>
    <w:rsid w:val="00EC5639"/>
    <w:rsid w:val="00EC7D57"/>
    <w:rsid w:val="00EF48CC"/>
    <w:rsid w:val="00F060D0"/>
    <w:rsid w:val="00F14CE3"/>
    <w:rsid w:val="00F27A79"/>
    <w:rsid w:val="00F4337B"/>
    <w:rsid w:val="00F73032"/>
    <w:rsid w:val="00F848FC"/>
    <w:rsid w:val="00F9282A"/>
    <w:rsid w:val="00F96414"/>
    <w:rsid w:val="00F96BAD"/>
    <w:rsid w:val="00FB0E84"/>
    <w:rsid w:val="00FB58BE"/>
    <w:rsid w:val="00FD01C2"/>
    <w:rsid w:val="00FD7734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A66A8"/>
    <w:pPr>
      <w:ind w:left="720"/>
      <w:contextualSpacing/>
    </w:pPr>
  </w:style>
  <w:style w:type="character" w:styleId="CommentReference">
    <w:name w:val="annotation reference"/>
    <w:basedOn w:val="DefaultParagraphFont"/>
    <w:rsid w:val="0061547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1547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15475"/>
  </w:style>
  <w:style w:type="paragraph" w:styleId="CommentSubject">
    <w:name w:val="annotation subject"/>
    <w:basedOn w:val="CommentText"/>
    <w:next w:val="CommentText"/>
    <w:link w:val="CommentSubjectChar"/>
    <w:rsid w:val="006154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154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A66A8"/>
    <w:pPr>
      <w:ind w:left="720"/>
      <w:contextualSpacing/>
    </w:pPr>
  </w:style>
  <w:style w:type="character" w:styleId="CommentReference">
    <w:name w:val="annotation reference"/>
    <w:basedOn w:val="DefaultParagraphFont"/>
    <w:rsid w:val="0061547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1547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15475"/>
  </w:style>
  <w:style w:type="paragraph" w:styleId="CommentSubject">
    <w:name w:val="annotation subject"/>
    <w:basedOn w:val="CommentText"/>
    <w:next w:val="CommentText"/>
    <w:link w:val="CommentSubjectChar"/>
    <w:rsid w:val="006154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154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ntti.hallapuro@nokia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ani.Lainema@nokia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mailto:ext-jewon.kang@noki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lapur\Work%20docs\Standardization%20Contributions\tableless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53</TotalTime>
  <Pages>6</Pages>
  <Words>1342</Words>
  <Characters>7650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8975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Hallapuro Antti</dc:creator>
  <cp:keywords>JCT-VC, MPEG, VCEG</cp:keywords>
  <cp:lastModifiedBy>lainema</cp:lastModifiedBy>
  <cp:revision>11</cp:revision>
  <cp:lastPrinted>1900-12-31T22:00:00Z</cp:lastPrinted>
  <dcterms:created xsi:type="dcterms:W3CDTF">2011-11-08T16:16:00Z</dcterms:created>
  <dcterms:modified xsi:type="dcterms:W3CDTF">2011-11-10T12:49:00Z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44344e35-217a-4240-bfd4-84b1fbda99e7</vt:lpwstr>
  </property>
  <property fmtid="{D5CDD505-2E9C-101B-9397-08002B2CF9AE}" pid="3" name="NokiaConfidentiality">
    <vt:lpwstr>Company Confidential</vt:lpwstr>
  </property>
</Properties>
</file>