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771648"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B81B27" w:rsidP="00B81B27">
            <w:pPr>
              <w:tabs>
                <w:tab w:val="left" w:pos="7200"/>
              </w:tabs>
              <w:rPr>
                <w:b/>
                <w:szCs w:val="22"/>
              </w:rPr>
            </w:pPr>
            <w:r w:rsidRPr="00F147B2">
              <w:rPr>
                <w:rFonts w:hint="eastAsia"/>
                <w:szCs w:val="22"/>
                <w:lang w:eastAsia="ko-KR"/>
              </w:rPr>
              <w:t>7</w:t>
            </w:r>
            <w:r w:rsidR="00EF19AC" w:rsidRPr="00F147B2">
              <w:rPr>
                <w:szCs w:val="22"/>
              </w:rPr>
              <w:t xml:space="preserve">th Meeting: </w:t>
            </w:r>
            <w:r w:rsidRPr="00F147B2">
              <w:rPr>
                <w:rFonts w:hint="eastAsia"/>
                <w:szCs w:val="22"/>
                <w:lang w:eastAsia="ko-KR"/>
              </w:rPr>
              <w:t>Geneva</w:t>
            </w:r>
            <w:r w:rsidR="00EF19AC" w:rsidRPr="00F147B2">
              <w:rPr>
                <w:szCs w:val="22"/>
              </w:rPr>
              <w:t xml:space="preserve">, </w:t>
            </w:r>
            <w:r w:rsidRPr="00F147B2">
              <w:rPr>
                <w:rFonts w:hint="eastAsia"/>
                <w:szCs w:val="22"/>
                <w:lang w:eastAsia="ko-KR"/>
              </w:rPr>
              <w:t>21</w:t>
            </w:r>
            <w:r w:rsidR="00EF19AC" w:rsidRPr="00F147B2">
              <w:rPr>
                <w:szCs w:val="22"/>
              </w:rPr>
              <w:t>-</w:t>
            </w:r>
            <w:r w:rsidRPr="00F147B2">
              <w:rPr>
                <w:rFonts w:hint="eastAsia"/>
                <w:szCs w:val="22"/>
                <w:lang w:eastAsia="ko-KR"/>
              </w:rPr>
              <w:t>30</w:t>
            </w:r>
            <w:r w:rsidR="00EF19AC" w:rsidRPr="00F147B2">
              <w:rPr>
                <w:szCs w:val="22"/>
              </w:rPr>
              <w:t xml:space="preserve"> </w:t>
            </w:r>
            <w:r w:rsidRPr="00F147B2">
              <w:rPr>
                <w:rFonts w:hint="eastAsia"/>
                <w:szCs w:val="22"/>
                <w:lang w:eastAsia="ko-KR"/>
              </w:rPr>
              <w:t>Nov</w:t>
            </w:r>
            <w:r w:rsidR="00EF19AC" w:rsidRPr="00F147B2">
              <w:rPr>
                <w:szCs w:val="22"/>
              </w:rPr>
              <w:t>, 2011</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C67328">
              <w:rPr>
                <w:rFonts w:hint="eastAsia"/>
                <w:lang w:eastAsia="ko-KR"/>
              </w:rPr>
              <w:t>G</w:t>
            </w:r>
            <w:r w:rsidR="007E4D26">
              <w:rPr>
                <w:lang w:eastAsia="ko-KR"/>
              </w:rPr>
              <w:t>151</w:t>
            </w:r>
          </w:p>
          <w:p w:rsidR="00EF19AC" w:rsidRPr="00F147B2" w:rsidRDefault="00EF19AC" w:rsidP="0091007B">
            <w:pPr>
              <w:tabs>
                <w:tab w:val="left" w:pos="7200"/>
              </w:tabs>
              <w:rPr>
                <w:u w:val="single"/>
                <w:lang w:eastAsia="ko-KR"/>
              </w:rPr>
            </w:pPr>
            <w:r w:rsidRPr="00F147B2">
              <w:t xml:space="preserve">WG11 Number: </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925D36" w:rsidP="006D1516">
            <w:pPr>
              <w:spacing w:before="60" w:after="60"/>
              <w:rPr>
                <w:b/>
                <w:szCs w:val="22"/>
                <w:lang w:eastAsia="ko-KR"/>
              </w:rPr>
            </w:pPr>
            <w:r>
              <w:rPr>
                <w:b/>
                <w:szCs w:val="22"/>
              </w:rPr>
              <w:t>Prediction and partition mode binarization for Low Delay P</w:t>
            </w:r>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925D36">
            <w:pPr>
              <w:spacing w:before="60" w:after="60"/>
              <w:rPr>
                <w:rFonts w:eastAsia="PMingLiU"/>
                <w:szCs w:val="22"/>
                <w:lang w:eastAsia="zh-TW"/>
              </w:rPr>
            </w:pPr>
            <w:r>
              <w:rPr>
                <w:szCs w:val="22"/>
                <w:lang w:eastAsia="zh-TW"/>
              </w:rPr>
              <w:t>Shan Liu</w:t>
            </w:r>
            <w:r w:rsidR="00F41FD5">
              <w:rPr>
                <w:szCs w:val="22"/>
                <w:lang w:eastAsia="zh-TW"/>
              </w:rPr>
              <w:b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925D36" w:rsidP="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ximin.zhang@mediatek.com</w:t>
            </w:r>
            <w:r>
              <w:rPr>
                <w:szCs w:val="22"/>
                <w:lang w:eastAsia="zh-TW"/>
              </w:rPr>
              <w:br/>
              <w:t>shan.liu</w:t>
            </w:r>
            <w:r w:rsidR="00F41FD5">
              <w:rPr>
                <w:szCs w:val="22"/>
                <w:lang w:eastAsia="zh-TW"/>
              </w:rPr>
              <w:t>@mediatek.com</w:t>
            </w:r>
            <w:r w:rsidR="00F41FD5">
              <w:rPr>
                <w:szCs w:val="22"/>
                <w:lang w:eastAsia="zh-TW"/>
              </w:rPr>
              <w:br/>
            </w:r>
            <w:r w:rsidR="001B3E70">
              <w:rPr>
                <w:sz w:val="22"/>
                <w:szCs w:val="22"/>
                <w:lang w:eastAsia="zh-TW"/>
              </w:rPr>
              <w:t>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4632AD" w:rsidRDefault="004632AD" w:rsidP="00CD5259">
      <w:pPr>
        <w:jc w:val="both"/>
        <w:rPr>
          <w:lang w:eastAsia="zh-TW"/>
        </w:rPr>
      </w:pPr>
      <w:bookmarkStart w:id="0" w:name="OLE_LINK22"/>
      <w:bookmarkStart w:id="1" w:name="OLE_LINK23"/>
      <w:bookmarkStart w:id="2" w:name="OLE_LINK42"/>
      <w:r>
        <w:rPr>
          <w:lang w:eastAsia="zh-TW"/>
        </w:rPr>
        <w:t xml:space="preserve">This contribution reports a bug fix and a method for binarizing prediction and partition modes for Low Delay P configuration. Firstly, a mismatch was found between WD and HM with regard to the </w:t>
      </w:r>
      <w:bookmarkStart w:id="3" w:name="OLE_LINK15"/>
      <w:bookmarkStart w:id="4" w:name="OLE_LINK24"/>
      <w:r>
        <w:rPr>
          <w:lang w:eastAsia="zh-TW"/>
        </w:rPr>
        <w:t>prediction and partition mode binarization for Low Delay P</w:t>
      </w:r>
      <w:bookmarkEnd w:id="3"/>
      <w:bookmarkEnd w:id="4"/>
      <w:r>
        <w:rPr>
          <w:lang w:eastAsia="zh-TW"/>
        </w:rPr>
        <w:t xml:space="preserve">. With the bug fix in HM software, negligible (0.0%) </w:t>
      </w:r>
      <w:r w:rsidR="000D6A3C">
        <w:rPr>
          <w:lang w:eastAsia="zh-TW"/>
        </w:rPr>
        <w:t>impact</w:t>
      </w:r>
      <w:r>
        <w:rPr>
          <w:lang w:eastAsia="zh-TW"/>
        </w:rPr>
        <w:t xml:space="preserve"> </w:t>
      </w:r>
      <w:r w:rsidR="000D6A3C">
        <w:rPr>
          <w:lang w:eastAsia="zh-TW"/>
        </w:rPr>
        <w:t>is</w:t>
      </w:r>
      <w:r>
        <w:rPr>
          <w:lang w:eastAsia="zh-TW"/>
        </w:rPr>
        <w:t xml:space="preserve"> reported on both </w:t>
      </w:r>
      <w:bookmarkStart w:id="5" w:name="OLE_LINK25"/>
      <w:bookmarkStart w:id="6" w:name="OLE_LINK26"/>
      <w:r>
        <w:rPr>
          <w:lang w:eastAsia="zh-TW"/>
        </w:rPr>
        <w:t xml:space="preserve">BD-rate and encoding and decoding runtime. </w:t>
      </w:r>
      <w:bookmarkEnd w:id="5"/>
      <w:bookmarkEnd w:id="6"/>
      <w:r>
        <w:rPr>
          <w:lang w:eastAsia="zh-TW"/>
        </w:rPr>
        <w:t xml:space="preserve">Secondly, it is proposed to unify the prediction and partition mode binarization for Low Delay P and B, which simplifies both WD and HM. Again, experimental results report negligible (0.0%) </w:t>
      </w:r>
      <w:r w:rsidR="000D6A3C">
        <w:rPr>
          <w:lang w:eastAsia="zh-TW"/>
        </w:rPr>
        <w:t>impact</w:t>
      </w:r>
      <w:r>
        <w:rPr>
          <w:lang w:eastAsia="zh-TW"/>
        </w:rPr>
        <w:t xml:space="preserve"> on both BD-rate and encoding and decoding runtime.   </w:t>
      </w:r>
    </w:p>
    <w:bookmarkEnd w:id="0"/>
    <w:bookmarkEnd w:id="1"/>
    <w:bookmarkEnd w:id="2"/>
    <w:p w:rsidR="00C35A96" w:rsidRDefault="00C35A96" w:rsidP="00C35A96">
      <w:pPr>
        <w:pStyle w:val="StyleHeading1Justified"/>
        <w:numPr>
          <w:ilvl w:val="0"/>
          <w:numId w:val="14"/>
        </w:numPr>
        <w:ind w:left="360" w:hanging="360"/>
        <w:textAlignment w:val="auto"/>
        <w:rPr>
          <w:rFonts w:hint="eastAsia"/>
        </w:rPr>
      </w:pPr>
      <w:r>
        <w:t>Introduction</w:t>
      </w:r>
    </w:p>
    <w:p w:rsidR="003071B3" w:rsidRDefault="00C35A96" w:rsidP="00C35A96">
      <w:pPr>
        <w:jc w:val="both"/>
        <w:rPr>
          <w:szCs w:val="22"/>
        </w:rPr>
      </w:pPr>
      <w:r>
        <w:rPr>
          <w:szCs w:val="22"/>
        </w:rPr>
        <w:t>The current HEVC (High Efficiency Video Coding) defines coding unit (CU) and prediction unit (PU)</w:t>
      </w:r>
      <w:r>
        <w:rPr>
          <w:szCs w:val="22"/>
          <w:lang w:eastAsia="zh-TW"/>
        </w:rPr>
        <w:t>,</w:t>
      </w:r>
      <w:r w:rsidR="003E0992">
        <w:rPr>
          <w:szCs w:val="22"/>
        </w:rPr>
        <w:t xml:space="preserve"> where a CU may consist</w:t>
      </w:r>
      <w:r>
        <w:rPr>
          <w:szCs w:val="22"/>
        </w:rPr>
        <w:t xml:space="preserve"> of one or multiple PU</w:t>
      </w:r>
      <w:r>
        <w:rPr>
          <w:szCs w:val="22"/>
          <w:lang w:eastAsia="zh-TW"/>
        </w:rPr>
        <w:t>s</w:t>
      </w:r>
      <w:r>
        <w:rPr>
          <w:szCs w:val="22"/>
        </w:rPr>
        <w:t xml:space="preserve">. </w:t>
      </w:r>
      <w:r w:rsidR="00FF014B">
        <w:rPr>
          <w:szCs w:val="22"/>
        </w:rPr>
        <w:t>There are various types of PUs (or partition types). For example, a</w:t>
      </w:r>
      <w:r w:rsidR="00AE1FD1">
        <w:rPr>
          <w:szCs w:val="22"/>
        </w:rPr>
        <w:t xml:space="preserve">n Intra 2Nx2N CU should consist of one 2Nx2N PU if it is greater than smallest coding unit (SCU); or it may consist of either one 2Nx2N PU or four NxN PUs if it is an SCU. An Inter 2Nx2N CU may consist of one 2Nx2N PU, two rectangular shape PUs (e.g. 2NxN, Nx2N, 2NxnU, 2NxnD, nLx2N, nRx2N), or four NxN PUs if it is an SCU. </w:t>
      </w:r>
      <w:r w:rsidR="00FF014B">
        <w:rPr>
          <w:szCs w:val="22"/>
        </w:rPr>
        <w:t>In WD4 [1], the prediction and partition mode binarization are defined as shown in Table 1.</w:t>
      </w:r>
    </w:p>
    <w:p w:rsidR="00A93124" w:rsidRDefault="00A93124" w:rsidP="00C35A96">
      <w:pPr>
        <w:jc w:val="both"/>
        <w:rPr>
          <w:szCs w:val="22"/>
        </w:rPr>
      </w:pPr>
    </w:p>
    <w:p w:rsidR="00A93124" w:rsidRPr="00A93124" w:rsidRDefault="00A93124" w:rsidP="00A93124">
      <w:pPr>
        <w:spacing w:before="120" w:after="120"/>
        <w:jc w:val="center"/>
        <w:rPr>
          <w:bCs/>
          <w:szCs w:val="22"/>
        </w:rPr>
      </w:pPr>
      <w:bookmarkStart w:id="7" w:name="OLE_LINK38"/>
      <w:bookmarkStart w:id="8" w:name="OLE_LINK39"/>
      <w:r>
        <w:rPr>
          <w:bCs/>
          <w:szCs w:val="22"/>
        </w:rPr>
        <w:t>Table 1 Prediction and partition mode binarization in WD4.</w:t>
      </w:r>
    </w:p>
    <w:tbl>
      <w:tblPr>
        <w:tblW w:w="0" w:type="auto"/>
        <w:jc w:val="center"/>
        <w:tblCellMar>
          <w:left w:w="0" w:type="dxa"/>
          <w:right w:w="0" w:type="dxa"/>
        </w:tblCellMar>
        <w:tblLook w:val="04A0"/>
      </w:tblPr>
      <w:tblGrid>
        <w:gridCol w:w="592"/>
        <w:gridCol w:w="1061"/>
        <w:gridCol w:w="1342"/>
        <w:gridCol w:w="1253"/>
        <w:gridCol w:w="1412"/>
        <w:gridCol w:w="1990"/>
        <w:gridCol w:w="1882"/>
      </w:tblGrid>
      <w:tr w:rsidR="00A93124" w:rsidRPr="00A93124" w:rsidTr="00A93124">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b/>
                <w:bCs/>
                <w:sz w:val="18"/>
                <w:szCs w:val="18"/>
                <w:lang w:val="en-GB"/>
              </w:rPr>
              <w:t>Slice type</w:t>
            </w:r>
            <w:r w:rsidRPr="00A93124">
              <w:rPr>
                <w:sz w:val="18"/>
                <w:szCs w:val="18"/>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b/>
                <w:bCs/>
                <w:sz w:val="18"/>
                <w:szCs w:val="18"/>
                <w:lang w:val="en-GB"/>
              </w:rPr>
              <w:t>Value of pred_type</w:t>
            </w:r>
            <w:r w:rsidRPr="00A93124">
              <w:rPr>
                <w:sz w:val="18"/>
                <w:szCs w:val="18"/>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b/>
                <w:bCs/>
                <w:sz w:val="18"/>
                <w:szCs w:val="18"/>
                <w:lang w:val="en-GB"/>
              </w:rPr>
              <w:t>PredMode</w:t>
            </w:r>
            <w:r w:rsidRPr="00A93124">
              <w:rPr>
                <w:sz w:val="18"/>
                <w:szCs w:val="18"/>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b/>
                <w:bCs/>
                <w:sz w:val="18"/>
                <w:szCs w:val="18"/>
                <w:lang w:val="en-GB"/>
              </w:rPr>
              <w:t>PartMode</w:t>
            </w:r>
            <w:r w:rsidRPr="00A93124">
              <w:rPr>
                <w:sz w:val="18"/>
                <w:szCs w:val="18"/>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b/>
                <w:bCs/>
                <w:sz w:val="18"/>
                <w:szCs w:val="18"/>
                <w:lang w:val="en-GB"/>
              </w:rPr>
              <w:t>Bin string</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cLog2CUSize &gt; </w:t>
            </w:r>
            <w:r w:rsidRPr="00A93124">
              <w:rPr>
                <w:sz w:val="18"/>
                <w:szCs w:val="18"/>
                <w:lang w:val="en-GB"/>
              </w:rPr>
              <w:br/>
              <w:t>Log2MinCUSize</w:t>
            </w:r>
            <w:r w:rsidRPr="00A93124">
              <w:rPr>
                <w:sz w:val="18"/>
                <w:szCs w:val="18"/>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cLog2CUSize = = Log2MinCUSize</w:t>
            </w:r>
            <w:r w:rsidRPr="00A93124">
              <w:rPr>
                <w:sz w:val="18"/>
                <w:szCs w:val="18"/>
              </w:rPr>
              <w:t xml:space="preserve"> </w:t>
            </w:r>
          </w:p>
        </w:tc>
      </w:tr>
      <w:tr w:rsidR="00A93124" w:rsidRPr="00A93124" w:rsidTr="00A93124">
        <w:trPr>
          <w:trHeight w:val="42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bookmarkStart w:id="9" w:name="OLE_LINK36"/>
            <w:bookmarkStart w:id="10" w:name="OLE_LINK37"/>
            <w:r w:rsidRPr="00A93124">
              <w:rPr>
                <w:sz w:val="18"/>
                <w:szCs w:val="18"/>
                <w:lang w:val="en-GB"/>
              </w:rPr>
              <w:t>cLog2CUSize = = 3 &amp;&amp; </w:t>
            </w:r>
            <w:r w:rsidRPr="00A93124">
              <w:rPr>
                <w:sz w:val="18"/>
                <w:szCs w:val="18"/>
                <w:lang w:val="en-GB"/>
              </w:rPr>
              <w:br/>
              <w:t>!inter_4x4_enabled_flag</w:t>
            </w:r>
            <w:r w:rsidRPr="00A93124">
              <w:rPr>
                <w:sz w:val="18"/>
                <w:szCs w:val="18"/>
              </w:rPr>
              <w:t xml:space="preserve"> </w:t>
            </w:r>
            <w:bookmarkEnd w:id="9"/>
            <w:bookmarkEnd w:id="10"/>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cLog2CUSize &gt; 3 | | </w:t>
            </w:r>
            <w:r w:rsidRPr="00A93124">
              <w:rPr>
                <w:sz w:val="18"/>
                <w:szCs w:val="18"/>
                <w:lang w:val="en-GB"/>
              </w:rPr>
              <w:br/>
              <w:t>inter_4x4_enabled_flag</w:t>
            </w:r>
            <w:r w:rsidRPr="00A93124">
              <w:rPr>
                <w:sz w:val="18"/>
                <w:szCs w:val="18"/>
              </w:rPr>
              <w:t xml:space="preserve"> </w:t>
            </w:r>
          </w:p>
        </w:tc>
      </w:tr>
      <w:tr w:rsidR="00A93124" w:rsidRPr="00A93124" w:rsidTr="00A93124">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I</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w:t>
            </w:r>
            <w:r w:rsidRPr="00A93124">
              <w:rPr>
                <w:sz w:val="18"/>
                <w:szCs w:val="18"/>
              </w:rPr>
              <w:t xml:space="preserve"> </w:t>
            </w:r>
          </w:p>
        </w:tc>
      </w:tr>
      <w:tr w:rsidR="00A93124" w:rsidRPr="00A93124" w:rsidTr="00A93124">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0 011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2</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4</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PART_2NxnU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0 0100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5</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PART_2NxnD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0 0101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6</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PART_nLx2N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7</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PART_nRx2N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3</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0 000</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4</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5</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10</w:t>
            </w:r>
            <w:r w:rsidRPr="00A93124">
              <w:rPr>
                <w:sz w:val="18"/>
                <w:szCs w:val="18"/>
              </w:rPr>
              <w:t xml:space="preserve"> </w:t>
            </w:r>
          </w:p>
        </w:tc>
      </w:tr>
      <w:tr w:rsidR="00A93124" w:rsidRPr="00A93124" w:rsidTr="00A93124">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B</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011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2</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4</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PART_2NxnU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0100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5</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 xml:space="preserve">PART_2NxnD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0101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6</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PART_nLx2N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7</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PART_nRx2N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3</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MODE_INTER</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0001</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4</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PART_2Nx2N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000 0</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0000 0</w:t>
            </w:r>
            <w:r w:rsidRPr="00A93124">
              <w:rPr>
                <w:sz w:val="18"/>
                <w:szCs w:val="18"/>
              </w:rPr>
              <w:t xml:space="preserve"> </w:t>
            </w:r>
          </w:p>
        </w:tc>
      </w:tr>
      <w:tr w:rsidR="00A93124" w:rsidRPr="00A93124" w:rsidTr="00A93124">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93124" w:rsidRPr="00A93124" w:rsidRDefault="00A93124" w:rsidP="00A93124">
            <w:pPr>
              <w:jc w:val="both"/>
              <w:rPr>
                <w:sz w:val="18"/>
                <w:szCs w:val="1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5</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MODE_INTRA</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vAlign w:val="center"/>
            <w:hideMark/>
          </w:tcPr>
          <w:p w:rsidR="00F71707" w:rsidRPr="00A93124" w:rsidRDefault="00A93124" w:rsidP="00A93124">
            <w:pPr>
              <w:jc w:val="both"/>
              <w:rPr>
                <w:sz w:val="18"/>
                <w:szCs w:val="18"/>
              </w:rPr>
            </w:pPr>
            <w:r w:rsidRPr="00A93124">
              <w:rPr>
                <w:sz w:val="18"/>
                <w:szCs w:val="18"/>
                <w:lang w:val="en-GB"/>
              </w:rPr>
              <w:t>PART_NxN</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000 1</w:t>
            </w:r>
            <w:r w:rsidRPr="00A93124">
              <w:rPr>
                <w:sz w:val="18"/>
                <w:szCs w:val="18"/>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86" w:type="dxa"/>
              <w:bottom w:w="0" w:type="dxa"/>
              <w:right w:w="86" w:type="dxa"/>
            </w:tcMar>
            <w:hideMark/>
          </w:tcPr>
          <w:p w:rsidR="00F71707" w:rsidRPr="00A93124" w:rsidRDefault="00A93124" w:rsidP="00A93124">
            <w:pPr>
              <w:jc w:val="both"/>
              <w:rPr>
                <w:sz w:val="18"/>
                <w:szCs w:val="18"/>
              </w:rPr>
            </w:pPr>
            <w:r w:rsidRPr="00A93124">
              <w:rPr>
                <w:sz w:val="18"/>
                <w:szCs w:val="18"/>
                <w:lang w:val="en-GB"/>
              </w:rPr>
              <w:t>0000 1</w:t>
            </w:r>
            <w:r w:rsidRPr="00A93124">
              <w:rPr>
                <w:sz w:val="18"/>
                <w:szCs w:val="18"/>
              </w:rPr>
              <w:t xml:space="preserve"> </w:t>
            </w:r>
          </w:p>
        </w:tc>
      </w:tr>
      <w:bookmarkEnd w:id="7"/>
      <w:bookmarkEnd w:id="8"/>
    </w:tbl>
    <w:p w:rsidR="00A93124" w:rsidRDefault="00A93124" w:rsidP="00C35A96">
      <w:pPr>
        <w:jc w:val="both"/>
        <w:rPr>
          <w:szCs w:val="22"/>
        </w:rPr>
      </w:pPr>
    </w:p>
    <w:p w:rsidR="00A93124" w:rsidRDefault="00A93124" w:rsidP="00C35A96">
      <w:pPr>
        <w:jc w:val="both"/>
        <w:rPr>
          <w:szCs w:val="22"/>
        </w:rPr>
      </w:pPr>
    </w:p>
    <w:p w:rsidR="00B7649F" w:rsidRDefault="00B7649F" w:rsidP="00B7649F">
      <w:pPr>
        <w:pStyle w:val="Heading1"/>
        <w:tabs>
          <w:tab w:val="clear" w:pos="720"/>
        </w:tabs>
        <w:ind w:left="432" w:hanging="432"/>
        <w:jc w:val="both"/>
        <w:rPr>
          <w:lang w:eastAsia="ja-JP"/>
        </w:rPr>
      </w:pPr>
      <w:r>
        <w:rPr>
          <w:lang w:eastAsia="ja-JP"/>
        </w:rPr>
        <w:t xml:space="preserve">Proposed </w:t>
      </w:r>
      <w:r w:rsidR="00541E62">
        <w:rPr>
          <w:lang w:eastAsia="ja-JP"/>
        </w:rPr>
        <w:t>Bug Fix</w:t>
      </w:r>
    </w:p>
    <w:p w:rsidR="00642C56" w:rsidRDefault="00B7649F" w:rsidP="00C35A96">
      <w:pPr>
        <w:jc w:val="both"/>
        <w:rPr>
          <w:szCs w:val="22"/>
        </w:rPr>
      </w:pPr>
      <w:r>
        <w:rPr>
          <w:szCs w:val="22"/>
        </w:rPr>
        <w:t xml:space="preserve">In this contribution, </w:t>
      </w:r>
      <w:r w:rsidR="00951C61">
        <w:rPr>
          <w:szCs w:val="22"/>
        </w:rPr>
        <w:t xml:space="preserve">we report a bug fix, which is regard to a mismatch between </w:t>
      </w:r>
      <w:r w:rsidR="00642C56">
        <w:rPr>
          <w:szCs w:val="22"/>
        </w:rPr>
        <w:t xml:space="preserve">the WD [1] and HM4.0 software [2]. In WD, when the “PredMode” is MODE_INTER and the “PartMode” is PART_Nx2N in situations when “cLog2CUSize = = 3 &amp;&amp; </w:t>
      </w:r>
      <w:r w:rsidR="00642C56" w:rsidRPr="00642C56">
        <w:rPr>
          <w:szCs w:val="22"/>
        </w:rPr>
        <w:t>!inter_4x4_enabled_flag</w:t>
      </w:r>
      <w:r w:rsidR="00642C56">
        <w:rPr>
          <w:szCs w:val="22"/>
        </w:rPr>
        <w:t>” or AMP (Asymmetric Motion Partitioning) is not used, the binarization is “000”. However in HM4.0, the binarization is found to be “0001”. We fixed this bug in HM4.0 to match WD. Results are reported in Table 3.</w:t>
      </w:r>
    </w:p>
    <w:p w:rsidR="00642C56" w:rsidRDefault="00642C56" w:rsidP="00A62F2A">
      <w:pPr>
        <w:pStyle w:val="Heading1"/>
        <w:tabs>
          <w:tab w:val="clear" w:pos="720"/>
        </w:tabs>
        <w:ind w:left="432" w:hanging="432"/>
        <w:jc w:val="both"/>
        <w:rPr>
          <w:lang w:eastAsia="ja-JP"/>
        </w:rPr>
      </w:pPr>
      <w:r>
        <w:rPr>
          <w:lang w:eastAsia="ja-JP"/>
        </w:rPr>
        <w:t>Proposed unification for prediction and partition mode binarization for Low Delay P and B</w:t>
      </w:r>
    </w:p>
    <w:p w:rsidR="00642C56" w:rsidRDefault="00642C56" w:rsidP="00642C56">
      <w:pPr>
        <w:rPr>
          <w:lang w:eastAsia="ja-JP"/>
        </w:rPr>
      </w:pPr>
      <w:r>
        <w:rPr>
          <w:lang w:eastAsia="ja-JP"/>
        </w:rPr>
        <w:t xml:space="preserve">In </w:t>
      </w:r>
      <w:r w:rsidR="00F71707">
        <w:rPr>
          <w:lang w:eastAsia="ja-JP"/>
        </w:rPr>
        <w:t>this contribution, we propose to unify the binarization for prediction and parti</w:t>
      </w:r>
      <w:r w:rsidR="00FF5B28">
        <w:rPr>
          <w:lang w:eastAsia="ja-JP"/>
        </w:rPr>
        <w:t>tion mode for Low Delay P and B. That is, to use the binarization described in current WD to both Low Delay P and B, as shown in Table 2.</w:t>
      </w:r>
      <w:r w:rsidR="00F71707">
        <w:rPr>
          <w:lang w:eastAsia="ja-JP"/>
        </w:rPr>
        <w:t xml:space="preserve"> Hence, both WD and HM (encoding and decoding procedures) can be simplified with negligible effect on coding efficiency. Results are reported in Table 4.</w:t>
      </w:r>
    </w:p>
    <w:p w:rsidR="00642C56" w:rsidRDefault="00642C56" w:rsidP="00642C56">
      <w:pPr>
        <w:rPr>
          <w:lang w:eastAsia="ja-JP"/>
        </w:rPr>
      </w:pPr>
    </w:p>
    <w:p w:rsidR="00642C56" w:rsidRDefault="00642C56" w:rsidP="00642C56">
      <w:pPr>
        <w:spacing w:before="120" w:after="120"/>
        <w:jc w:val="center"/>
        <w:rPr>
          <w:bCs/>
          <w:szCs w:val="22"/>
        </w:rPr>
      </w:pPr>
      <w:r>
        <w:rPr>
          <w:bCs/>
          <w:szCs w:val="22"/>
        </w:rPr>
        <w:t>Table 2 Proposed prediction and partition mode binarization.</w:t>
      </w:r>
    </w:p>
    <w:tbl>
      <w:tblPr>
        <w:tblW w:w="0" w:type="auto"/>
        <w:jc w:val="center"/>
        <w:tblCellMar>
          <w:left w:w="0" w:type="dxa"/>
          <w:right w:w="0" w:type="dxa"/>
        </w:tblCellMar>
        <w:tblLook w:val="04A0"/>
      </w:tblPr>
      <w:tblGrid>
        <w:gridCol w:w="592"/>
        <w:gridCol w:w="1061"/>
        <w:gridCol w:w="1342"/>
        <w:gridCol w:w="1253"/>
        <w:gridCol w:w="1412"/>
        <w:gridCol w:w="1990"/>
        <w:gridCol w:w="1882"/>
      </w:tblGrid>
      <w:tr w:rsidR="00642C56" w:rsidTr="00642C56">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b/>
                <w:bCs/>
                <w:sz w:val="18"/>
                <w:szCs w:val="18"/>
                <w:lang w:val="en-GB"/>
              </w:rPr>
              <w:t>Slice type</w:t>
            </w:r>
            <w:r>
              <w:rPr>
                <w:sz w:val="18"/>
                <w:szCs w:val="18"/>
                <w:lang w:val="en-GB"/>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b/>
                <w:bCs/>
                <w:sz w:val="18"/>
                <w:szCs w:val="18"/>
                <w:lang w:val="en-GB"/>
              </w:rPr>
              <w:t>Value of pred_type</w:t>
            </w:r>
            <w:r>
              <w:rPr>
                <w:sz w:val="18"/>
                <w:szCs w:val="18"/>
                <w:lang w:val="en-GB"/>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b/>
                <w:bCs/>
                <w:sz w:val="18"/>
                <w:szCs w:val="18"/>
                <w:lang w:val="en-GB"/>
              </w:rPr>
              <w:t>PredMode</w:t>
            </w:r>
            <w:r>
              <w:rPr>
                <w:sz w:val="18"/>
                <w:szCs w:val="18"/>
                <w:lang w:val="en-GB"/>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b/>
                <w:bCs/>
                <w:sz w:val="18"/>
                <w:szCs w:val="18"/>
                <w:lang w:val="en-GB"/>
              </w:rPr>
              <w:t>PartMode</w:t>
            </w:r>
            <w:r>
              <w:rPr>
                <w:sz w:val="18"/>
                <w:szCs w:val="18"/>
                <w:lang w:val="en-GB"/>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b/>
                <w:bCs/>
                <w:sz w:val="18"/>
                <w:szCs w:val="18"/>
                <w:lang w:val="en-GB"/>
              </w:rPr>
              <w:t>Bin string</w:t>
            </w:r>
            <w:r>
              <w:rPr>
                <w:sz w:val="18"/>
                <w:szCs w:val="18"/>
                <w:lang w:val="en-GB"/>
              </w:rPr>
              <w:t xml:space="preserve">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cLog2CUSize &gt; </w:t>
            </w:r>
            <w:r>
              <w:rPr>
                <w:sz w:val="18"/>
                <w:szCs w:val="18"/>
                <w:lang w:val="en-GB"/>
              </w:rPr>
              <w:br/>
              <w:t xml:space="preserve">Log2MinCUSize </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cLog2CUSize = = Log2MinCUSize </w:t>
            </w:r>
          </w:p>
        </w:tc>
      </w:tr>
      <w:tr w:rsidR="00642C56" w:rsidTr="00642C56">
        <w:trPr>
          <w:trHeight w:val="42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cLog2CUSize = = 3 &amp;&amp; </w:t>
            </w:r>
            <w:r>
              <w:rPr>
                <w:sz w:val="18"/>
                <w:szCs w:val="18"/>
                <w:lang w:val="en-GB"/>
              </w:rPr>
              <w:br/>
              <w:t xml:space="preserve">!inter_4x4_enabled_flag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cLog2CUSize &gt; 3 | | </w:t>
            </w:r>
            <w:r>
              <w:rPr>
                <w:sz w:val="18"/>
                <w:szCs w:val="18"/>
                <w:lang w:val="en-GB"/>
              </w:rPr>
              <w:br/>
              <w:t xml:space="preserve">inter_4x4_enabled_flag </w:t>
            </w:r>
          </w:p>
        </w:tc>
      </w:tr>
      <w:tr w:rsidR="00642C56" w:rsidTr="00642C56">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I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MODE_INTRA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MODE_INTRA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PART_NxN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 </w:t>
            </w:r>
          </w:p>
        </w:tc>
      </w:tr>
      <w:tr w:rsidR="00642C56" w:rsidTr="00642C56">
        <w:trPr>
          <w:trHeight w:val="265"/>
          <w:jc w:val="center"/>
        </w:trPr>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P/B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011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01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2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001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4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PART_2NxnU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0100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5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PART_2NxnD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0101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6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PART_nLx2N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7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PART_nRx2N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3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MODE_INTER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PART_NxN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0001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4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MODE_INTRA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PART_2Nx2N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000 0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0000 0 </w:t>
            </w:r>
          </w:p>
        </w:tc>
      </w:tr>
      <w:tr w:rsidR="00642C56" w:rsidTr="00642C56">
        <w:trPr>
          <w:trHeight w:val="2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42C56" w:rsidRDefault="00642C56">
            <w:pPr>
              <w:rPr>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5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MODE_INTRA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hideMark/>
          </w:tcPr>
          <w:p w:rsidR="00642C56" w:rsidRDefault="00642C56">
            <w:pPr>
              <w:jc w:val="both"/>
              <w:rPr>
                <w:sz w:val="18"/>
                <w:szCs w:val="18"/>
              </w:rPr>
            </w:pPr>
            <w:r>
              <w:rPr>
                <w:sz w:val="18"/>
                <w:szCs w:val="18"/>
                <w:lang w:val="en-GB"/>
              </w:rPr>
              <w:t xml:space="preserve">PART_NxN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000 1 </w:t>
            </w:r>
          </w:p>
        </w:tc>
        <w:tc>
          <w:tcPr>
            <w:tcW w:w="0" w:type="auto"/>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hideMark/>
          </w:tcPr>
          <w:p w:rsidR="00642C56" w:rsidRDefault="00642C56">
            <w:pPr>
              <w:jc w:val="both"/>
              <w:rPr>
                <w:sz w:val="18"/>
                <w:szCs w:val="18"/>
              </w:rPr>
            </w:pPr>
            <w:r>
              <w:rPr>
                <w:sz w:val="18"/>
                <w:szCs w:val="18"/>
                <w:lang w:val="en-GB"/>
              </w:rPr>
              <w:t xml:space="preserve">0000 1 </w:t>
            </w:r>
          </w:p>
        </w:tc>
      </w:tr>
    </w:tbl>
    <w:p w:rsidR="00642C56" w:rsidRDefault="00642C56" w:rsidP="00642C56">
      <w:pPr>
        <w:rPr>
          <w:lang w:eastAsia="ja-JP"/>
        </w:rPr>
      </w:pPr>
    </w:p>
    <w:p w:rsidR="00642C56" w:rsidRPr="00642C56" w:rsidRDefault="00642C56" w:rsidP="00642C56">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A62F2A" w:rsidRPr="00DA76D9" w:rsidRDefault="00D4574D" w:rsidP="00FF5B28">
      <w:pPr>
        <w:jc w:val="both"/>
        <w:rPr>
          <w:szCs w:val="22"/>
          <w:lang w:eastAsia="zh-TW"/>
        </w:rPr>
      </w:pPr>
      <w:bookmarkStart w:id="11" w:name="_Ref267066081"/>
      <w:bookmarkStart w:id="12" w:name="_Ref267066072"/>
      <w:r>
        <w:rPr>
          <w:szCs w:val="22"/>
          <w:lang w:eastAsia="zh-TW"/>
        </w:rPr>
        <w:t>Simulations were conducted following common tes</w:t>
      </w:r>
      <w:r w:rsidR="00D05C77">
        <w:rPr>
          <w:szCs w:val="22"/>
          <w:lang w:eastAsia="zh-TW"/>
        </w:rPr>
        <w:t>t conditions defined in JCTVC-F9</w:t>
      </w:r>
      <w:r>
        <w:rPr>
          <w:szCs w:val="22"/>
          <w:lang w:eastAsia="zh-TW"/>
        </w:rPr>
        <w:t>0</w:t>
      </w:r>
      <w:r w:rsidR="008859F0">
        <w:rPr>
          <w:szCs w:val="22"/>
          <w:lang w:eastAsia="zh-TW"/>
        </w:rPr>
        <w:t xml:space="preserve">0 </w:t>
      </w:r>
      <w:r w:rsidR="00771648">
        <w:rPr>
          <w:szCs w:val="22"/>
          <w:lang w:eastAsia="zh-TW"/>
        </w:rPr>
        <w:fldChar w:fldCharType="begin"/>
      </w:r>
      <w:r>
        <w:rPr>
          <w:szCs w:val="22"/>
          <w:lang w:eastAsia="zh-TW"/>
        </w:rPr>
        <w:instrText xml:space="preserve"> REF _Ref282447806 \r \h </w:instrText>
      </w:r>
      <w:r w:rsidR="00771648">
        <w:rPr>
          <w:szCs w:val="22"/>
          <w:lang w:eastAsia="zh-TW"/>
        </w:rPr>
      </w:r>
      <w:r w:rsidR="00771648">
        <w:rPr>
          <w:szCs w:val="22"/>
          <w:lang w:eastAsia="zh-TW"/>
        </w:rPr>
        <w:fldChar w:fldCharType="separate"/>
      </w:r>
      <w:r w:rsidR="00D90267">
        <w:rPr>
          <w:szCs w:val="22"/>
          <w:lang w:eastAsia="zh-TW"/>
        </w:rPr>
        <w:t>[3</w:t>
      </w:r>
      <w:r>
        <w:rPr>
          <w:szCs w:val="22"/>
          <w:lang w:eastAsia="zh-TW"/>
        </w:rPr>
        <w:t>]</w:t>
      </w:r>
      <w:r w:rsidR="00771648">
        <w:rPr>
          <w:szCs w:val="22"/>
          <w:lang w:eastAsia="zh-TW"/>
        </w:rPr>
        <w:fldChar w:fldCharType="end"/>
      </w:r>
      <w:r>
        <w:rPr>
          <w:szCs w:val="22"/>
          <w:lang w:eastAsia="zh-TW"/>
        </w:rPr>
        <w:t>.</w:t>
      </w:r>
      <w:r w:rsidR="00A468D1">
        <w:rPr>
          <w:szCs w:val="22"/>
          <w:lang w:eastAsia="zh-TW"/>
        </w:rPr>
        <w:t xml:space="preserve"> Anchor data was generated using HM4.0 software [2].</w:t>
      </w:r>
      <w:r>
        <w:rPr>
          <w:szCs w:val="22"/>
          <w:lang w:eastAsia="zh-TW"/>
        </w:rPr>
        <w:t xml:space="preserve"> Results </w:t>
      </w:r>
      <w:r w:rsidR="00D90267">
        <w:rPr>
          <w:szCs w:val="22"/>
          <w:lang w:eastAsia="zh-TW"/>
        </w:rPr>
        <w:t>for bug fix described in Section 2 and the proposed unification method described in Section 3 are reported in Table 3 and Table 4</w:t>
      </w:r>
      <w:r w:rsidR="00472A06">
        <w:rPr>
          <w:szCs w:val="22"/>
          <w:lang w:eastAsia="zh-TW"/>
        </w:rPr>
        <w:t>, respectively.</w:t>
      </w:r>
    </w:p>
    <w:p w:rsidR="006D1516" w:rsidRDefault="006D1516" w:rsidP="00A62F2A">
      <w:pPr>
        <w:rPr>
          <w:szCs w:val="22"/>
        </w:rPr>
      </w:pPr>
      <w:bookmarkStart w:id="13" w:name="OLE_LINK18"/>
      <w:bookmarkStart w:id="14" w:name="OLE_LINK19"/>
      <w:bookmarkEnd w:id="11"/>
      <w:bookmarkEnd w:id="12"/>
    </w:p>
    <w:p w:rsidR="00A468D1" w:rsidRPr="00A468D1" w:rsidRDefault="00FF5B28" w:rsidP="00A468D1">
      <w:pPr>
        <w:spacing w:before="120" w:after="120"/>
        <w:jc w:val="center"/>
        <w:rPr>
          <w:bCs/>
          <w:szCs w:val="22"/>
        </w:rPr>
      </w:pPr>
      <w:r>
        <w:rPr>
          <w:bCs/>
          <w:szCs w:val="22"/>
        </w:rPr>
        <w:t>Table 3</w:t>
      </w:r>
      <w:r w:rsidR="00A468D1">
        <w:rPr>
          <w:bCs/>
          <w:szCs w:val="22"/>
        </w:rPr>
        <w:t xml:space="preserve"> Results for </w:t>
      </w:r>
      <w:r w:rsidR="00502306">
        <w:rPr>
          <w:bCs/>
          <w:szCs w:val="22"/>
        </w:rPr>
        <w:t>fixing WD-HM mismatch</w:t>
      </w:r>
      <w:r w:rsidR="00A468D1">
        <w:rPr>
          <w:bCs/>
          <w:szCs w:val="22"/>
        </w:rPr>
        <w:t>.</w:t>
      </w:r>
    </w:p>
    <w:bookmarkEnd w:id="13"/>
    <w:bookmarkEnd w:id="14"/>
    <w:tbl>
      <w:tblPr>
        <w:tblW w:w="6705" w:type="dxa"/>
        <w:jc w:val="center"/>
        <w:tblCellMar>
          <w:left w:w="0" w:type="dxa"/>
          <w:right w:w="0" w:type="dxa"/>
        </w:tblCellMar>
        <w:tblLook w:val="04A0"/>
      </w:tblPr>
      <w:tblGrid>
        <w:gridCol w:w="1931"/>
        <w:gridCol w:w="1591"/>
        <w:gridCol w:w="1591"/>
        <w:gridCol w:w="1592"/>
      </w:tblGrid>
      <w:tr w:rsidR="00FF5B28" w:rsidTr="00FF5B28">
        <w:trPr>
          <w:trHeight w:val="271"/>
          <w:jc w:val="center"/>
        </w:trPr>
        <w:tc>
          <w:tcPr>
            <w:tcW w:w="1931"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rPr>
                <w:rFonts w:ascii="Arial" w:hAnsi="Arial" w:cs="Arial"/>
                <w:sz w:val="34"/>
                <w:szCs w:val="36"/>
              </w:rPr>
            </w:pPr>
          </w:p>
        </w:tc>
        <w:tc>
          <w:tcPr>
            <w:tcW w:w="4774"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b/>
                <w:bCs/>
                <w:color w:val="000000"/>
                <w:kern w:val="24"/>
              </w:rPr>
              <w:t>Low delay P HE</w:t>
            </w:r>
          </w:p>
        </w:tc>
      </w:tr>
      <w:tr w:rsidR="00FF5B28" w:rsidTr="00FF5B28">
        <w:trPr>
          <w:trHeight w:val="271"/>
          <w:jc w:val="center"/>
        </w:trPr>
        <w:tc>
          <w:tcPr>
            <w:tcW w:w="1931"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rPr>
                <w:rFonts w:ascii="Arial" w:hAnsi="Arial" w:cs="Arial"/>
                <w:sz w:val="34"/>
                <w:szCs w:val="36"/>
              </w:rPr>
            </w:pPr>
          </w:p>
        </w:tc>
        <w:tc>
          <w:tcPr>
            <w:tcW w:w="1591"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Y</w:t>
            </w:r>
          </w:p>
        </w:tc>
        <w:tc>
          <w:tcPr>
            <w:tcW w:w="1591"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U</w:t>
            </w:r>
          </w:p>
        </w:tc>
        <w:tc>
          <w:tcPr>
            <w:tcW w:w="1591"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V</w:t>
            </w:r>
          </w:p>
        </w:tc>
      </w:tr>
      <w:tr w:rsidR="00FF5B28" w:rsidTr="00FF5B28">
        <w:trPr>
          <w:trHeight w:val="271"/>
          <w:jc w:val="center"/>
        </w:trPr>
        <w:tc>
          <w:tcPr>
            <w:tcW w:w="1931"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A</w:t>
            </w:r>
          </w:p>
        </w:tc>
        <w:tc>
          <w:tcPr>
            <w:tcW w:w="1591" w:type="dxa"/>
            <w:tcBorders>
              <w:top w:val="single" w:sz="8" w:space="0" w:color="000000"/>
              <w:left w:val="single" w:sz="8" w:space="0" w:color="000000"/>
              <w:bottom w:val="nil"/>
              <w:right w:val="nil"/>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c>
          <w:tcPr>
            <w:tcW w:w="1591" w:type="dxa"/>
            <w:tcBorders>
              <w:top w:val="single" w:sz="8" w:space="0" w:color="000000"/>
              <w:left w:val="nil"/>
              <w:bottom w:val="nil"/>
              <w:right w:val="nil"/>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c>
          <w:tcPr>
            <w:tcW w:w="1591" w:type="dxa"/>
            <w:tcBorders>
              <w:top w:val="single" w:sz="8" w:space="0" w:color="000000"/>
              <w:left w:val="nil"/>
              <w:bottom w:val="nil"/>
              <w:right w:val="single" w:sz="8" w:space="0" w:color="000000"/>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r>
      <w:tr w:rsidR="00FF5B28" w:rsidTr="00FF5B28">
        <w:trPr>
          <w:trHeight w:val="271"/>
          <w:jc w:val="center"/>
        </w:trPr>
        <w:tc>
          <w:tcPr>
            <w:tcW w:w="1931"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B</w:t>
            </w:r>
          </w:p>
        </w:tc>
        <w:tc>
          <w:tcPr>
            <w:tcW w:w="1591"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271"/>
          <w:jc w:val="center"/>
        </w:trPr>
        <w:tc>
          <w:tcPr>
            <w:tcW w:w="1931"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C</w:t>
            </w:r>
          </w:p>
        </w:tc>
        <w:tc>
          <w:tcPr>
            <w:tcW w:w="1591"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271"/>
          <w:jc w:val="center"/>
        </w:trPr>
        <w:tc>
          <w:tcPr>
            <w:tcW w:w="1931"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D</w:t>
            </w:r>
          </w:p>
        </w:tc>
        <w:tc>
          <w:tcPr>
            <w:tcW w:w="1591"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-0.3%</w:t>
            </w:r>
          </w:p>
        </w:tc>
        <w:tc>
          <w:tcPr>
            <w:tcW w:w="1591"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r>
      <w:tr w:rsidR="00FF5B28" w:rsidTr="00FF5B28">
        <w:trPr>
          <w:trHeight w:val="271"/>
          <w:jc w:val="center"/>
        </w:trPr>
        <w:tc>
          <w:tcPr>
            <w:tcW w:w="1931"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E</w:t>
            </w:r>
          </w:p>
        </w:tc>
        <w:tc>
          <w:tcPr>
            <w:tcW w:w="1591"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c>
          <w:tcPr>
            <w:tcW w:w="1591"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0.4%</w:t>
            </w:r>
          </w:p>
        </w:tc>
      </w:tr>
      <w:tr w:rsidR="00FF5B28" w:rsidTr="00FF5B28">
        <w:trPr>
          <w:trHeight w:val="271"/>
          <w:jc w:val="center"/>
        </w:trPr>
        <w:tc>
          <w:tcPr>
            <w:tcW w:w="1931"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b/>
                <w:bCs/>
                <w:color w:val="000000"/>
                <w:kern w:val="24"/>
              </w:rPr>
              <w:t>Overall</w:t>
            </w:r>
          </w:p>
        </w:tc>
        <w:tc>
          <w:tcPr>
            <w:tcW w:w="1591"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1"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c>
          <w:tcPr>
            <w:tcW w:w="1591"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271"/>
          <w:jc w:val="center"/>
        </w:trPr>
        <w:tc>
          <w:tcPr>
            <w:tcW w:w="1931"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 </w:t>
            </w:r>
          </w:p>
        </w:tc>
        <w:tc>
          <w:tcPr>
            <w:tcW w:w="1591"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0.0%</w:t>
            </w:r>
          </w:p>
        </w:tc>
        <w:tc>
          <w:tcPr>
            <w:tcW w:w="1591"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-0.1%</w:t>
            </w:r>
          </w:p>
        </w:tc>
        <w:tc>
          <w:tcPr>
            <w:tcW w:w="1591"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0.1%</w:t>
            </w:r>
          </w:p>
        </w:tc>
      </w:tr>
      <w:tr w:rsidR="00FF5B28" w:rsidTr="00FF5B28">
        <w:trPr>
          <w:trHeight w:val="529"/>
          <w:jc w:val="center"/>
        </w:trPr>
        <w:tc>
          <w:tcPr>
            <w:tcW w:w="1931"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textAlignment w:val="bottom"/>
              <w:rPr>
                <w:rFonts w:ascii="Arial" w:hAnsi="Arial" w:cs="Arial"/>
                <w:sz w:val="36"/>
                <w:szCs w:val="36"/>
              </w:rPr>
            </w:pPr>
            <w:r>
              <w:rPr>
                <w:rFonts w:ascii="Arial" w:eastAsia="DFKai-SB" w:hAnsi="Arial" w:cs="Arial"/>
                <w:color w:val="000000"/>
                <w:kern w:val="24"/>
              </w:rPr>
              <w:t>Enc Time[%]</w:t>
            </w:r>
          </w:p>
        </w:tc>
        <w:tc>
          <w:tcPr>
            <w:tcW w:w="4774"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jc w:val="center"/>
              <w:textAlignment w:val="bottom"/>
              <w:rPr>
                <w:rFonts w:ascii="Arial" w:hAnsi="Arial" w:cs="Arial"/>
                <w:sz w:val="36"/>
                <w:szCs w:val="36"/>
              </w:rPr>
            </w:pPr>
            <w:r>
              <w:rPr>
                <w:rFonts w:ascii="Arial" w:eastAsia="DFKai-SB" w:hAnsi="Arial" w:cs="Arial"/>
                <w:color w:val="000000"/>
                <w:kern w:val="24"/>
              </w:rPr>
              <w:t xml:space="preserve">100% </w:t>
            </w:r>
          </w:p>
        </w:tc>
      </w:tr>
      <w:tr w:rsidR="00FF5B28" w:rsidTr="00FF5B28">
        <w:trPr>
          <w:trHeight w:val="529"/>
          <w:jc w:val="center"/>
        </w:trPr>
        <w:tc>
          <w:tcPr>
            <w:tcW w:w="1931"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textAlignment w:val="bottom"/>
              <w:rPr>
                <w:rFonts w:ascii="Arial" w:hAnsi="Arial" w:cs="Arial"/>
                <w:sz w:val="36"/>
                <w:szCs w:val="36"/>
              </w:rPr>
            </w:pPr>
            <w:r>
              <w:rPr>
                <w:rFonts w:ascii="Arial" w:eastAsia="DFKai-SB" w:hAnsi="Arial" w:cs="Arial"/>
                <w:color w:val="000000"/>
                <w:kern w:val="24"/>
              </w:rPr>
              <w:t>Dec Time[%]</w:t>
            </w:r>
          </w:p>
        </w:tc>
        <w:tc>
          <w:tcPr>
            <w:tcW w:w="4774" w:type="dxa"/>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jc w:val="center"/>
              <w:textAlignment w:val="bottom"/>
              <w:rPr>
                <w:rFonts w:ascii="Arial" w:hAnsi="Arial" w:cs="Arial"/>
                <w:sz w:val="36"/>
                <w:szCs w:val="36"/>
              </w:rPr>
            </w:pPr>
            <w:r>
              <w:rPr>
                <w:rFonts w:ascii="Arial" w:eastAsia="DFKai-SB" w:hAnsi="Arial" w:cs="Arial"/>
                <w:color w:val="000000"/>
                <w:kern w:val="24"/>
              </w:rPr>
              <w:t xml:space="preserve">100% </w:t>
            </w:r>
          </w:p>
        </w:tc>
      </w:tr>
    </w:tbl>
    <w:p w:rsidR="00DA76D9" w:rsidRDefault="00DA76D9" w:rsidP="00D17102">
      <w:pPr>
        <w:jc w:val="center"/>
        <w:rPr>
          <w:lang w:eastAsia="ko-KR"/>
        </w:rPr>
      </w:pPr>
    </w:p>
    <w:p w:rsidR="005E761F" w:rsidRDefault="005E761F" w:rsidP="005E761F">
      <w:pPr>
        <w:rPr>
          <w:szCs w:val="22"/>
        </w:rPr>
      </w:pPr>
    </w:p>
    <w:p w:rsidR="005E761F" w:rsidRDefault="00FF5B28" w:rsidP="005E761F">
      <w:pPr>
        <w:spacing w:before="120" w:after="120"/>
        <w:jc w:val="center"/>
        <w:rPr>
          <w:bCs/>
          <w:szCs w:val="22"/>
        </w:rPr>
      </w:pPr>
      <w:bookmarkStart w:id="15" w:name="OLE_LINK20"/>
      <w:bookmarkStart w:id="16" w:name="OLE_LINK21"/>
      <w:r>
        <w:rPr>
          <w:bCs/>
          <w:szCs w:val="22"/>
        </w:rPr>
        <w:t>Table 4</w:t>
      </w:r>
      <w:r w:rsidR="005E761F">
        <w:rPr>
          <w:bCs/>
          <w:szCs w:val="22"/>
        </w:rPr>
        <w:t xml:space="preserve"> Results for </w:t>
      </w:r>
      <w:r w:rsidR="00502306">
        <w:rPr>
          <w:bCs/>
          <w:szCs w:val="22"/>
        </w:rPr>
        <w:t xml:space="preserve">the </w:t>
      </w:r>
      <w:r w:rsidR="005E761F">
        <w:rPr>
          <w:bCs/>
          <w:szCs w:val="22"/>
        </w:rPr>
        <w:t xml:space="preserve">proposed </w:t>
      </w:r>
      <w:r w:rsidR="00502306">
        <w:rPr>
          <w:bCs/>
          <w:szCs w:val="22"/>
        </w:rPr>
        <w:t>unification for Low Delay P and B</w:t>
      </w:r>
      <w:r w:rsidR="005E761F">
        <w:rPr>
          <w:bCs/>
          <w:szCs w:val="22"/>
        </w:rPr>
        <w:t>.</w:t>
      </w:r>
    </w:p>
    <w:bookmarkEnd w:id="15"/>
    <w:bookmarkEnd w:id="16"/>
    <w:tbl>
      <w:tblPr>
        <w:tblW w:w="6720" w:type="dxa"/>
        <w:jc w:val="center"/>
        <w:tblCellMar>
          <w:left w:w="0" w:type="dxa"/>
          <w:right w:w="0" w:type="dxa"/>
        </w:tblCellMar>
        <w:tblLook w:val="04A0"/>
      </w:tblPr>
      <w:tblGrid>
        <w:gridCol w:w="1935"/>
        <w:gridCol w:w="1595"/>
        <w:gridCol w:w="1595"/>
        <w:gridCol w:w="1595"/>
      </w:tblGrid>
      <w:tr w:rsidR="00FF5B28" w:rsidTr="00FF5B28">
        <w:trPr>
          <w:trHeight w:val="314"/>
          <w:jc w:val="center"/>
        </w:trPr>
        <w:tc>
          <w:tcPr>
            <w:tcW w:w="1935"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rPr>
                <w:rFonts w:ascii="Arial" w:hAnsi="Arial" w:cs="Arial"/>
                <w:sz w:val="34"/>
                <w:szCs w:val="36"/>
              </w:rPr>
            </w:pPr>
          </w:p>
        </w:tc>
        <w:tc>
          <w:tcPr>
            <w:tcW w:w="4785"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b/>
                <w:bCs/>
                <w:color w:val="000000"/>
                <w:kern w:val="24"/>
              </w:rPr>
              <w:t>Low delay P HE</w:t>
            </w:r>
          </w:p>
        </w:tc>
      </w:tr>
      <w:tr w:rsidR="00FF5B28" w:rsidTr="00FF5B28">
        <w:trPr>
          <w:trHeight w:val="314"/>
          <w:jc w:val="center"/>
        </w:trPr>
        <w:tc>
          <w:tcPr>
            <w:tcW w:w="1935"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rPr>
                <w:rFonts w:ascii="Arial" w:hAnsi="Arial" w:cs="Arial"/>
                <w:sz w:val="34"/>
                <w:szCs w:val="36"/>
              </w:rPr>
            </w:pPr>
          </w:p>
        </w:tc>
        <w:tc>
          <w:tcPr>
            <w:tcW w:w="1595"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Y</w:t>
            </w:r>
          </w:p>
        </w:tc>
        <w:tc>
          <w:tcPr>
            <w:tcW w:w="1595"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U</w:t>
            </w:r>
          </w:p>
        </w:tc>
        <w:tc>
          <w:tcPr>
            <w:tcW w:w="1595"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V</w:t>
            </w:r>
          </w:p>
        </w:tc>
      </w:tr>
      <w:tr w:rsidR="00FF5B28" w:rsidTr="00FF5B28">
        <w:trPr>
          <w:trHeight w:val="314"/>
          <w:jc w:val="center"/>
        </w:trPr>
        <w:tc>
          <w:tcPr>
            <w:tcW w:w="1935"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A</w:t>
            </w:r>
          </w:p>
        </w:tc>
        <w:tc>
          <w:tcPr>
            <w:tcW w:w="1595" w:type="dxa"/>
            <w:tcBorders>
              <w:top w:val="single" w:sz="8" w:space="0" w:color="000000"/>
              <w:left w:val="single" w:sz="8" w:space="0" w:color="000000"/>
              <w:bottom w:val="nil"/>
              <w:right w:val="nil"/>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c>
          <w:tcPr>
            <w:tcW w:w="1595" w:type="dxa"/>
            <w:tcBorders>
              <w:top w:val="single" w:sz="8" w:space="0" w:color="000000"/>
              <w:left w:val="nil"/>
              <w:bottom w:val="nil"/>
              <w:right w:val="nil"/>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c>
          <w:tcPr>
            <w:tcW w:w="1595" w:type="dxa"/>
            <w:tcBorders>
              <w:top w:val="single" w:sz="8" w:space="0" w:color="000000"/>
              <w:left w:val="nil"/>
              <w:bottom w:val="nil"/>
              <w:right w:val="single" w:sz="8" w:space="0" w:color="000000"/>
            </w:tcBorders>
            <w:shd w:val="clear" w:color="auto" w:fill="BFBFBF"/>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 </w:t>
            </w:r>
          </w:p>
        </w:tc>
      </w:tr>
      <w:tr w:rsidR="00FF5B28" w:rsidTr="00FF5B28">
        <w:trPr>
          <w:trHeight w:val="314"/>
          <w:jc w:val="center"/>
        </w:trPr>
        <w:tc>
          <w:tcPr>
            <w:tcW w:w="1935"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B</w:t>
            </w:r>
          </w:p>
        </w:tc>
        <w:tc>
          <w:tcPr>
            <w:tcW w:w="1595"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0.2%</w:t>
            </w:r>
          </w:p>
        </w:tc>
        <w:tc>
          <w:tcPr>
            <w:tcW w:w="1595"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0.3%</w:t>
            </w:r>
          </w:p>
        </w:tc>
      </w:tr>
      <w:tr w:rsidR="00FF5B28" w:rsidTr="00FF5B28">
        <w:trPr>
          <w:trHeight w:val="314"/>
          <w:jc w:val="center"/>
        </w:trPr>
        <w:tc>
          <w:tcPr>
            <w:tcW w:w="1935"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C</w:t>
            </w:r>
          </w:p>
        </w:tc>
        <w:tc>
          <w:tcPr>
            <w:tcW w:w="1595"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c>
          <w:tcPr>
            <w:tcW w:w="1595"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314"/>
          <w:jc w:val="center"/>
        </w:trPr>
        <w:tc>
          <w:tcPr>
            <w:tcW w:w="1935" w:type="dxa"/>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D</w:t>
            </w:r>
          </w:p>
        </w:tc>
        <w:tc>
          <w:tcPr>
            <w:tcW w:w="1595" w:type="dxa"/>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nil"/>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c>
          <w:tcPr>
            <w:tcW w:w="1595" w:type="dxa"/>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314"/>
          <w:jc w:val="center"/>
        </w:trPr>
        <w:tc>
          <w:tcPr>
            <w:tcW w:w="1935"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Class E</w:t>
            </w:r>
          </w:p>
        </w:tc>
        <w:tc>
          <w:tcPr>
            <w:tcW w:w="1595"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0.1%</w:t>
            </w:r>
          </w:p>
        </w:tc>
      </w:tr>
      <w:tr w:rsidR="00FF5B28" w:rsidTr="00FF5B28">
        <w:trPr>
          <w:trHeight w:val="314"/>
          <w:jc w:val="center"/>
        </w:trPr>
        <w:tc>
          <w:tcPr>
            <w:tcW w:w="1935"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b/>
                <w:bCs/>
                <w:color w:val="000000"/>
                <w:kern w:val="24"/>
              </w:rPr>
              <w:t>Overall</w:t>
            </w:r>
          </w:p>
        </w:tc>
        <w:tc>
          <w:tcPr>
            <w:tcW w:w="1595" w:type="dxa"/>
            <w:tcBorders>
              <w:top w:val="single" w:sz="8" w:space="0" w:color="000000"/>
              <w:left w:val="single" w:sz="8" w:space="0" w:color="000000"/>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c>
          <w:tcPr>
            <w:tcW w:w="1595" w:type="dxa"/>
            <w:tcBorders>
              <w:top w:val="single" w:sz="8" w:space="0" w:color="000000"/>
              <w:left w:val="nil"/>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000000"/>
                <w:kern w:val="24"/>
              </w:rPr>
              <w:t>0.0%</w:t>
            </w:r>
          </w:p>
        </w:tc>
      </w:tr>
      <w:tr w:rsidR="00FF5B28" w:rsidTr="00FF5B28">
        <w:trPr>
          <w:trHeight w:val="314"/>
          <w:jc w:val="center"/>
        </w:trPr>
        <w:tc>
          <w:tcPr>
            <w:tcW w:w="1935"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textAlignment w:val="bottom"/>
              <w:rPr>
                <w:rFonts w:ascii="Arial" w:hAnsi="Arial" w:cs="Arial"/>
                <w:sz w:val="36"/>
                <w:szCs w:val="36"/>
              </w:rPr>
            </w:pPr>
            <w:r>
              <w:rPr>
                <w:rFonts w:ascii="Arial" w:eastAsia="DFKai-SB" w:hAnsi="Arial" w:cs="Arial"/>
                <w:color w:val="000000"/>
                <w:kern w:val="24"/>
              </w:rPr>
              <w:t> </w:t>
            </w:r>
          </w:p>
        </w:tc>
        <w:tc>
          <w:tcPr>
            <w:tcW w:w="1595" w:type="dxa"/>
            <w:tcBorders>
              <w:top w:val="nil"/>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0.0%</w:t>
            </w:r>
          </w:p>
        </w:tc>
        <w:tc>
          <w:tcPr>
            <w:tcW w:w="1595"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0.0%</w:t>
            </w:r>
          </w:p>
        </w:tc>
        <w:tc>
          <w:tcPr>
            <w:tcW w:w="1595"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line="348" w:lineRule="atLeast"/>
              <w:jc w:val="center"/>
              <w:textAlignment w:val="bottom"/>
              <w:rPr>
                <w:rFonts w:ascii="Arial" w:hAnsi="Arial" w:cs="Arial"/>
                <w:sz w:val="36"/>
                <w:szCs w:val="36"/>
              </w:rPr>
            </w:pPr>
            <w:r>
              <w:rPr>
                <w:rFonts w:ascii="Arial" w:eastAsia="DFKai-SB" w:hAnsi="Arial" w:cs="Arial"/>
                <w:color w:val="808080"/>
                <w:kern w:val="24"/>
              </w:rPr>
              <w:t>-0.1%</w:t>
            </w:r>
          </w:p>
        </w:tc>
      </w:tr>
      <w:tr w:rsidR="00FF5B28" w:rsidTr="00FF5B28">
        <w:trPr>
          <w:trHeight w:val="612"/>
          <w:jc w:val="center"/>
        </w:trPr>
        <w:tc>
          <w:tcPr>
            <w:tcW w:w="1935" w:type="dxa"/>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textAlignment w:val="bottom"/>
              <w:rPr>
                <w:rFonts w:ascii="Arial" w:hAnsi="Arial" w:cs="Arial"/>
                <w:sz w:val="36"/>
                <w:szCs w:val="36"/>
              </w:rPr>
            </w:pPr>
            <w:r>
              <w:rPr>
                <w:rFonts w:ascii="Arial" w:eastAsia="DFKai-SB" w:hAnsi="Arial" w:cs="Arial"/>
                <w:color w:val="000000"/>
                <w:kern w:val="24"/>
              </w:rPr>
              <w:t>Enc Time[%]</w:t>
            </w:r>
          </w:p>
        </w:tc>
        <w:tc>
          <w:tcPr>
            <w:tcW w:w="4785" w:type="dxa"/>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jc w:val="center"/>
              <w:textAlignment w:val="bottom"/>
              <w:rPr>
                <w:rFonts w:ascii="Arial" w:hAnsi="Arial" w:cs="Arial"/>
                <w:sz w:val="36"/>
                <w:szCs w:val="36"/>
              </w:rPr>
            </w:pPr>
            <w:r>
              <w:rPr>
                <w:rFonts w:ascii="Arial" w:eastAsia="DFKai-SB" w:hAnsi="Arial" w:cs="Arial"/>
                <w:color w:val="000000"/>
                <w:kern w:val="24"/>
              </w:rPr>
              <w:t>100%</w:t>
            </w:r>
          </w:p>
        </w:tc>
      </w:tr>
      <w:tr w:rsidR="00FF5B28" w:rsidTr="00FF5B28">
        <w:trPr>
          <w:trHeight w:val="612"/>
          <w:jc w:val="center"/>
        </w:trPr>
        <w:tc>
          <w:tcPr>
            <w:tcW w:w="1935" w:type="dxa"/>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textAlignment w:val="bottom"/>
              <w:rPr>
                <w:rFonts w:ascii="Arial" w:hAnsi="Arial" w:cs="Arial"/>
                <w:sz w:val="36"/>
                <w:szCs w:val="36"/>
              </w:rPr>
            </w:pPr>
            <w:r>
              <w:rPr>
                <w:rFonts w:ascii="Arial" w:eastAsia="DFKai-SB" w:hAnsi="Arial" w:cs="Arial"/>
                <w:color w:val="000000"/>
                <w:kern w:val="24"/>
              </w:rPr>
              <w:lastRenderedPageBreak/>
              <w:t>Dec Time[%]</w:t>
            </w:r>
          </w:p>
        </w:tc>
        <w:tc>
          <w:tcPr>
            <w:tcW w:w="4785" w:type="dxa"/>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FF5B28" w:rsidRDefault="00FF5B28">
            <w:pPr>
              <w:pStyle w:val="NormalWeb"/>
              <w:spacing w:before="0" w:beforeAutospacing="0" w:after="0" w:afterAutospacing="0"/>
              <w:jc w:val="center"/>
              <w:textAlignment w:val="bottom"/>
              <w:rPr>
                <w:rFonts w:ascii="Arial" w:hAnsi="Arial" w:cs="Arial"/>
                <w:sz w:val="36"/>
                <w:szCs w:val="36"/>
              </w:rPr>
            </w:pPr>
            <w:r>
              <w:rPr>
                <w:rFonts w:ascii="Arial" w:eastAsia="DFKai-SB" w:hAnsi="Arial" w:cs="Arial"/>
                <w:color w:val="000000"/>
                <w:kern w:val="24"/>
              </w:rPr>
              <w:t>100%</w:t>
            </w:r>
          </w:p>
        </w:tc>
      </w:tr>
    </w:tbl>
    <w:p w:rsidR="005E761F" w:rsidRDefault="005E761F" w:rsidP="00D17102">
      <w:pPr>
        <w:jc w:val="center"/>
        <w:rPr>
          <w:lang w:eastAsia="ko-KR"/>
        </w:rPr>
      </w:pPr>
    </w:p>
    <w:p w:rsidR="0057200C" w:rsidRDefault="00DA76D9" w:rsidP="0057200C">
      <w:pPr>
        <w:pStyle w:val="Heading1"/>
      </w:pPr>
      <w:r>
        <w:rPr>
          <w:rFonts w:hint="eastAsia"/>
          <w:lang w:eastAsia="ko-KR"/>
        </w:rPr>
        <w:t>Conclusions</w:t>
      </w:r>
    </w:p>
    <w:p w:rsidR="00CC08CC" w:rsidRDefault="00CC08CC" w:rsidP="00CC08CC">
      <w:pPr>
        <w:jc w:val="both"/>
        <w:rPr>
          <w:lang w:eastAsia="zh-TW"/>
        </w:rPr>
      </w:pPr>
      <w:r>
        <w:rPr>
          <w:lang w:eastAsia="zh-TW"/>
        </w:rPr>
        <w:t xml:space="preserve">This contribution first reports a mismatch between WD and HM with regard to the </w:t>
      </w:r>
      <w:bookmarkStart w:id="17" w:name="OLE_LINK43"/>
      <w:bookmarkStart w:id="18" w:name="OLE_LINK44"/>
      <w:r>
        <w:rPr>
          <w:lang w:eastAsia="zh-TW"/>
        </w:rPr>
        <w:t>prediction and partition mode binarization for Low Delay P</w:t>
      </w:r>
      <w:bookmarkEnd w:id="17"/>
      <w:bookmarkEnd w:id="18"/>
      <w:r>
        <w:rPr>
          <w:lang w:eastAsia="zh-TW"/>
        </w:rPr>
        <w:t xml:space="preserve">. With the bug fix in HM software, negligible (0.0%) </w:t>
      </w:r>
      <w:r w:rsidR="000D6A3C">
        <w:rPr>
          <w:lang w:eastAsia="zh-TW"/>
        </w:rPr>
        <w:t>impact</w:t>
      </w:r>
      <w:r>
        <w:rPr>
          <w:lang w:eastAsia="zh-TW"/>
        </w:rPr>
        <w:t xml:space="preserve"> </w:t>
      </w:r>
      <w:r w:rsidR="000D6A3C">
        <w:rPr>
          <w:lang w:eastAsia="zh-TW"/>
        </w:rPr>
        <w:t>is</w:t>
      </w:r>
      <w:r>
        <w:rPr>
          <w:lang w:eastAsia="zh-TW"/>
        </w:rPr>
        <w:t xml:space="preserve"> reported on both BD-rate and encoding and decoding runtime. Secondly, it is proposed to unify the prediction and partition mode binarization for Low Delay P and B, which simplifies both WD and HM. Again, experimental results report negligible (0.0%) </w:t>
      </w:r>
      <w:r w:rsidR="000D6A3C">
        <w:rPr>
          <w:lang w:eastAsia="zh-TW"/>
        </w:rPr>
        <w:t>impact</w:t>
      </w:r>
      <w:r>
        <w:rPr>
          <w:lang w:eastAsia="zh-TW"/>
        </w:rPr>
        <w:t xml:space="preserve"> on both BD-rate and encoding and decoding runtime. It is recommended to include the proposed unification in next version WD and HM.  </w:t>
      </w:r>
    </w:p>
    <w:p w:rsidR="00A62F2A" w:rsidRPr="001E4534" w:rsidRDefault="001E4534" w:rsidP="001E4534">
      <w:pPr>
        <w:pStyle w:val="Heading1"/>
      </w:pPr>
      <w:r>
        <w:rPr>
          <w:szCs w:val="22"/>
          <w:lang w:eastAsia="ko-KR"/>
        </w:rPr>
        <w:t>References</w:t>
      </w:r>
    </w:p>
    <w:p w:rsidR="00951C61" w:rsidRDefault="0004627C" w:rsidP="00951C61">
      <w:pPr>
        <w:numPr>
          <w:ilvl w:val="0"/>
          <w:numId w:val="13"/>
        </w:numPr>
        <w:tabs>
          <w:tab w:val="clear" w:pos="720"/>
          <w:tab w:val="num" w:pos="142"/>
          <w:tab w:val="left" w:pos="709"/>
        </w:tabs>
        <w:ind w:left="709" w:hanging="567"/>
        <w:jc w:val="both"/>
        <w:rPr>
          <w:szCs w:val="20"/>
          <w:lang w:val="de-DE"/>
        </w:rPr>
      </w:pPr>
      <w:r w:rsidRPr="00203E19">
        <w:rPr>
          <w:szCs w:val="22"/>
          <w:lang w:eastAsia="ko-KR"/>
        </w:rPr>
        <w:t>Benjamin Bross, Woo-Jin Han, Jens-Rainer Ohm, Gary J. Sullivan and Thomas Wiegand</w:t>
      </w:r>
      <w:r w:rsidRPr="00203E19">
        <w:rPr>
          <w:szCs w:val="22"/>
        </w:rPr>
        <w:t>, “</w:t>
      </w:r>
      <w:r w:rsidRPr="00203E19">
        <w:rPr>
          <w:szCs w:val="20"/>
          <w:lang w:val="de-DE"/>
        </w:rPr>
        <w:t>WD4: Working Draft 4 of High-Efficiency Video Coding</w:t>
      </w:r>
      <w:r w:rsidRPr="00203E19">
        <w:rPr>
          <w:szCs w:val="22"/>
          <w:lang w:eastAsia="zh-TW"/>
        </w:rPr>
        <w:t>”, JCTVC-F803, Joint Collaborative Team on Video Coding (JCT-VC) of ITU-T VCEG and ISO/IEC MPEG, Torino, Italy, July 2011</w:t>
      </w:r>
      <w:r>
        <w:rPr>
          <w:lang w:eastAsia="zh-TW"/>
        </w:rPr>
        <w:t>.</w:t>
      </w:r>
      <w:bookmarkStart w:id="19" w:name="_Ref287367810"/>
    </w:p>
    <w:p w:rsidR="00951C61" w:rsidRPr="00951C61" w:rsidRDefault="00951C61" w:rsidP="00951C61">
      <w:pPr>
        <w:numPr>
          <w:ilvl w:val="0"/>
          <w:numId w:val="13"/>
        </w:numPr>
        <w:tabs>
          <w:tab w:val="clear" w:pos="720"/>
          <w:tab w:val="num" w:pos="142"/>
          <w:tab w:val="left" w:pos="709"/>
        </w:tabs>
        <w:ind w:left="709" w:hanging="567"/>
        <w:jc w:val="both"/>
        <w:rPr>
          <w:szCs w:val="20"/>
          <w:lang w:val="de-DE"/>
        </w:rPr>
      </w:pPr>
      <w:r w:rsidRPr="00951C61">
        <w:rPr>
          <w:lang w:val="de-DE"/>
        </w:rPr>
        <w:t xml:space="preserve">HM </w:t>
      </w:r>
      <w:r w:rsidRPr="00951C61">
        <w:rPr>
          <w:lang w:val="de-DE" w:eastAsia="ko-KR"/>
        </w:rPr>
        <w:t>4</w:t>
      </w:r>
      <w:r w:rsidRPr="00951C61">
        <w:rPr>
          <w:lang w:val="de-DE"/>
        </w:rPr>
        <w:t xml:space="preserve">.0 Software, </w:t>
      </w:r>
      <w:hyperlink r:id="rId10" w:history="1">
        <w:r w:rsidRPr="00951C61">
          <w:rPr>
            <w:rStyle w:val="Hyperlink"/>
            <w:lang w:val="de-DE"/>
          </w:rPr>
          <w:t>http://hevc.kw.bbc.co.uk/trac/browser/tags/HM-</w:t>
        </w:r>
        <w:r w:rsidRPr="00951C61">
          <w:rPr>
            <w:rStyle w:val="Hyperlink"/>
            <w:lang w:val="de-DE" w:eastAsia="ko-KR"/>
          </w:rPr>
          <w:t>4</w:t>
        </w:r>
        <w:r w:rsidRPr="00951C61">
          <w:rPr>
            <w:rStyle w:val="Hyperlink"/>
            <w:lang w:val="de-DE"/>
          </w:rPr>
          <w:t>.0</w:t>
        </w:r>
      </w:hyperlink>
      <w:r w:rsidRPr="00951C61">
        <w:rPr>
          <w:rFonts w:eastAsia="Malgun Gothic"/>
        </w:rPr>
        <w:t>.</w:t>
      </w:r>
    </w:p>
    <w:p w:rsidR="000E13F3" w:rsidRDefault="000E13F3" w:rsidP="000E13F3">
      <w:pPr>
        <w:numPr>
          <w:ilvl w:val="0"/>
          <w:numId w:val="13"/>
        </w:numPr>
        <w:tabs>
          <w:tab w:val="clear" w:pos="720"/>
          <w:tab w:val="num" w:pos="142"/>
          <w:tab w:val="left" w:pos="709"/>
        </w:tabs>
        <w:ind w:left="709" w:hanging="567"/>
        <w:jc w:val="both"/>
        <w:rPr>
          <w:szCs w:val="20"/>
          <w:lang w:val="de-DE"/>
        </w:rPr>
      </w:pPr>
      <w:r w:rsidRPr="000E13F3">
        <w:rPr>
          <w:szCs w:val="22"/>
          <w:lang w:eastAsia="zh-TW"/>
        </w:rPr>
        <w:t>Frank Bossen, “Common test conditions and software reference configurations</w:t>
      </w:r>
      <w:bookmarkStart w:id="20" w:name="OLE_LINK34"/>
      <w:bookmarkStart w:id="21" w:name="OLE_LINK33"/>
      <w:r w:rsidRPr="000E13F3">
        <w:rPr>
          <w:szCs w:val="22"/>
          <w:lang w:eastAsia="zh-TW"/>
        </w:rPr>
        <w:t>”, JCTVC-F900, Joint Collaborative Team on Video Coding (JCT-VC) of ITU-T VCEG and ISO/IEC MPEG, Torino, Italy, July 2011</w:t>
      </w:r>
      <w:r>
        <w:rPr>
          <w:lang w:eastAsia="zh-TW"/>
        </w:rPr>
        <w:t>.</w:t>
      </w:r>
      <w:bookmarkEnd w:id="19"/>
      <w:bookmarkEnd w:id="20"/>
      <w:bookmarkEnd w:id="21"/>
    </w:p>
    <w:p w:rsidR="000E13F3" w:rsidRDefault="000E13F3" w:rsidP="000E13F3">
      <w:pPr>
        <w:tabs>
          <w:tab w:val="left" w:pos="709"/>
        </w:tabs>
        <w:ind w:left="709"/>
        <w:jc w:val="both"/>
        <w:rPr>
          <w:szCs w:val="20"/>
          <w:lang w:val="de-DE"/>
        </w:rPr>
      </w:pPr>
    </w:p>
    <w:p w:rsidR="00240FD7" w:rsidRDefault="00240FD7" w:rsidP="00240FD7">
      <w:pPr>
        <w:pStyle w:val="Heading1"/>
        <w:jc w:val="both"/>
        <w:rPr>
          <w:rFonts w:eastAsia="PMingLiU"/>
        </w:rPr>
      </w:pPr>
      <w:bookmarkStart w:id="22" w:name="OLE_LINK29"/>
      <w:r>
        <w:rPr>
          <w:rFonts w:eastAsia="PMingLiU"/>
        </w:rPr>
        <w:t>Patent rights declaration(s)</w:t>
      </w:r>
    </w:p>
    <w:p w:rsidR="00240FD7" w:rsidRDefault="00240FD7" w:rsidP="00240FD7">
      <w:pPr>
        <w:jc w:val="both"/>
        <w:rPr>
          <w:rFonts w:eastAsia="PMingLiU"/>
          <w:szCs w:val="22"/>
        </w:rPr>
      </w:pPr>
      <w:r>
        <w:rPr>
          <w:b/>
          <w:szCs w:val="22"/>
          <w:lang w:eastAsia="zh-TW"/>
        </w:rPr>
        <w:t xml:space="preserve">MediaTek Inc. </w:t>
      </w:r>
      <w:r>
        <w:rPr>
          <w:b/>
          <w:szCs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bookmarkEnd w:id="22"/>
    </w:p>
    <w:p w:rsidR="00240FD7" w:rsidRPr="00240FD7" w:rsidRDefault="00240FD7" w:rsidP="00240FD7">
      <w:pPr>
        <w:tabs>
          <w:tab w:val="left" w:pos="709"/>
        </w:tabs>
        <w:jc w:val="both"/>
        <w:rPr>
          <w:szCs w:val="20"/>
        </w:rPr>
      </w:pPr>
    </w:p>
    <w:sectPr w:rsidR="00240FD7" w:rsidRPr="00240FD7"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769" w:rsidRDefault="00526769">
      <w:r>
        <w:separator/>
      </w:r>
    </w:p>
  </w:endnote>
  <w:endnote w:type="continuationSeparator" w:id="0">
    <w:p w:rsidR="00526769" w:rsidRDefault="005267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DFKai-SB">
    <w:altName w:val="Arial Unicode MS"/>
    <w:panose1 w:val="03000509000000000000"/>
    <w:charset w:val="88"/>
    <w:family w:val="script"/>
    <w:pitch w:val="fixed"/>
    <w:sig w:usb0="00000003" w:usb1="080E0000" w:usb2="00000016" w:usb3="00000000" w:csb0="00100001"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707" w:rsidRDefault="00F71707"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771648">
      <w:rPr>
        <w:rStyle w:val="PageNumber"/>
      </w:rPr>
      <w:fldChar w:fldCharType="begin"/>
    </w:r>
    <w:r>
      <w:rPr>
        <w:rStyle w:val="PageNumber"/>
      </w:rPr>
      <w:instrText xml:space="preserve"> PAGE </w:instrText>
    </w:r>
    <w:r w:rsidR="00771648">
      <w:rPr>
        <w:rStyle w:val="PageNumber"/>
      </w:rPr>
      <w:fldChar w:fldCharType="separate"/>
    </w:r>
    <w:r w:rsidR="007E4D26">
      <w:rPr>
        <w:rStyle w:val="PageNumber"/>
        <w:noProof/>
      </w:rPr>
      <w:t>1</w:t>
    </w:r>
    <w:r w:rsidR="00771648">
      <w:rPr>
        <w:rStyle w:val="PageNumber"/>
      </w:rPr>
      <w:fldChar w:fldCharType="end"/>
    </w:r>
    <w:r>
      <w:rPr>
        <w:rStyle w:val="PageNumber"/>
      </w:rPr>
      <w:tab/>
      <w:t xml:space="preserve">Date Saved: </w:t>
    </w:r>
    <w:r w:rsidR="00771648">
      <w:rPr>
        <w:rStyle w:val="PageNumber"/>
      </w:rPr>
      <w:fldChar w:fldCharType="begin"/>
    </w:r>
    <w:r>
      <w:rPr>
        <w:rStyle w:val="PageNumber"/>
      </w:rPr>
      <w:instrText xml:space="preserve"> SAVEDATE  \@ "yyyy-MM-dd"  \* MERGEFORMAT </w:instrText>
    </w:r>
    <w:r w:rsidR="00771648">
      <w:rPr>
        <w:rStyle w:val="PageNumber"/>
      </w:rPr>
      <w:fldChar w:fldCharType="separate"/>
    </w:r>
    <w:r w:rsidR="007E4D26">
      <w:rPr>
        <w:rStyle w:val="PageNumber"/>
        <w:noProof/>
      </w:rPr>
      <w:t>2011-11-02</w:t>
    </w:r>
    <w:r w:rsidR="0077164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769" w:rsidRDefault="00526769">
      <w:r>
        <w:separator/>
      </w:r>
    </w:p>
  </w:footnote>
  <w:footnote w:type="continuationSeparator" w:id="0">
    <w:p w:rsidR="00526769" w:rsidRDefault="005267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3ABA558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115640"/>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2"/>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458BC"/>
    <w:rsid w:val="00045C41"/>
    <w:rsid w:val="0004627C"/>
    <w:rsid w:val="00046C03"/>
    <w:rsid w:val="00047B5E"/>
    <w:rsid w:val="000743F1"/>
    <w:rsid w:val="0007614F"/>
    <w:rsid w:val="00076371"/>
    <w:rsid w:val="00082871"/>
    <w:rsid w:val="00083088"/>
    <w:rsid w:val="000A2365"/>
    <w:rsid w:val="000B1C6B"/>
    <w:rsid w:val="000B5DB0"/>
    <w:rsid w:val="000C09AC"/>
    <w:rsid w:val="000C5B24"/>
    <w:rsid w:val="000D6A3C"/>
    <w:rsid w:val="000D7D1A"/>
    <w:rsid w:val="000E00F3"/>
    <w:rsid w:val="000E13F3"/>
    <w:rsid w:val="000E3EDD"/>
    <w:rsid w:val="000F158C"/>
    <w:rsid w:val="00103125"/>
    <w:rsid w:val="001048B4"/>
    <w:rsid w:val="00107630"/>
    <w:rsid w:val="0011769E"/>
    <w:rsid w:val="0012245F"/>
    <w:rsid w:val="00124E38"/>
    <w:rsid w:val="0012580B"/>
    <w:rsid w:val="0013526E"/>
    <w:rsid w:val="00163311"/>
    <w:rsid w:val="00171371"/>
    <w:rsid w:val="00173C85"/>
    <w:rsid w:val="00175A24"/>
    <w:rsid w:val="00177697"/>
    <w:rsid w:val="00187E58"/>
    <w:rsid w:val="0019502D"/>
    <w:rsid w:val="001A297E"/>
    <w:rsid w:val="001A368E"/>
    <w:rsid w:val="001A7329"/>
    <w:rsid w:val="001B3E70"/>
    <w:rsid w:val="001B4E28"/>
    <w:rsid w:val="001C3525"/>
    <w:rsid w:val="001D1B8F"/>
    <w:rsid w:val="001D1BD2"/>
    <w:rsid w:val="001E02BE"/>
    <w:rsid w:val="001E2CA0"/>
    <w:rsid w:val="001E3B37"/>
    <w:rsid w:val="001E4534"/>
    <w:rsid w:val="001E75A5"/>
    <w:rsid w:val="001F2594"/>
    <w:rsid w:val="001F5351"/>
    <w:rsid w:val="002029F0"/>
    <w:rsid w:val="00203E19"/>
    <w:rsid w:val="0020503D"/>
    <w:rsid w:val="0020509D"/>
    <w:rsid w:val="00206460"/>
    <w:rsid w:val="002069B4"/>
    <w:rsid w:val="00215DFC"/>
    <w:rsid w:val="00221115"/>
    <w:rsid w:val="002212DF"/>
    <w:rsid w:val="00227BA7"/>
    <w:rsid w:val="00240FD7"/>
    <w:rsid w:val="00263398"/>
    <w:rsid w:val="00273E05"/>
    <w:rsid w:val="00275BCF"/>
    <w:rsid w:val="002870ED"/>
    <w:rsid w:val="00292257"/>
    <w:rsid w:val="002A54E0"/>
    <w:rsid w:val="002B1595"/>
    <w:rsid w:val="002B191D"/>
    <w:rsid w:val="002D0AF6"/>
    <w:rsid w:val="002D384D"/>
    <w:rsid w:val="002F164D"/>
    <w:rsid w:val="002F4A6E"/>
    <w:rsid w:val="00306206"/>
    <w:rsid w:val="003071B3"/>
    <w:rsid w:val="00317D85"/>
    <w:rsid w:val="00325642"/>
    <w:rsid w:val="00327C56"/>
    <w:rsid w:val="003315A1"/>
    <w:rsid w:val="0033200C"/>
    <w:rsid w:val="00335A3A"/>
    <w:rsid w:val="00336C09"/>
    <w:rsid w:val="003373EC"/>
    <w:rsid w:val="003444EB"/>
    <w:rsid w:val="0034566B"/>
    <w:rsid w:val="0036057F"/>
    <w:rsid w:val="003706CC"/>
    <w:rsid w:val="0037747C"/>
    <w:rsid w:val="00386E4B"/>
    <w:rsid w:val="00394608"/>
    <w:rsid w:val="00396081"/>
    <w:rsid w:val="003A2D8E"/>
    <w:rsid w:val="003C20E4"/>
    <w:rsid w:val="003D0E53"/>
    <w:rsid w:val="003D0F99"/>
    <w:rsid w:val="003E0992"/>
    <w:rsid w:val="003E6F90"/>
    <w:rsid w:val="003F5D0F"/>
    <w:rsid w:val="00414101"/>
    <w:rsid w:val="004305DC"/>
    <w:rsid w:val="00431993"/>
    <w:rsid w:val="00433DDB"/>
    <w:rsid w:val="00437619"/>
    <w:rsid w:val="00441F65"/>
    <w:rsid w:val="004442F3"/>
    <w:rsid w:val="004632AD"/>
    <w:rsid w:val="00472A06"/>
    <w:rsid w:val="00496E92"/>
    <w:rsid w:val="004A2A63"/>
    <w:rsid w:val="004A4249"/>
    <w:rsid w:val="004B0721"/>
    <w:rsid w:val="004B210C"/>
    <w:rsid w:val="004B56DD"/>
    <w:rsid w:val="004D3001"/>
    <w:rsid w:val="004D405F"/>
    <w:rsid w:val="004E4F4F"/>
    <w:rsid w:val="004E6789"/>
    <w:rsid w:val="004F61E3"/>
    <w:rsid w:val="00502306"/>
    <w:rsid w:val="0051015C"/>
    <w:rsid w:val="00520BEA"/>
    <w:rsid w:val="00521B62"/>
    <w:rsid w:val="00524190"/>
    <w:rsid w:val="00526769"/>
    <w:rsid w:val="00531AE9"/>
    <w:rsid w:val="00541E62"/>
    <w:rsid w:val="005471B5"/>
    <w:rsid w:val="005536AF"/>
    <w:rsid w:val="00554DEC"/>
    <w:rsid w:val="005560E5"/>
    <w:rsid w:val="00567EC7"/>
    <w:rsid w:val="00570013"/>
    <w:rsid w:val="0057200C"/>
    <w:rsid w:val="005870DE"/>
    <w:rsid w:val="005931ED"/>
    <w:rsid w:val="005A33A1"/>
    <w:rsid w:val="005B5FA2"/>
    <w:rsid w:val="005C0CF3"/>
    <w:rsid w:val="005C385F"/>
    <w:rsid w:val="005C59DE"/>
    <w:rsid w:val="005E6735"/>
    <w:rsid w:val="005E761F"/>
    <w:rsid w:val="005F6F1B"/>
    <w:rsid w:val="006005D7"/>
    <w:rsid w:val="0061599C"/>
    <w:rsid w:val="00624B33"/>
    <w:rsid w:val="006276C2"/>
    <w:rsid w:val="00630AA2"/>
    <w:rsid w:val="00642C56"/>
    <w:rsid w:val="00646707"/>
    <w:rsid w:val="00652DFC"/>
    <w:rsid w:val="00660071"/>
    <w:rsid w:val="00660AF0"/>
    <w:rsid w:val="00662E58"/>
    <w:rsid w:val="00664DCF"/>
    <w:rsid w:val="0067313C"/>
    <w:rsid w:val="00686AC4"/>
    <w:rsid w:val="0069692D"/>
    <w:rsid w:val="006A227D"/>
    <w:rsid w:val="006A5D1A"/>
    <w:rsid w:val="006C0699"/>
    <w:rsid w:val="006C5D39"/>
    <w:rsid w:val="006D0CC3"/>
    <w:rsid w:val="006D1516"/>
    <w:rsid w:val="006D37A0"/>
    <w:rsid w:val="006D6158"/>
    <w:rsid w:val="006E2810"/>
    <w:rsid w:val="006E5417"/>
    <w:rsid w:val="006E7FCD"/>
    <w:rsid w:val="00704679"/>
    <w:rsid w:val="007063B8"/>
    <w:rsid w:val="00712F60"/>
    <w:rsid w:val="00715993"/>
    <w:rsid w:val="00720E3B"/>
    <w:rsid w:val="0073294E"/>
    <w:rsid w:val="0074416B"/>
    <w:rsid w:val="00745F6B"/>
    <w:rsid w:val="0075585E"/>
    <w:rsid w:val="00766FBD"/>
    <w:rsid w:val="00771648"/>
    <w:rsid w:val="00775377"/>
    <w:rsid w:val="007768FF"/>
    <w:rsid w:val="007824D3"/>
    <w:rsid w:val="0078594A"/>
    <w:rsid w:val="00786006"/>
    <w:rsid w:val="00796EE3"/>
    <w:rsid w:val="007A7D29"/>
    <w:rsid w:val="007B2B86"/>
    <w:rsid w:val="007B56AD"/>
    <w:rsid w:val="007B5C3F"/>
    <w:rsid w:val="007B73C2"/>
    <w:rsid w:val="007D2938"/>
    <w:rsid w:val="007E4D26"/>
    <w:rsid w:val="007F1F8B"/>
    <w:rsid w:val="008206C8"/>
    <w:rsid w:val="00855105"/>
    <w:rsid w:val="00874A6C"/>
    <w:rsid w:val="00876C65"/>
    <w:rsid w:val="008859F0"/>
    <w:rsid w:val="00897E3F"/>
    <w:rsid w:val="008A4B4C"/>
    <w:rsid w:val="008A6CF7"/>
    <w:rsid w:val="008C239F"/>
    <w:rsid w:val="008E09E9"/>
    <w:rsid w:val="008E480C"/>
    <w:rsid w:val="00900496"/>
    <w:rsid w:val="0090288D"/>
    <w:rsid w:val="00907757"/>
    <w:rsid w:val="0091007B"/>
    <w:rsid w:val="00913856"/>
    <w:rsid w:val="00914F11"/>
    <w:rsid w:val="009212B0"/>
    <w:rsid w:val="009234A5"/>
    <w:rsid w:val="00925D36"/>
    <w:rsid w:val="00926B4D"/>
    <w:rsid w:val="0093169C"/>
    <w:rsid w:val="009327D7"/>
    <w:rsid w:val="009336F7"/>
    <w:rsid w:val="00934FFA"/>
    <w:rsid w:val="009374A7"/>
    <w:rsid w:val="00951C61"/>
    <w:rsid w:val="0098551D"/>
    <w:rsid w:val="00987C1F"/>
    <w:rsid w:val="00992B3D"/>
    <w:rsid w:val="0099388A"/>
    <w:rsid w:val="0099518F"/>
    <w:rsid w:val="009A43ED"/>
    <w:rsid w:val="009A523D"/>
    <w:rsid w:val="009C60EB"/>
    <w:rsid w:val="009D7A15"/>
    <w:rsid w:val="009F496B"/>
    <w:rsid w:val="00A01439"/>
    <w:rsid w:val="00A02E61"/>
    <w:rsid w:val="00A05CFF"/>
    <w:rsid w:val="00A338E3"/>
    <w:rsid w:val="00A45409"/>
    <w:rsid w:val="00A460E2"/>
    <w:rsid w:val="00A468D1"/>
    <w:rsid w:val="00A55DCC"/>
    <w:rsid w:val="00A56B97"/>
    <w:rsid w:val="00A6086F"/>
    <w:rsid w:val="00A6093D"/>
    <w:rsid w:val="00A62F2A"/>
    <w:rsid w:val="00A76A6D"/>
    <w:rsid w:val="00A83253"/>
    <w:rsid w:val="00A90395"/>
    <w:rsid w:val="00A93124"/>
    <w:rsid w:val="00AA12B6"/>
    <w:rsid w:val="00AA3F67"/>
    <w:rsid w:val="00AA6E84"/>
    <w:rsid w:val="00AB0856"/>
    <w:rsid w:val="00AB6E9C"/>
    <w:rsid w:val="00AD3856"/>
    <w:rsid w:val="00AD59CF"/>
    <w:rsid w:val="00AE1FD1"/>
    <w:rsid w:val="00AE2E83"/>
    <w:rsid w:val="00AE32DF"/>
    <w:rsid w:val="00AE341B"/>
    <w:rsid w:val="00B005B5"/>
    <w:rsid w:val="00B03749"/>
    <w:rsid w:val="00B07CA7"/>
    <w:rsid w:val="00B1279A"/>
    <w:rsid w:val="00B33649"/>
    <w:rsid w:val="00B36796"/>
    <w:rsid w:val="00B40C72"/>
    <w:rsid w:val="00B410AA"/>
    <w:rsid w:val="00B4627A"/>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C10BA"/>
    <w:rsid w:val="00BC381A"/>
    <w:rsid w:val="00BC5AFD"/>
    <w:rsid w:val="00BE7725"/>
    <w:rsid w:val="00BF6EA6"/>
    <w:rsid w:val="00C0300A"/>
    <w:rsid w:val="00C04F43"/>
    <w:rsid w:val="00C05B9B"/>
    <w:rsid w:val="00C0609D"/>
    <w:rsid w:val="00C115AB"/>
    <w:rsid w:val="00C1391A"/>
    <w:rsid w:val="00C13974"/>
    <w:rsid w:val="00C30249"/>
    <w:rsid w:val="00C35A96"/>
    <w:rsid w:val="00C55C13"/>
    <w:rsid w:val="00C606C9"/>
    <w:rsid w:val="00C67328"/>
    <w:rsid w:val="00C71E47"/>
    <w:rsid w:val="00C90650"/>
    <w:rsid w:val="00C95CD8"/>
    <w:rsid w:val="00C97D78"/>
    <w:rsid w:val="00CC08CC"/>
    <w:rsid w:val="00CC5A42"/>
    <w:rsid w:val="00CD0EAB"/>
    <w:rsid w:val="00CD5259"/>
    <w:rsid w:val="00CE0A9E"/>
    <w:rsid w:val="00CE7528"/>
    <w:rsid w:val="00CF34DB"/>
    <w:rsid w:val="00CF558F"/>
    <w:rsid w:val="00CF65CA"/>
    <w:rsid w:val="00D03DE9"/>
    <w:rsid w:val="00D05C77"/>
    <w:rsid w:val="00D05E0B"/>
    <w:rsid w:val="00D073A1"/>
    <w:rsid w:val="00D073E2"/>
    <w:rsid w:val="00D17102"/>
    <w:rsid w:val="00D23E39"/>
    <w:rsid w:val="00D34B7C"/>
    <w:rsid w:val="00D446EC"/>
    <w:rsid w:val="00D4574D"/>
    <w:rsid w:val="00D51BF0"/>
    <w:rsid w:val="00D54CDD"/>
    <w:rsid w:val="00D55942"/>
    <w:rsid w:val="00D80572"/>
    <w:rsid w:val="00D807BF"/>
    <w:rsid w:val="00D832F7"/>
    <w:rsid w:val="00D90267"/>
    <w:rsid w:val="00DA1FFF"/>
    <w:rsid w:val="00DA76D9"/>
    <w:rsid w:val="00DA7887"/>
    <w:rsid w:val="00DB2C26"/>
    <w:rsid w:val="00DB6354"/>
    <w:rsid w:val="00DC40D6"/>
    <w:rsid w:val="00DD03C8"/>
    <w:rsid w:val="00DD3A80"/>
    <w:rsid w:val="00DE6B43"/>
    <w:rsid w:val="00E061CE"/>
    <w:rsid w:val="00E11923"/>
    <w:rsid w:val="00E262D4"/>
    <w:rsid w:val="00E26DBE"/>
    <w:rsid w:val="00E33EAE"/>
    <w:rsid w:val="00E36250"/>
    <w:rsid w:val="00E36581"/>
    <w:rsid w:val="00E507BA"/>
    <w:rsid w:val="00E5405E"/>
    <w:rsid w:val="00E54511"/>
    <w:rsid w:val="00E61DAC"/>
    <w:rsid w:val="00E75FE3"/>
    <w:rsid w:val="00E860B0"/>
    <w:rsid w:val="00EA1B95"/>
    <w:rsid w:val="00EB70FB"/>
    <w:rsid w:val="00EB7AB1"/>
    <w:rsid w:val="00EF19AC"/>
    <w:rsid w:val="00EF48CC"/>
    <w:rsid w:val="00F01C66"/>
    <w:rsid w:val="00F07AB2"/>
    <w:rsid w:val="00F147B2"/>
    <w:rsid w:val="00F14AB6"/>
    <w:rsid w:val="00F14D2F"/>
    <w:rsid w:val="00F36F7A"/>
    <w:rsid w:val="00F41FD5"/>
    <w:rsid w:val="00F71707"/>
    <w:rsid w:val="00F73032"/>
    <w:rsid w:val="00F848FC"/>
    <w:rsid w:val="00F92129"/>
    <w:rsid w:val="00F9282A"/>
    <w:rsid w:val="00F94C42"/>
    <w:rsid w:val="00F96BAD"/>
    <w:rsid w:val="00FA1095"/>
    <w:rsid w:val="00FB0E84"/>
    <w:rsid w:val="00FC0D48"/>
    <w:rsid w:val="00FD01C2"/>
    <w:rsid w:val="00FD1425"/>
    <w:rsid w:val="00FD1FA0"/>
    <w:rsid w:val="00FF014B"/>
    <w:rsid w:val="00FF0CE3"/>
    <w:rsid w:val="00FF5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8CC"/>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FF5B2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70413868">
      <w:bodyDiv w:val="1"/>
      <w:marLeft w:val="0"/>
      <w:marRight w:val="0"/>
      <w:marTop w:val="0"/>
      <w:marBottom w:val="0"/>
      <w:divBdr>
        <w:top w:val="none" w:sz="0" w:space="0" w:color="auto"/>
        <w:left w:val="none" w:sz="0" w:space="0" w:color="auto"/>
        <w:bottom w:val="none" w:sz="0" w:space="0" w:color="auto"/>
        <w:right w:val="none" w:sz="0" w:space="0" w:color="auto"/>
      </w:divBdr>
    </w:div>
    <w:div w:id="170950156">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5025532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5370656">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26468403">
      <w:bodyDiv w:val="1"/>
      <w:marLeft w:val="0"/>
      <w:marRight w:val="0"/>
      <w:marTop w:val="0"/>
      <w:marBottom w:val="0"/>
      <w:divBdr>
        <w:top w:val="none" w:sz="0" w:space="0" w:color="auto"/>
        <w:left w:val="none" w:sz="0" w:space="0" w:color="auto"/>
        <w:bottom w:val="none" w:sz="0" w:space="0" w:color="auto"/>
        <w:right w:val="none" w:sz="0" w:space="0" w:color="auto"/>
      </w:divBdr>
    </w:div>
    <w:div w:id="442916832">
      <w:bodyDiv w:val="1"/>
      <w:marLeft w:val="0"/>
      <w:marRight w:val="0"/>
      <w:marTop w:val="0"/>
      <w:marBottom w:val="0"/>
      <w:divBdr>
        <w:top w:val="none" w:sz="0" w:space="0" w:color="auto"/>
        <w:left w:val="none" w:sz="0" w:space="0" w:color="auto"/>
        <w:bottom w:val="none" w:sz="0" w:space="0" w:color="auto"/>
        <w:right w:val="none" w:sz="0" w:space="0" w:color="auto"/>
      </w:divBdr>
    </w:div>
    <w:div w:id="468784096">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73401077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941649060">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21732186">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67494435">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44044318">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464543767">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6015655">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78727517">
      <w:bodyDiv w:val="1"/>
      <w:marLeft w:val="0"/>
      <w:marRight w:val="0"/>
      <w:marTop w:val="0"/>
      <w:marBottom w:val="0"/>
      <w:divBdr>
        <w:top w:val="none" w:sz="0" w:space="0" w:color="auto"/>
        <w:left w:val="none" w:sz="0" w:space="0" w:color="auto"/>
        <w:bottom w:val="none" w:sz="0" w:space="0" w:color="auto"/>
        <w:right w:val="none" w:sz="0" w:space="0" w:color="auto"/>
      </w:divBdr>
    </w:div>
    <w:div w:id="1682731979">
      <w:bodyDiv w:val="1"/>
      <w:marLeft w:val="0"/>
      <w:marRight w:val="0"/>
      <w:marTop w:val="0"/>
      <w:marBottom w:val="0"/>
      <w:divBdr>
        <w:top w:val="none" w:sz="0" w:space="0" w:color="auto"/>
        <w:left w:val="none" w:sz="0" w:space="0" w:color="auto"/>
        <w:bottom w:val="none" w:sz="0" w:space="0" w:color="auto"/>
        <w:right w:val="none" w:sz="0" w:space="0" w:color="auto"/>
      </w:divBdr>
    </w:div>
    <w:div w:id="1731147111">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92556304">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34907781">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9332290">
      <w:bodyDiv w:val="1"/>
      <w:marLeft w:val="0"/>
      <w:marRight w:val="0"/>
      <w:marTop w:val="0"/>
      <w:marBottom w:val="0"/>
      <w:divBdr>
        <w:top w:val="none" w:sz="0" w:space="0" w:color="auto"/>
        <w:left w:val="none" w:sz="0" w:space="0" w:color="auto"/>
        <w:bottom w:val="none" w:sz="0" w:space="0" w:color="auto"/>
        <w:right w:val="none" w:sz="0" w:space="0" w:color="auto"/>
      </w:divBdr>
    </w:div>
    <w:div w:id="1986467572">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1212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hevc.kw.bbc.co.uk/trac/browser/tags/HM-4.0"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1CF03-649D-49D1-8F08-21B4CB69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274</TotalTime>
  <Pages>4</Pages>
  <Words>1086</Words>
  <Characters>6196</Characters>
  <Application>Microsoft Office Word</Application>
  <DocSecurity>0</DocSecurity>
  <Lines>51</Lines>
  <Paragraphs>14</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7268</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Lenovo User</dc:creator>
  <cp:keywords>JCT-VC, MPEG, VCEG</cp:keywords>
  <cp:lastModifiedBy>mtk30169</cp:lastModifiedBy>
  <cp:revision>83</cp:revision>
  <cp:lastPrinted>2011-10-25T23:11:00Z</cp:lastPrinted>
  <dcterms:created xsi:type="dcterms:W3CDTF">2011-10-25T23:12:00Z</dcterms:created>
  <dcterms:modified xsi:type="dcterms:W3CDTF">2011-11-07T22:55:00Z</dcterms:modified>
</cp:coreProperties>
</file>