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ayout w:type="fixed"/>
        <w:tblLook w:val="0000"/>
      </w:tblPr>
      <w:tblGrid>
        <w:gridCol w:w="6408"/>
        <w:gridCol w:w="3168"/>
      </w:tblGrid>
      <w:tr w:rsidR="00E61DAC" w:rsidRPr="00F147B2">
        <w:tc>
          <w:tcPr>
            <w:tcW w:w="6408" w:type="dxa"/>
          </w:tcPr>
          <w:p w:rsidR="006C5D39" w:rsidRPr="00F147B2" w:rsidRDefault="00D732B3" w:rsidP="00C97D78">
            <w:pPr>
              <w:tabs>
                <w:tab w:val="left" w:pos="7200"/>
              </w:tabs>
              <w:rPr>
                <w:b/>
                <w:szCs w:val="22"/>
              </w:rPr>
            </w:pPr>
            <w:r>
              <w:rPr>
                <w:b/>
                <w:noProof/>
                <w:szCs w:val="22"/>
                <w:lang w:eastAsia="en-US"/>
              </w:rPr>
              <w:pict>
                <v:group id="_x0000_s1026" style="position:absolute;margin-left:-4.15pt;margin-top:-27.5pt;width:23.3pt;height:24.6pt;z-index:251656704" coordorigin="9,2" coordsize="466,492">
                  <v:line id="_x0000_s1027" style="position:absolute" from="9,9" to="10,489" strokecolor="white" strokeweight="36e-5mm"/>
                  <v:line id="_x0000_s1028" style="position:absolute" from="9,493" to="474,494" strokecolor="white" strokeweight="36e-5mm"/>
                  <v:line id="_x0000_s1029" style="position:absolute;flip:y" from="474,9" to="475,493" strokecolor="white" strokeweight="36e-5mm"/>
                  <v:line id="_x0000_s1030" style="position:absolute;flip:x" from="9,9" to="471,10" strokecolor="white" strokeweight="36e-5mm"/>
                  <v:line id="_x0000_s1031" style="position:absolute" from="9,9" to="10,10" strokecolor="white" strokeweight="36e-5mm"/>
                  <v:shape id="_x0000_s1032" style="position:absolute;left:74;top:104;width:309;height:297" coordsize="309,297"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v:shape>
                  <v:shape id="_x0000_s1033" style="position:absolute;left:171;top:48;width:171;height:411" coordsize="171,411"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v:shape>
                  <v:shape id="_x0000_s1034" style="position:absolute;left:254;top:67;width:126;height:101" coordsize="126,101"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v:shape>
                  <v:shape id="_x0000_s1035" style="position:absolute;left:146;top:46;width:293;height:234" coordsize="293,234"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v:shape>
                  <v:shape id="_x0000_s1036" style="position:absolute;left:90;top:67;width:349;height:244" coordsize="349,244"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v:shape>
                  <v:shape id="_x0000_s1037" style="position:absolute;left:21;top:40;width:425;height:427" coordsize="425,427"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v:shape>
                  <v:shape id="_x0000_s1038" style="position:absolute;left:21;top:43;width:337;height:421" coordsize="337,421"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v:shape>
                  <v:shape id="_x0000_s1039" style="position:absolute;left:17;top:40;width:425;height:386" coordsize="425,386"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v:shape>
                  <v:shape id="_x0000_s1040" style="position:absolute;left:21;top:70;width:425;height:397" coordsize="425,397"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v:shape>
                  <v:shape id="_x0000_s1041" style="position:absolute;left:68;top:99;width:366;height:274" coordsize="366,274"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v:shape>
                  <v:shape id="_x0000_s1042" style="position:absolute;left:27;top:196;width:346;height:244" coordsize="346,244"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v:shape>
                  <v:shape id="_x0000_s1043" style="position:absolute;left:64;top:2;width:382;height:469" coordsize="382,469"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v:shape>
                  <v:shape id="_x0000_s1044" style="position:absolute;left:273;top:181;width:132;height:145" coordsize="132,145"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v:shape>
                  <v:shape id="_x0000_s1045" style="position:absolute;left:276;top:184;width:126;height:140" coordsize="126,14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v:shape>
                  <v:shape id="_x0000_s1046" style="position:absolute;left:68;top:181;width:65;height:143" coordsize="65,143" path="m56,124r,2l56,126r,4l65,130r,13l,143,,130r10,l10,126r,l10,126r3,l13,15r-3,l10,15r,l10,15,,15,,,65,r,15l56,15r,l56,15r,109xe" stroked="f">
                    <v:path arrowok="t"/>
                  </v:shape>
                  <v:shape id="_x0000_s1047" style="position:absolute;left:74;top:184;width:57;height:136" coordsize="57,136" path="m44,123r,l47,123r,4l47,127r,l47,127r,l47,127r,3l50,130r,l57,130r,6l,136r,-6l4,130r,l7,130r,-3l7,127r3,l10,127r,l10,123r,l10,123r,l10,12r,l10,9r,l10,9,7,9,7,6r,l7,6,,6,,,57,r,6l47,6r,l47,6r,3l47,9r,l47,9r,3l44,12r,111l44,123xe" fillcolor="black" stroked="f">
                    <v:path arrowok="t"/>
                  </v:shape>
                  <v:shape id="_x0000_s1048" style="position:absolute;left:146;top:181;width:118;height:143" coordsize="118,143" path="m87,130r,l87,143r-58,l29,130r5,l34,126r,l34,126r3,l37,27r-8,l29,27r-4,l25,31r-3,l22,31r-3,l19,31r,l19,31r,l16,34r,l16,34r,l16,37r,l16,40r-4,l12,40r,3l12,49,,49,,,118,r,49l105,49r,-9l105,40r,-3l105,37r,l102,34r,l102,34r,l100,31r,l100,31r,l100,31r-4,l96,31r-3,l93,27r-3,l90,27r-7,l83,126r,l83,126r,l83,130r4,xe" stroked="f">
                    <v:path arrowok="t"/>
                  </v:shape>
                  <v:shape id="_x0000_s1049" style="position:absolute;left:150;top:184;width:111;height:136" coordsize="111,136"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v:shape>
                </v:group>
              </w:pict>
            </w:r>
            <w:r w:rsidR="00273E05">
              <w:rPr>
                <w:b/>
                <w:noProof/>
                <w:szCs w:val="22"/>
              </w:rPr>
              <w:drawing>
                <wp:anchor distT="0" distB="0" distL="114300" distR="114300" simplePos="0" relativeHeight="251658752" behindDoc="0" locked="0" layoutInCell="1" allowOverlap="1">
                  <wp:simplePos x="0" y="0"/>
                  <wp:positionH relativeFrom="column">
                    <wp:posOffset>610235</wp:posOffset>
                  </wp:positionH>
                  <wp:positionV relativeFrom="paragraph">
                    <wp:posOffset>-318770</wp:posOffset>
                  </wp:positionV>
                  <wp:extent cx="293370" cy="267335"/>
                  <wp:effectExtent l="19050" t="0" r="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8" cstate="print"/>
                          <a:srcRect/>
                          <a:stretch>
                            <a:fillRect/>
                          </a:stretch>
                        </pic:blipFill>
                        <pic:spPr bwMode="auto">
                          <a:xfrm>
                            <a:off x="0" y="0"/>
                            <a:ext cx="293370" cy="267335"/>
                          </a:xfrm>
                          <a:prstGeom prst="rect">
                            <a:avLst/>
                          </a:prstGeom>
                          <a:noFill/>
                          <a:ln w="9525">
                            <a:noFill/>
                            <a:miter lim="800000"/>
                            <a:headEnd/>
                            <a:tailEnd/>
                          </a:ln>
                        </pic:spPr>
                      </pic:pic>
                    </a:graphicData>
                  </a:graphic>
                </wp:anchor>
              </w:drawing>
            </w:r>
            <w:r w:rsidR="00273E05">
              <w:rPr>
                <w:b/>
                <w:noProof/>
                <w:szCs w:val="22"/>
              </w:rPr>
              <w:drawing>
                <wp:anchor distT="0" distB="0" distL="114300" distR="114300" simplePos="0" relativeHeight="251657728" behindDoc="0" locked="0" layoutInCell="1" allowOverlap="1">
                  <wp:simplePos x="0" y="0"/>
                  <wp:positionH relativeFrom="column">
                    <wp:posOffset>268605</wp:posOffset>
                  </wp:positionH>
                  <wp:positionV relativeFrom="paragraph">
                    <wp:posOffset>-318770</wp:posOffset>
                  </wp:positionV>
                  <wp:extent cx="294640" cy="267335"/>
                  <wp:effectExtent l="19050" t="0" r="0" b="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9" cstate="print"/>
                          <a:srcRect/>
                          <a:stretch>
                            <a:fillRect/>
                          </a:stretch>
                        </pic:blipFill>
                        <pic:spPr bwMode="auto">
                          <a:xfrm>
                            <a:off x="0" y="0"/>
                            <a:ext cx="294640" cy="267335"/>
                          </a:xfrm>
                          <a:prstGeom prst="rect">
                            <a:avLst/>
                          </a:prstGeom>
                          <a:noFill/>
                          <a:ln w="9525">
                            <a:noFill/>
                            <a:miter lim="800000"/>
                            <a:headEnd/>
                            <a:tailEnd/>
                          </a:ln>
                        </pic:spPr>
                      </pic:pic>
                    </a:graphicData>
                  </a:graphic>
                </wp:anchor>
              </w:drawing>
            </w:r>
            <w:r w:rsidR="00E61DAC" w:rsidRPr="00F147B2">
              <w:rPr>
                <w:b/>
                <w:szCs w:val="22"/>
              </w:rPr>
              <w:t xml:space="preserve">Joint </w:t>
            </w:r>
            <w:r w:rsidR="006C5D39" w:rsidRPr="00F147B2">
              <w:rPr>
                <w:b/>
                <w:szCs w:val="22"/>
              </w:rPr>
              <w:t>Collaborative</w:t>
            </w:r>
            <w:r w:rsidR="00E61DAC" w:rsidRPr="00F147B2">
              <w:rPr>
                <w:b/>
                <w:szCs w:val="22"/>
              </w:rPr>
              <w:t xml:space="preserve"> Team </w:t>
            </w:r>
            <w:r w:rsidR="006C5D39" w:rsidRPr="00F147B2">
              <w:rPr>
                <w:b/>
                <w:szCs w:val="22"/>
              </w:rPr>
              <w:t>on Video Coding (JCT-VC)</w:t>
            </w:r>
          </w:p>
          <w:p w:rsidR="00E61DAC" w:rsidRPr="00F147B2" w:rsidRDefault="00E54511" w:rsidP="00C97D78">
            <w:pPr>
              <w:tabs>
                <w:tab w:val="left" w:pos="7200"/>
              </w:tabs>
              <w:rPr>
                <w:b/>
                <w:szCs w:val="22"/>
              </w:rPr>
            </w:pPr>
            <w:r w:rsidRPr="00F147B2">
              <w:rPr>
                <w:b/>
                <w:szCs w:val="22"/>
              </w:rPr>
              <w:t xml:space="preserve">of </w:t>
            </w:r>
            <w:r w:rsidR="007F1F8B" w:rsidRPr="00F147B2">
              <w:rPr>
                <w:b/>
                <w:szCs w:val="22"/>
              </w:rPr>
              <w:t>ITU-T SG16 WP3 and ISO/IEC JTC1/SC29/WG11</w:t>
            </w:r>
          </w:p>
          <w:p w:rsidR="00E61DAC" w:rsidRPr="00F147B2" w:rsidRDefault="00B81B27" w:rsidP="00B81B27">
            <w:pPr>
              <w:tabs>
                <w:tab w:val="left" w:pos="7200"/>
              </w:tabs>
              <w:rPr>
                <w:b/>
                <w:szCs w:val="22"/>
              </w:rPr>
            </w:pPr>
            <w:r w:rsidRPr="00F147B2">
              <w:rPr>
                <w:rFonts w:hint="eastAsia"/>
                <w:szCs w:val="22"/>
                <w:lang w:eastAsia="ko-KR"/>
              </w:rPr>
              <w:t>7</w:t>
            </w:r>
            <w:r w:rsidR="00EF19AC" w:rsidRPr="00F147B2">
              <w:rPr>
                <w:szCs w:val="22"/>
              </w:rPr>
              <w:t xml:space="preserve">th Meeting: </w:t>
            </w:r>
            <w:r w:rsidRPr="00F147B2">
              <w:rPr>
                <w:rFonts w:hint="eastAsia"/>
                <w:szCs w:val="22"/>
                <w:lang w:eastAsia="ko-KR"/>
              </w:rPr>
              <w:t>Geneva</w:t>
            </w:r>
            <w:r w:rsidR="00EF19AC" w:rsidRPr="00F147B2">
              <w:rPr>
                <w:szCs w:val="22"/>
              </w:rPr>
              <w:t xml:space="preserve">, </w:t>
            </w:r>
            <w:r w:rsidRPr="00F147B2">
              <w:rPr>
                <w:rFonts w:hint="eastAsia"/>
                <w:szCs w:val="22"/>
                <w:lang w:eastAsia="ko-KR"/>
              </w:rPr>
              <w:t>21</w:t>
            </w:r>
            <w:r w:rsidR="00EF19AC" w:rsidRPr="00F147B2">
              <w:rPr>
                <w:szCs w:val="22"/>
              </w:rPr>
              <w:t>-</w:t>
            </w:r>
            <w:r w:rsidRPr="00F147B2">
              <w:rPr>
                <w:rFonts w:hint="eastAsia"/>
                <w:szCs w:val="22"/>
                <w:lang w:eastAsia="ko-KR"/>
              </w:rPr>
              <w:t>30</w:t>
            </w:r>
            <w:r w:rsidR="00EF19AC" w:rsidRPr="00F147B2">
              <w:rPr>
                <w:szCs w:val="22"/>
              </w:rPr>
              <w:t xml:space="preserve"> </w:t>
            </w:r>
            <w:r w:rsidRPr="00F147B2">
              <w:rPr>
                <w:rFonts w:hint="eastAsia"/>
                <w:szCs w:val="22"/>
                <w:lang w:eastAsia="ko-KR"/>
              </w:rPr>
              <w:t>Nov</w:t>
            </w:r>
            <w:r w:rsidR="00EF19AC" w:rsidRPr="00F147B2">
              <w:rPr>
                <w:szCs w:val="22"/>
              </w:rPr>
              <w:t>, 2011</w:t>
            </w:r>
          </w:p>
        </w:tc>
        <w:tc>
          <w:tcPr>
            <w:tcW w:w="3168" w:type="dxa"/>
          </w:tcPr>
          <w:p w:rsidR="008A4B4C" w:rsidRPr="00F147B2" w:rsidRDefault="00E61DAC" w:rsidP="00221115">
            <w:pPr>
              <w:tabs>
                <w:tab w:val="left" w:pos="7200"/>
              </w:tabs>
              <w:rPr>
                <w:u w:val="single"/>
              </w:rPr>
            </w:pPr>
            <w:r w:rsidRPr="00F147B2">
              <w:t>Document</w:t>
            </w:r>
            <w:r w:rsidR="006C5D39" w:rsidRPr="00F147B2">
              <w:t>: JC</w:t>
            </w:r>
            <w:r w:rsidRPr="00F147B2">
              <w:t>T</w:t>
            </w:r>
            <w:r w:rsidR="006C5D39" w:rsidRPr="00F147B2">
              <w:t>VC</w:t>
            </w:r>
            <w:r w:rsidRPr="00F147B2">
              <w:t>-</w:t>
            </w:r>
            <w:r w:rsidR="00C67328">
              <w:rPr>
                <w:rFonts w:hint="eastAsia"/>
                <w:lang w:eastAsia="ko-KR"/>
              </w:rPr>
              <w:t>G</w:t>
            </w:r>
            <w:r w:rsidR="00285B97">
              <w:rPr>
                <w:lang w:eastAsia="ko-KR"/>
              </w:rPr>
              <w:t>109</w:t>
            </w:r>
          </w:p>
          <w:p w:rsidR="00EF19AC" w:rsidRPr="00F147B2" w:rsidRDefault="00EF19AC" w:rsidP="0091007B">
            <w:pPr>
              <w:tabs>
                <w:tab w:val="left" w:pos="7200"/>
              </w:tabs>
              <w:rPr>
                <w:u w:val="single"/>
                <w:lang w:eastAsia="ko-KR"/>
              </w:rPr>
            </w:pPr>
            <w:r w:rsidRPr="00F147B2">
              <w:t xml:space="preserve">WG11 Number: </w:t>
            </w:r>
          </w:p>
        </w:tc>
      </w:tr>
    </w:tbl>
    <w:p w:rsidR="00E61DAC" w:rsidRPr="00AE341B" w:rsidRDefault="00E61DAC" w:rsidP="00531AE9"/>
    <w:tbl>
      <w:tblPr>
        <w:tblW w:w="12186" w:type="dxa"/>
        <w:tblLayout w:type="fixed"/>
        <w:tblLook w:val="0000"/>
      </w:tblPr>
      <w:tblGrid>
        <w:gridCol w:w="1458"/>
        <w:gridCol w:w="3753"/>
        <w:gridCol w:w="993"/>
        <w:gridCol w:w="3372"/>
        <w:gridCol w:w="2610"/>
      </w:tblGrid>
      <w:tr w:rsidR="00E61DAC" w:rsidRPr="00F147B2" w:rsidTr="00F41FD5">
        <w:tc>
          <w:tcPr>
            <w:tcW w:w="1458" w:type="dxa"/>
          </w:tcPr>
          <w:p w:rsidR="00E61DAC" w:rsidRPr="00F147B2" w:rsidRDefault="00E61DAC">
            <w:pPr>
              <w:spacing w:before="60" w:after="60"/>
              <w:rPr>
                <w:i/>
                <w:szCs w:val="22"/>
              </w:rPr>
            </w:pPr>
            <w:r w:rsidRPr="00F147B2">
              <w:rPr>
                <w:i/>
                <w:szCs w:val="22"/>
              </w:rPr>
              <w:t>Title:</w:t>
            </w:r>
          </w:p>
        </w:tc>
        <w:tc>
          <w:tcPr>
            <w:tcW w:w="10728" w:type="dxa"/>
            <w:gridSpan w:val="4"/>
          </w:tcPr>
          <w:p w:rsidR="00E61DAC" w:rsidRPr="00F147B2" w:rsidRDefault="0035737A" w:rsidP="006D1516">
            <w:pPr>
              <w:spacing w:before="60" w:after="60"/>
              <w:rPr>
                <w:b/>
                <w:szCs w:val="22"/>
                <w:lang w:eastAsia="ko-KR"/>
              </w:rPr>
            </w:pPr>
            <w:r>
              <w:rPr>
                <w:b/>
                <w:szCs w:val="22"/>
              </w:rPr>
              <w:t>On Intra Mode Mapping</w:t>
            </w:r>
            <w:r w:rsidR="001E2CA0" w:rsidRPr="00F147B2">
              <w:rPr>
                <w:b/>
                <w:szCs w:val="22"/>
              </w:rPr>
              <w:t xml:space="preserve"> </w:t>
            </w:r>
          </w:p>
        </w:tc>
      </w:tr>
      <w:tr w:rsidR="00E61DAC" w:rsidRPr="00F147B2" w:rsidTr="00F41FD5">
        <w:tc>
          <w:tcPr>
            <w:tcW w:w="1458" w:type="dxa"/>
          </w:tcPr>
          <w:p w:rsidR="00E61DAC" w:rsidRPr="00F147B2" w:rsidRDefault="00E61DAC">
            <w:pPr>
              <w:spacing w:before="60" w:after="60"/>
              <w:rPr>
                <w:i/>
                <w:szCs w:val="22"/>
              </w:rPr>
            </w:pPr>
            <w:r w:rsidRPr="00F147B2">
              <w:rPr>
                <w:i/>
                <w:szCs w:val="22"/>
              </w:rPr>
              <w:t>Status:</w:t>
            </w:r>
          </w:p>
        </w:tc>
        <w:tc>
          <w:tcPr>
            <w:tcW w:w="10728" w:type="dxa"/>
            <w:gridSpan w:val="4"/>
          </w:tcPr>
          <w:p w:rsidR="00E61DAC" w:rsidRPr="00F147B2" w:rsidRDefault="00E61DAC" w:rsidP="00EB70FB">
            <w:pPr>
              <w:spacing w:before="60" w:after="60"/>
              <w:rPr>
                <w:szCs w:val="22"/>
              </w:rPr>
            </w:pPr>
            <w:r w:rsidRPr="00F147B2">
              <w:rPr>
                <w:szCs w:val="22"/>
              </w:rPr>
              <w:t xml:space="preserve">Input Document to </w:t>
            </w:r>
            <w:r w:rsidR="00AE341B" w:rsidRPr="00F147B2">
              <w:rPr>
                <w:szCs w:val="22"/>
              </w:rPr>
              <w:t>JCT-VC</w:t>
            </w:r>
          </w:p>
        </w:tc>
      </w:tr>
      <w:tr w:rsidR="00E61DAC" w:rsidRPr="00F147B2" w:rsidTr="00F41FD5">
        <w:tc>
          <w:tcPr>
            <w:tcW w:w="1458" w:type="dxa"/>
          </w:tcPr>
          <w:p w:rsidR="00E61DAC" w:rsidRPr="00F147B2" w:rsidRDefault="00E61DAC">
            <w:pPr>
              <w:spacing w:before="60" w:after="60"/>
              <w:rPr>
                <w:i/>
                <w:szCs w:val="22"/>
              </w:rPr>
            </w:pPr>
            <w:r w:rsidRPr="00F147B2">
              <w:rPr>
                <w:i/>
                <w:szCs w:val="22"/>
              </w:rPr>
              <w:t>Purpose:</w:t>
            </w:r>
          </w:p>
        </w:tc>
        <w:tc>
          <w:tcPr>
            <w:tcW w:w="10728" w:type="dxa"/>
            <w:gridSpan w:val="4"/>
          </w:tcPr>
          <w:p w:rsidR="00E61DAC" w:rsidRPr="00F147B2" w:rsidRDefault="00B03749">
            <w:pPr>
              <w:spacing w:before="60" w:after="60"/>
              <w:rPr>
                <w:szCs w:val="22"/>
              </w:rPr>
            </w:pPr>
            <w:r>
              <w:rPr>
                <w:szCs w:val="22"/>
              </w:rPr>
              <w:t>Proposal</w:t>
            </w:r>
          </w:p>
        </w:tc>
      </w:tr>
      <w:tr w:rsidR="00F41FD5" w:rsidTr="00F41FD5">
        <w:tblPrEx>
          <w:tblLook w:val="04A0"/>
        </w:tblPrEx>
        <w:trPr>
          <w:gridAfter w:val="1"/>
          <w:wAfter w:w="2610" w:type="dxa"/>
        </w:trPr>
        <w:tc>
          <w:tcPr>
            <w:tcW w:w="1458" w:type="dxa"/>
            <w:hideMark/>
          </w:tcPr>
          <w:p w:rsidR="00F41FD5" w:rsidRDefault="00F41FD5">
            <w:pPr>
              <w:tabs>
                <w:tab w:val="left" w:pos="360"/>
                <w:tab w:val="left" w:pos="720"/>
                <w:tab w:val="left" w:pos="1080"/>
                <w:tab w:val="left" w:pos="1440"/>
              </w:tabs>
              <w:overflowPunct w:val="0"/>
              <w:autoSpaceDE w:val="0"/>
              <w:autoSpaceDN w:val="0"/>
              <w:adjustRightInd w:val="0"/>
              <w:spacing w:before="60" w:after="60"/>
              <w:rPr>
                <w:i/>
                <w:sz w:val="22"/>
                <w:szCs w:val="22"/>
                <w:lang w:eastAsia="en-US"/>
              </w:rPr>
            </w:pPr>
            <w:r>
              <w:rPr>
                <w:i/>
                <w:szCs w:val="22"/>
              </w:rPr>
              <w:t>Author(s) or</w:t>
            </w:r>
            <w:r>
              <w:rPr>
                <w:i/>
                <w:szCs w:val="22"/>
              </w:rPr>
              <w:br/>
              <w:t>Contact(s):</w:t>
            </w:r>
          </w:p>
        </w:tc>
        <w:tc>
          <w:tcPr>
            <w:tcW w:w="3753" w:type="dxa"/>
            <w:hideMark/>
          </w:tcPr>
          <w:p w:rsidR="00F41FD5" w:rsidRDefault="00F41FD5">
            <w:pPr>
              <w:spacing w:before="60" w:after="60"/>
              <w:rPr>
                <w:szCs w:val="22"/>
                <w:lang w:eastAsia="zh-TW"/>
              </w:rPr>
            </w:pPr>
            <w:r>
              <w:rPr>
                <w:szCs w:val="22"/>
                <w:lang w:eastAsia="zh-TW"/>
              </w:rPr>
              <w:t>Ximin Zhang</w:t>
            </w:r>
          </w:p>
          <w:p w:rsidR="00F41FD5" w:rsidRDefault="00925D36">
            <w:pPr>
              <w:spacing w:before="60" w:after="60"/>
              <w:rPr>
                <w:rFonts w:eastAsia="PMingLiU"/>
                <w:szCs w:val="22"/>
                <w:lang w:eastAsia="zh-TW"/>
              </w:rPr>
            </w:pPr>
            <w:r>
              <w:rPr>
                <w:szCs w:val="22"/>
                <w:lang w:eastAsia="zh-TW"/>
              </w:rPr>
              <w:t>Shan Liu</w:t>
            </w:r>
            <w:r w:rsidR="00F41FD5">
              <w:rPr>
                <w:szCs w:val="22"/>
                <w:lang w:eastAsia="zh-TW"/>
              </w:rPr>
              <w:br/>
              <w:t>Shawmin Lei</w:t>
            </w:r>
          </w:p>
          <w:p w:rsidR="00F41FD5" w:rsidRDefault="00F41FD5">
            <w:pPr>
              <w:spacing w:before="60" w:after="60"/>
              <w:rPr>
                <w:szCs w:val="22"/>
                <w:lang w:eastAsia="zh-TW"/>
              </w:rPr>
            </w:pPr>
            <w:r>
              <w:rPr>
                <w:szCs w:val="22"/>
                <w:lang w:eastAsia="zh-TW"/>
              </w:rPr>
              <w:t>2860 Junction Ave.</w:t>
            </w:r>
          </w:p>
          <w:p w:rsidR="00F41FD5" w:rsidRDefault="00F41FD5">
            <w:pPr>
              <w:tabs>
                <w:tab w:val="left" w:pos="360"/>
                <w:tab w:val="left" w:pos="720"/>
                <w:tab w:val="left" w:pos="1080"/>
                <w:tab w:val="left" w:pos="1440"/>
              </w:tabs>
              <w:overflowPunct w:val="0"/>
              <w:autoSpaceDE w:val="0"/>
              <w:autoSpaceDN w:val="0"/>
              <w:adjustRightInd w:val="0"/>
              <w:spacing w:before="60" w:after="60"/>
              <w:rPr>
                <w:sz w:val="22"/>
                <w:szCs w:val="22"/>
                <w:lang w:eastAsia="zh-TW"/>
              </w:rPr>
            </w:pPr>
            <w:r>
              <w:rPr>
                <w:szCs w:val="22"/>
                <w:lang w:eastAsia="zh-TW"/>
              </w:rPr>
              <w:t xml:space="preserve">San Jose, CA95134, USA </w:t>
            </w:r>
          </w:p>
        </w:tc>
        <w:tc>
          <w:tcPr>
            <w:tcW w:w="993" w:type="dxa"/>
            <w:hideMark/>
          </w:tcPr>
          <w:p w:rsidR="00F41FD5" w:rsidRDefault="00F41FD5">
            <w:pPr>
              <w:tabs>
                <w:tab w:val="left" w:pos="360"/>
                <w:tab w:val="left" w:pos="720"/>
                <w:tab w:val="left" w:pos="1080"/>
                <w:tab w:val="left" w:pos="1440"/>
              </w:tabs>
              <w:overflowPunct w:val="0"/>
              <w:autoSpaceDE w:val="0"/>
              <w:autoSpaceDN w:val="0"/>
              <w:adjustRightInd w:val="0"/>
              <w:spacing w:before="60" w:after="60"/>
              <w:rPr>
                <w:i/>
                <w:sz w:val="22"/>
                <w:szCs w:val="22"/>
                <w:lang w:eastAsia="en-US"/>
              </w:rPr>
            </w:pPr>
            <w:r>
              <w:rPr>
                <w:i/>
                <w:szCs w:val="22"/>
              </w:rPr>
              <w:t>Emails:</w:t>
            </w:r>
          </w:p>
        </w:tc>
        <w:tc>
          <w:tcPr>
            <w:tcW w:w="3372" w:type="dxa"/>
            <w:hideMark/>
          </w:tcPr>
          <w:p w:rsidR="00F41FD5" w:rsidRDefault="00925D36" w:rsidP="00F41FD5">
            <w:pPr>
              <w:tabs>
                <w:tab w:val="left" w:pos="360"/>
                <w:tab w:val="left" w:pos="720"/>
                <w:tab w:val="left" w:pos="1080"/>
                <w:tab w:val="left" w:pos="1440"/>
              </w:tabs>
              <w:overflowPunct w:val="0"/>
              <w:autoSpaceDE w:val="0"/>
              <w:autoSpaceDN w:val="0"/>
              <w:adjustRightInd w:val="0"/>
              <w:spacing w:before="60" w:after="60"/>
              <w:rPr>
                <w:sz w:val="22"/>
                <w:szCs w:val="22"/>
                <w:lang w:eastAsia="zh-TW"/>
              </w:rPr>
            </w:pPr>
            <w:r>
              <w:rPr>
                <w:szCs w:val="22"/>
                <w:lang w:eastAsia="zh-TW"/>
              </w:rPr>
              <w:t>ximin.zhang@mediatek.com</w:t>
            </w:r>
            <w:r>
              <w:rPr>
                <w:szCs w:val="22"/>
                <w:lang w:eastAsia="zh-TW"/>
              </w:rPr>
              <w:br/>
              <w:t>shan.liu</w:t>
            </w:r>
            <w:r w:rsidR="00F41FD5">
              <w:rPr>
                <w:szCs w:val="22"/>
                <w:lang w:eastAsia="zh-TW"/>
              </w:rPr>
              <w:t>@mediatek.com</w:t>
            </w:r>
            <w:r w:rsidR="00F41FD5">
              <w:rPr>
                <w:szCs w:val="22"/>
                <w:lang w:eastAsia="zh-TW"/>
              </w:rPr>
              <w:br/>
            </w:r>
            <w:r w:rsidR="001B3E70">
              <w:rPr>
                <w:sz w:val="22"/>
                <w:szCs w:val="22"/>
                <w:lang w:eastAsia="zh-TW"/>
              </w:rPr>
              <w:t>shawmin.lei@mediatek.com</w:t>
            </w:r>
          </w:p>
        </w:tc>
      </w:tr>
      <w:tr w:rsidR="00E61DAC" w:rsidRPr="00F147B2" w:rsidTr="00F41FD5">
        <w:tc>
          <w:tcPr>
            <w:tcW w:w="1458" w:type="dxa"/>
          </w:tcPr>
          <w:p w:rsidR="00E61DAC" w:rsidRPr="00F147B2" w:rsidRDefault="00E61DAC">
            <w:pPr>
              <w:spacing w:before="60" w:after="60"/>
              <w:rPr>
                <w:i/>
                <w:szCs w:val="22"/>
              </w:rPr>
            </w:pPr>
            <w:r w:rsidRPr="00F147B2">
              <w:rPr>
                <w:i/>
                <w:szCs w:val="22"/>
              </w:rPr>
              <w:t>Source:</w:t>
            </w:r>
          </w:p>
        </w:tc>
        <w:tc>
          <w:tcPr>
            <w:tcW w:w="10728" w:type="dxa"/>
            <w:gridSpan w:val="4"/>
          </w:tcPr>
          <w:p w:rsidR="00E61DAC" w:rsidRPr="00F147B2" w:rsidRDefault="00B03749">
            <w:pPr>
              <w:spacing w:before="60" w:after="60"/>
              <w:rPr>
                <w:szCs w:val="22"/>
                <w:lang w:eastAsia="ko-KR"/>
              </w:rPr>
            </w:pPr>
            <w:r>
              <w:rPr>
                <w:szCs w:val="22"/>
                <w:lang w:eastAsia="ko-KR"/>
              </w:rPr>
              <w:t>MediaTek</w:t>
            </w:r>
            <w:r w:rsidR="0099388A">
              <w:rPr>
                <w:szCs w:val="22"/>
                <w:lang w:eastAsia="ko-KR"/>
              </w:rPr>
              <w:t xml:space="preserve"> USA Inc.</w:t>
            </w:r>
          </w:p>
        </w:tc>
      </w:tr>
    </w:tbl>
    <w:p w:rsidR="00E61DAC" w:rsidRPr="00AE341B" w:rsidRDefault="00E61DAC">
      <w:pPr>
        <w:tabs>
          <w:tab w:val="left" w:pos="1800"/>
          <w:tab w:val="right" w:pos="9360"/>
        </w:tabs>
        <w:spacing w:before="120" w:after="240"/>
        <w:jc w:val="center"/>
        <w:rPr>
          <w:szCs w:val="22"/>
        </w:rPr>
      </w:pPr>
      <w:r w:rsidRPr="00AE341B">
        <w:rPr>
          <w:szCs w:val="22"/>
          <w:u w:val="single"/>
        </w:rPr>
        <w:t>_____________________________</w:t>
      </w:r>
    </w:p>
    <w:p w:rsidR="00C35A96" w:rsidRDefault="00C35A96" w:rsidP="00C35A96">
      <w:pPr>
        <w:pStyle w:val="Heading1"/>
        <w:numPr>
          <w:ilvl w:val="0"/>
          <w:numId w:val="0"/>
        </w:numPr>
        <w:ind w:left="432" w:hanging="432"/>
        <w:rPr>
          <w:rFonts w:eastAsia="PMingLiU"/>
        </w:rPr>
      </w:pPr>
      <w:r>
        <w:rPr>
          <w:rFonts w:eastAsia="PMingLiU"/>
        </w:rPr>
        <w:t>Abstract</w:t>
      </w:r>
    </w:p>
    <w:p w:rsidR="00C35A96" w:rsidRPr="004632AD" w:rsidRDefault="004632AD" w:rsidP="00E772E3">
      <w:pPr>
        <w:jc w:val="both"/>
        <w:rPr>
          <w:lang w:eastAsia="zh-TW"/>
        </w:rPr>
      </w:pPr>
      <w:bookmarkStart w:id="0" w:name="OLE_LINK22"/>
      <w:bookmarkStart w:id="1" w:name="OLE_LINK23"/>
      <w:bookmarkStart w:id="2" w:name="OLE_LINK42"/>
      <w:bookmarkStart w:id="3" w:name="OLE_LINK7"/>
      <w:r>
        <w:rPr>
          <w:lang w:eastAsia="zh-TW"/>
        </w:rPr>
        <w:t xml:space="preserve">This contribution </w:t>
      </w:r>
      <w:r w:rsidR="00E772E3">
        <w:rPr>
          <w:lang w:eastAsia="zh-TW"/>
        </w:rPr>
        <w:t xml:space="preserve">proposes a unified single mapping method for Intra mode mapping, when the neighboring predictor mode is not allowed for the current Intra prediction unit. Experimental results report negligible impact on BD-rate (0.0x% increase in average) and encoding and decoding runtime. Software and coding procedures are simplified.  </w:t>
      </w:r>
    </w:p>
    <w:bookmarkEnd w:id="0"/>
    <w:bookmarkEnd w:id="1"/>
    <w:bookmarkEnd w:id="2"/>
    <w:bookmarkEnd w:id="3"/>
    <w:p w:rsidR="00C35A96" w:rsidRDefault="00C35A96" w:rsidP="00C35A96">
      <w:pPr>
        <w:pStyle w:val="StyleHeading1Justified"/>
        <w:numPr>
          <w:ilvl w:val="0"/>
          <w:numId w:val="14"/>
        </w:numPr>
        <w:ind w:left="360" w:hanging="360"/>
        <w:textAlignment w:val="auto"/>
        <w:rPr>
          <w:rFonts w:hint="eastAsia"/>
        </w:rPr>
      </w:pPr>
      <w:r>
        <w:t>Introduction</w:t>
      </w:r>
    </w:p>
    <w:p w:rsidR="007A3F69" w:rsidRPr="007A3F69" w:rsidRDefault="007A3F69" w:rsidP="007A3F69">
      <w:pPr>
        <w:jc w:val="both"/>
        <w:rPr>
          <w:szCs w:val="22"/>
        </w:rPr>
      </w:pPr>
      <w:r w:rsidRPr="007A3F69">
        <w:rPr>
          <w:szCs w:val="22"/>
        </w:rPr>
        <w:t xml:space="preserve">In HEVC each picture is divided into a set of square coding units (CU). Intra and Inter prediction is applied on each coding unit. </w:t>
      </w:r>
      <w:r>
        <w:rPr>
          <w:szCs w:val="22"/>
        </w:rPr>
        <w:t>In current HM(4.0), e</w:t>
      </w:r>
      <w:r w:rsidRPr="007A3F69">
        <w:rPr>
          <w:szCs w:val="22"/>
        </w:rPr>
        <w:t xml:space="preserve">ach Intra coded CU can be treated as a single prediction unit (PU) or divided into four square PUs. </w:t>
      </w:r>
      <w:r>
        <w:rPr>
          <w:szCs w:val="22"/>
        </w:rPr>
        <w:t>Under the current common test condition</w:t>
      </w:r>
      <w:r w:rsidRPr="007A3F69">
        <w:rPr>
          <w:szCs w:val="22"/>
        </w:rPr>
        <w:t xml:space="preserve">, the </w:t>
      </w:r>
      <w:r>
        <w:rPr>
          <w:szCs w:val="22"/>
        </w:rPr>
        <w:t xml:space="preserve">Intra </w:t>
      </w:r>
      <w:r w:rsidRPr="007A3F69">
        <w:rPr>
          <w:szCs w:val="22"/>
        </w:rPr>
        <w:t>PU size can be 64x64, 32x32, 16x16, 8x8 and 4x4.</w:t>
      </w:r>
    </w:p>
    <w:p w:rsidR="007A3F69" w:rsidRPr="007A3F69" w:rsidRDefault="007A3F69" w:rsidP="007A3F69">
      <w:pPr>
        <w:jc w:val="both"/>
        <w:rPr>
          <w:szCs w:val="22"/>
        </w:rPr>
      </w:pPr>
    </w:p>
    <w:p w:rsidR="007A3F69" w:rsidRPr="007A3F69" w:rsidRDefault="007A3F69" w:rsidP="007A3F69">
      <w:pPr>
        <w:jc w:val="both"/>
        <w:rPr>
          <w:szCs w:val="22"/>
        </w:rPr>
      </w:pPr>
      <w:r w:rsidRPr="007A3F69">
        <w:rPr>
          <w:szCs w:val="22"/>
        </w:rPr>
        <w:t xml:space="preserve">For 64x64 PU, 4 prediction modes can be selected; for 4x4 PU, 18 prediction modes can be selected; for 32x32 PU, 16x16 PU and 8x8 PU, 35 prediction modes can be selected. Basically, the modes can be selected by a 64x64 PU is a subset of the modes can be selected by a 4x4 PU and the modes can be selected by a 4x4 PU is a subset of the modes can be selected by a 32x32, 16x16 and 8x8 PU. In order to achieve better compression efficiency, a most-probable-modes (MPM) based scheme is used to encode the mode syntax. Simply speaking, the prediction mode of the top neighbor PU of current PU and the prediction mode of the left neighbor PU of current PU are selected as the most probable modes. If the prediction mode of the current PU is the same as either of the most probable modes, a shorter code word is used to encode the current mode. Otherwise, a longer code word is used. Based on this scheme, up to 35 modes can be the most-probable-modes. If the current PU is 64x64, only 4 modes can be selected. If the current PU is 4x4, only 18 modes can be selected. Therefore, a mapping table is proposed to map the 35 modes to the 4 modes used in 64x64 PU, and map the 35 modes to the 18 modes used in 4x4 PU. In order to consider the future expansion, the mapping table also includes the mapping to 128x128 square unit and 2x2 unit. The size of the table is 140 Bytes. </w:t>
      </w:r>
    </w:p>
    <w:p w:rsidR="00A93124" w:rsidRDefault="00A93124" w:rsidP="00C35A96">
      <w:pPr>
        <w:jc w:val="both"/>
        <w:rPr>
          <w:szCs w:val="22"/>
        </w:rPr>
      </w:pPr>
    </w:p>
    <w:p w:rsidR="00A93124" w:rsidRDefault="00A93124" w:rsidP="00C35A96">
      <w:pPr>
        <w:jc w:val="both"/>
        <w:rPr>
          <w:szCs w:val="22"/>
        </w:rPr>
      </w:pPr>
    </w:p>
    <w:p w:rsidR="00A93124" w:rsidRDefault="00A93124" w:rsidP="00C35A96">
      <w:pPr>
        <w:jc w:val="both"/>
        <w:rPr>
          <w:szCs w:val="22"/>
        </w:rPr>
      </w:pPr>
    </w:p>
    <w:p w:rsidR="00B7649F" w:rsidRDefault="00B7649F" w:rsidP="00B7649F">
      <w:pPr>
        <w:pStyle w:val="Heading1"/>
        <w:tabs>
          <w:tab w:val="clear" w:pos="720"/>
        </w:tabs>
        <w:ind w:left="432" w:hanging="432"/>
        <w:jc w:val="both"/>
        <w:rPr>
          <w:lang w:eastAsia="ja-JP"/>
        </w:rPr>
      </w:pPr>
      <w:r>
        <w:rPr>
          <w:lang w:eastAsia="ja-JP"/>
        </w:rPr>
        <w:lastRenderedPageBreak/>
        <w:t xml:space="preserve">Proposed </w:t>
      </w:r>
      <w:r w:rsidR="000D3B0C">
        <w:rPr>
          <w:lang w:eastAsia="ja-JP"/>
        </w:rPr>
        <w:t>Method</w:t>
      </w:r>
    </w:p>
    <w:p w:rsidR="00054D47" w:rsidRDefault="00642C56" w:rsidP="00642C56">
      <w:pPr>
        <w:rPr>
          <w:lang w:eastAsia="ja-JP"/>
        </w:rPr>
      </w:pPr>
      <w:r>
        <w:rPr>
          <w:lang w:eastAsia="ja-JP"/>
        </w:rPr>
        <w:t xml:space="preserve">In </w:t>
      </w:r>
      <w:r w:rsidR="00F71707">
        <w:rPr>
          <w:lang w:eastAsia="ja-JP"/>
        </w:rPr>
        <w:t xml:space="preserve">this contribution, we propose </w:t>
      </w:r>
      <w:r w:rsidR="00054D47">
        <w:rPr>
          <w:lang w:eastAsia="ja-JP"/>
        </w:rPr>
        <w:t xml:space="preserve">a unified single mapping method for Intra mode mapping. That is, if a neighboring predictor mode is not allowed for the current Intra PU, it is mapped to PLANAR mode, regardless of the size of current PU and the neighboring predictor PU. In this way, the </w:t>
      </w:r>
      <w:r w:rsidR="00E052A3">
        <w:rPr>
          <w:lang w:eastAsia="ja-JP"/>
        </w:rPr>
        <w:t>tables and TLU (table look up) process can be removed and thus, both software and coding procedures can be simplified. Experimental results report very small BD-rate increase and negligible encoding and decoding runtime change, as shown in Table 1.</w:t>
      </w:r>
    </w:p>
    <w:p w:rsidR="00054D47" w:rsidRDefault="00054D47" w:rsidP="00642C56">
      <w:pPr>
        <w:rPr>
          <w:lang w:eastAsia="ja-JP"/>
        </w:rPr>
      </w:pPr>
    </w:p>
    <w:p w:rsidR="00642C56" w:rsidRDefault="00E052A3" w:rsidP="00642C56">
      <w:pPr>
        <w:rPr>
          <w:lang w:eastAsia="ja-JP"/>
        </w:rPr>
      </w:pPr>
      <w:r>
        <w:rPr>
          <w:lang w:eastAsia="ja-JP"/>
        </w:rPr>
        <w:t>We also investigated an alternative approach which maps mode 18-34 to mode 0-17, when the neighboring predictor Intra PU allows 35 prediction modes and the current Intra PU allows 18 prediction modes, as shown in Equation 1.</w:t>
      </w:r>
    </w:p>
    <w:p w:rsidR="00E052A3" w:rsidRDefault="00E052A3" w:rsidP="00642C56">
      <w:pPr>
        <w:rPr>
          <w:lang w:eastAsia="ja-JP"/>
        </w:rPr>
      </w:pPr>
    </w:p>
    <w:p w:rsidR="00E052A3" w:rsidRPr="00E052A3" w:rsidRDefault="00E052A3" w:rsidP="00E052A3">
      <w:pPr>
        <w:ind w:firstLine="432"/>
        <w:rPr>
          <w:lang w:eastAsia="ja-JP"/>
        </w:rPr>
      </w:pPr>
      <w:r w:rsidRPr="00E052A3">
        <w:rPr>
          <w:lang w:eastAsia="ja-JP"/>
        </w:rPr>
        <w:t>MAPPING[17]  = {</w:t>
      </w:r>
      <w:r w:rsidR="00865E4F" w:rsidRPr="00865E4F">
        <w:rPr>
          <w:rFonts w:eastAsia="Malgun Gothic"/>
          <w:noProof/>
        </w:rPr>
        <w:t>10,4,5,5,1,1,6, 6,7, 4,8,8,2,2,9,9,10</w:t>
      </w:r>
      <w:r w:rsidRPr="00E052A3">
        <w:rPr>
          <w:lang w:eastAsia="ja-JP"/>
        </w:rPr>
        <w:t>}</w:t>
      </w:r>
      <w:r>
        <w:rPr>
          <w:lang w:eastAsia="ja-JP"/>
        </w:rPr>
        <w:tab/>
      </w:r>
      <w:r>
        <w:rPr>
          <w:lang w:eastAsia="ja-JP"/>
        </w:rPr>
        <w:tab/>
        <w:t>(1)</w:t>
      </w:r>
    </w:p>
    <w:p w:rsidR="00E052A3" w:rsidRDefault="00E052A3" w:rsidP="00642C56">
      <w:pPr>
        <w:rPr>
          <w:lang w:eastAsia="ja-JP"/>
        </w:rPr>
      </w:pPr>
    </w:p>
    <w:p w:rsidR="00642C56" w:rsidRDefault="00E052A3" w:rsidP="00642C56">
      <w:pPr>
        <w:rPr>
          <w:lang w:eastAsia="ja-JP"/>
        </w:rPr>
      </w:pPr>
      <w:r>
        <w:rPr>
          <w:lang w:eastAsia="ja-JP"/>
        </w:rPr>
        <w:t xml:space="preserve">All other cases (i.e. current PU allows less than 18 modes) use the above single mapping method. Experimental results report negligible impact on </w:t>
      </w:r>
      <w:r w:rsidR="00473C8A">
        <w:rPr>
          <w:lang w:eastAsia="ja-JP"/>
        </w:rPr>
        <w:t>both BD-rate and encoding and decoding run-time, as shown in Table 2.</w:t>
      </w:r>
    </w:p>
    <w:p w:rsidR="00E052A3" w:rsidRPr="00642C56" w:rsidRDefault="00E052A3" w:rsidP="00642C56">
      <w:pPr>
        <w:rPr>
          <w:lang w:eastAsia="ja-JP"/>
        </w:rPr>
      </w:pPr>
    </w:p>
    <w:p w:rsidR="00A62F2A" w:rsidRDefault="00A62F2A" w:rsidP="00A62F2A">
      <w:pPr>
        <w:pStyle w:val="Heading1"/>
        <w:tabs>
          <w:tab w:val="clear" w:pos="720"/>
        </w:tabs>
        <w:ind w:left="432" w:hanging="432"/>
        <w:jc w:val="both"/>
        <w:rPr>
          <w:lang w:eastAsia="ja-JP"/>
        </w:rPr>
      </w:pPr>
      <w:r>
        <w:rPr>
          <w:lang w:eastAsia="ja-JP"/>
        </w:rPr>
        <w:t>Experimental Results</w:t>
      </w:r>
    </w:p>
    <w:p w:rsidR="00A62F2A" w:rsidRPr="00DA76D9" w:rsidRDefault="00D4574D" w:rsidP="00FF5B28">
      <w:pPr>
        <w:jc w:val="both"/>
        <w:rPr>
          <w:szCs w:val="22"/>
          <w:lang w:eastAsia="zh-TW"/>
        </w:rPr>
      </w:pPr>
      <w:bookmarkStart w:id="4" w:name="_Ref267066081"/>
      <w:bookmarkStart w:id="5" w:name="_Ref267066072"/>
      <w:r>
        <w:rPr>
          <w:szCs w:val="22"/>
          <w:lang w:eastAsia="zh-TW"/>
        </w:rPr>
        <w:t>Simulations were conducted following common tes</w:t>
      </w:r>
      <w:r w:rsidR="00D05C77">
        <w:rPr>
          <w:szCs w:val="22"/>
          <w:lang w:eastAsia="zh-TW"/>
        </w:rPr>
        <w:t>t conditions defined in JCTVC-F9</w:t>
      </w:r>
      <w:r>
        <w:rPr>
          <w:szCs w:val="22"/>
          <w:lang w:eastAsia="zh-TW"/>
        </w:rPr>
        <w:t>0</w:t>
      </w:r>
      <w:r w:rsidR="008859F0">
        <w:rPr>
          <w:szCs w:val="22"/>
          <w:lang w:eastAsia="zh-TW"/>
        </w:rPr>
        <w:t xml:space="preserve">0 </w:t>
      </w:r>
      <w:r w:rsidR="00D732B3">
        <w:rPr>
          <w:szCs w:val="22"/>
          <w:lang w:eastAsia="zh-TW"/>
        </w:rPr>
        <w:fldChar w:fldCharType="begin"/>
      </w:r>
      <w:r>
        <w:rPr>
          <w:szCs w:val="22"/>
          <w:lang w:eastAsia="zh-TW"/>
        </w:rPr>
        <w:instrText xml:space="preserve"> REF _Ref282447806 \r \h </w:instrText>
      </w:r>
      <w:r w:rsidR="00D732B3">
        <w:rPr>
          <w:szCs w:val="22"/>
          <w:lang w:eastAsia="zh-TW"/>
        </w:rPr>
      </w:r>
      <w:r w:rsidR="00D732B3">
        <w:rPr>
          <w:szCs w:val="22"/>
          <w:lang w:eastAsia="zh-TW"/>
        </w:rPr>
        <w:fldChar w:fldCharType="separate"/>
      </w:r>
      <w:r w:rsidR="000051CB">
        <w:rPr>
          <w:szCs w:val="22"/>
          <w:lang w:eastAsia="zh-TW"/>
        </w:rPr>
        <w:t>[1</w:t>
      </w:r>
      <w:r>
        <w:rPr>
          <w:szCs w:val="22"/>
          <w:lang w:eastAsia="zh-TW"/>
        </w:rPr>
        <w:t>]</w:t>
      </w:r>
      <w:r w:rsidR="00D732B3">
        <w:rPr>
          <w:szCs w:val="22"/>
          <w:lang w:eastAsia="zh-TW"/>
        </w:rPr>
        <w:fldChar w:fldCharType="end"/>
      </w:r>
      <w:r>
        <w:rPr>
          <w:szCs w:val="22"/>
          <w:lang w:eastAsia="zh-TW"/>
        </w:rPr>
        <w:t>.</w:t>
      </w:r>
      <w:r w:rsidR="00A468D1">
        <w:rPr>
          <w:szCs w:val="22"/>
          <w:lang w:eastAsia="zh-TW"/>
        </w:rPr>
        <w:t xml:space="preserve"> Anchor data was generated using HM4.0 software [2].</w:t>
      </w:r>
      <w:r>
        <w:rPr>
          <w:szCs w:val="22"/>
          <w:lang w:eastAsia="zh-TW"/>
        </w:rPr>
        <w:t xml:space="preserve"> Results </w:t>
      </w:r>
      <w:r w:rsidR="00D90267">
        <w:rPr>
          <w:szCs w:val="22"/>
          <w:lang w:eastAsia="zh-TW"/>
        </w:rPr>
        <w:t xml:space="preserve">for </w:t>
      </w:r>
      <w:r w:rsidR="000051CB">
        <w:rPr>
          <w:szCs w:val="22"/>
          <w:lang w:eastAsia="zh-TW"/>
        </w:rPr>
        <w:t>the proposed unified single Intra mode mapping are shown in Table 1. Results for the alternative approach are shown in Table 2.</w:t>
      </w:r>
    </w:p>
    <w:p w:rsidR="006D1516" w:rsidRDefault="006D1516" w:rsidP="00A62F2A">
      <w:pPr>
        <w:rPr>
          <w:szCs w:val="22"/>
        </w:rPr>
      </w:pPr>
      <w:bookmarkStart w:id="6" w:name="OLE_LINK18"/>
      <w:bookmarkStart w:id="7" w:name="OLE_LINK19"/>
      <w:bookmarkEnd w:id="4"/>
      <w:bookmarkEnd w:id="5"/>
    </w:p>
    <w:p w:rsidR="00A468D1" w:rsidRPr="00A468D1" w:rsidRDefault="000051CB" w:rsidP="00A468D1">
      <w:pPr>
        <w:spacing w:before="120" w:after="120"/>
        <w:jc w:val="center"/>
        <w:rPr>
          <w:bCs/>
          <w:szCs w:val="22"/>
        </w:rPr>
      </w:pPr>
      <w:r>
        <w:rPr>
          <w:bCs/>
          <w:szCs w:val="22"/>
        </w:rPr>
        <w:t>Table 1</w:t>
      </w:r>
      <w:r w:rsidR="00A468D1">
        <w:rPr>
          <w:bCs/>
          <w:szCs w:val="22"/>
        </w:rPr>
        <w:t xml:space="preserve"> Results for </w:t>
      </w:r>
      <w:r>
        <w:rPr>
          <w:bCs/>
          <w:szCs w:val="22"/>
        </w:rPr>
        <w:t>the proposed unified single Intra mode mapping</w:t>
      </w:r>
      <w:r w:rsidR="00A468D1">
        <w:rPr>
          <w:bCs/>
          <w:szCs w:val="22"/>
        </w:rPr>
        <w:t>.</w:t>
      </w:r>
    </w:p>
    <w:bookmarkEnd w:id="6"/>
    <w:bookmarkEnd w:id="7"/>
    <w:tbl>
      <w:tblPr>
        <w:tblW w:w="5000" w:type="pct"/>
        <w:jc w:val="center"/>
        <w:tblLook w:val="04A0"/>
      </w:tblPr>
      <w:tblGrid>
        <w:gridCol w:w="918"/>
        <w:gridCol w:w="1854"/>
        <w:gridCol w:w="1134"/>
        <w:gridCol w:w="1134"/>
        <w:gridCol w:w="1134"/>
        <w:gridCol w:w="1134"/>
        <w:gridCol w:w="1134"/>
        <w:gridCol w:w="1134"/>
      </w:tblGrid>
      <w:tr w:rsidR="009A3722" w:rsidRPr="009A3722" w:rsidTr="009A3722">
        <w:trPr>
          <w:trHeight w:val="240"/>
          <w:jc w:val="center"/>
        </w:trPr>
        <w:tc>
          <w:tcPr>
            <w:tcW w:w="479" w:type="pct"/>
            <w:tcBorders>
              <w:top w:val="nil"/>
              <w:left w:val="nil"/>
              <w:bottom w:val="nil"/>
              <w:right w:val="nil"/>
            </w:tcBorders>
            <w:shd w:val="clear" w:color="auto" w:fill="auto"/>
            <w:noWrap/>
            <w:vAlign w:val="bottom"/>
            <w:hideMark/>
          </w:tcPr>
          <w:p w:rsidR="009A3722" w:rsidRPr="009A3722" w:rsidRDefault="009A3722" w:rsidP="009A3722">
            <w:pPr>
              <w:rPr>
                <w:color w:val="000000"/>
                <w:sz w:val="22"/>
                <w:szCs w:val="22"/>
              </w:rPr>
            </w:pPr>
          </w:p>
        </w:tc>
        <w:tc>
          <w:tcPr>
            <w:tcW w:w="968" w:type="pct"/>
            <w:tcBorders>
              <w:top w:val="nil"/>
              <w:left w:val="nil"/>
              <w:bottom w:val="nil"/>
              <w:right w:val="nil"/>
            </w:tcBorders>
            <w:shd w:val="clear" w:color="auto" w:fill="auto"/>
            <w:noWrap/>
            <w:vAlign w:val="bottom"/>
            <w:hideMark/>
          </w:tcPr>
          <w:p w:rsidR="009A3722" w:rsidRPr="009A3722" w:rsidRDefault="009A3722" w:rsidP="009A3722">
            <w:pPr>
              <w:rPr>
                <w:color w:val="000000"/>
                <w:sz w:val="22"/>
                <w:szCs w:val="22"/>
              </w:rPr>
            </w:pPr>
          </w:p>
        </w:tc>
        <w:tc>
          <w:tcPr>
            <w:tcW w:w="1776" w:type="pct"/>
            <w:gridSpan w:val="3"/>
            <w:tcBorders>
              <w:top w:val="single" w:sz="8" w:space="0" w:color="auto"/>
              <w:left w:val="single" w:sz="8" w:space="0" w:color="auto"/>
              <w:bottom w:val="nil"/>
              <w:right w:val="single" w:sz="8" w:space="0" w:color="000000"/>
            </w:tcBorders>
            <w:shd w:val="clear" w:color="auto" w:fill="auto"/>
            <w:noWrap/>
            <w:vAlign w:val="bottom"/>
            <w:hideMark/>
          </w:tcPr>
          <w:p w:rsidR="009A3722" w:rsidRPr="009A3722" w:rsidRDefault="009A3722" w:rsidP="009A3722">
            <w:pPr>
              <w:jc w:val="center"/>
              <w:rPr>
                <w:b/>
                <w:bCs/>
                <w:color w:val="000000"/>
                <w:sz w:val="22"/>
                <w:szCs w:val="22"/>
              </w:rPr>
            </w:pPr>
            <w:r w:rsidRPr="009A3722">
              <w:rPr>
                <w:b/>
                <w:bCs/>
                <w:color w:val="000000"/>
                <w:sz w:val="22"/>
                <w:szCs w:val="22"/>
              </w:rPr>
              <w:t>All Intra HE</w:t>
            </w:r>
          </w:p>
        </w:tc>
        <w:tc>
          <w:tcPr>
            <w:tcW w:w="1776" w:type="pct"/>
            <w:gridSpan w:val="3"/>
            <w:tcBorders>
              <w:top w:val="single" w:sz="8" w:space="0" w:color="auto"/>
              <w:left w:val="nil"/>
              <w:bottom w:val="nil"/>
              <w:right w:val="single" w:sz="8" w:space="0" w:color="000000"/>
            </w:tcBorders>
            <w:shd w:val="clear" w:color="auto" w:fill="auto"/>
            <w:noWrap/>
            <w:vAlign w:val="bottom"/>
            <w:hideMark/>
          </w:tcPr>
          <w:p w:rsidR="009A3722" w:rsidRPr="009A3722" w:rsidRDefault="009A3722" w:rsidP="009A3722">
            <w:pPr>
              <w:jc w:val="center"/>
              <w:rPr>
                <w:b/>
                <w:bCs/>
                <w:color w:val="000000"/>
                <w:sz w:val="22"/>
                <w:szCs w:val="22"/>
              </w:rPr>
            </w:pPr>
            <w:r w:rsidRPr="009A3722">
              <w:rPr>
                <w:b/>
                <w:bCs/>
                <w:color w:val="000000"/>
                <w:sz w:val="22"/>
                <w:szCs w:val="22"/>
              </w:rPr>
              <w:t>All Intra LC</w:t>
            </w:r>
          </w:p>
        </w:tc>
      </w:tr>
      <w:tr w:rsidR="009A3722" w:rsidRPr="009A3722" w:rsidTr="009A3722">
        <w:trPr>
          <w:trHeight w:val="255"/>
          <w:jc w:val="center"/>
        </w:trPr>
        <w:tc>
          <w:tcPr>
            <w:tcW w:w="479" w:type="pct"/>
            <w:tcBorders>
              <w:top w:val="nil"/>
              <w:left w:val="nil"/>
              <w:bottom w:val="nil"/>
              <w:right w:val="nil"/>
            </w:tcBorders>
            <w:shd w:val="clear" w:color="auto" w:fill="auto"/>
            <w:noWrap/>
            <w:vAlign w:val="bottom"/>
            <w:hideMark/>
          </w:tcPr>
          <w:p w:rsidR="009A3722" w:rsidRPr="009A3722" w:rsidRDefault="009A3722" w:rsidP="009A3722">
            <w:pPr>
              <w:rPr>
                <w:color w:val="000000"/>
                <w:sz w:val="22"/>
                <w:szCs w:val="22"/>
              </w:rPr>
            </w:pPr>
          </w:p>
        </w:tc>
        <w:tc>
          <w:tcPr>
            <w:tcW w:w="968" w:type="pct"/>
            <w:tcBorders>
              <w:top w:val="nil"/>
              <w:left w:val="nil"/>
              <w:bottom w:val="nil"/>
              <w:right w:val="nil"/>
            </w:tcBorders>
            <w:shd w:val="clear" w:color="auto" w:fill="auto"/>
            <w:noWrap/>
            <w:vAlign w:val="bottom"/>
            <w:hideMark/>
          </w:tcPr>
          <w:p w:rsidR="009A3722" w:rsidRPr="009A3722" w:rsidRDefault="009A3722" w:rsidP="009A3722">
            <w:pPr>
              <w:rPr>
                <w:color w:val="000000"/>
                <w:sz w:val="22"/>
                <w:szCs w:val="22"/>
              </w:rPr>
            </w:pPr>
          </w:p>
        </w:tc>
        <w:tc>
          <w:tcPr>
            <w:tcW w:w="592" w:type="pct"/>
            <w:tcBorders>
              <w:top w:val="nil"/>
              <w:left w:val="single" w:sz="8" w:space="0" w:color="auto"/>
              <w:bottom w:val="single" w:sz="8" w:space="0" w:color="auto"/>
              <w:right w:val="nil"/>
            </w:tcBorders>
            <w:shd w:val="clear" w:color="auto" w:fill="auto"/>
            <w:noWrap/>
            <w:vAlign w:val="bottom"/>
            <w:hideMark/>
          </w:tcPr>
          <w:p w:rsidR="009A3722" w:rsidRPr="009A3722" w:rsidRDefault="009A3722" w:rsidP="009A3722">
            <w:pPr>
              <w:jc w:val="center"/>
              <w:rPr>
                <w:color w:val="000000"/>
                <w:sz w:val="22"/>
                <w:szCs w:val="22"/>
              </w:rPr>
            </w:pPr>
            <w:r w:rsidRPr="009A3722">
              <w:rPr>
                <w:color w:val="000000"/>
                <w:sz w:val="22"/>
                <w:szCs w:val="22"/>
              </w:rPr>
              <w:t>Y</w:t>
            </w:r>
          </w:p>
        </w:tc>
        <w:tc>
          <w:tcPr>
            <w:tcW w:w="592" w:type="pct"/>
            <w:tcBorders>
              <w:top w:val="nil"/>
              <w:left w:val="nil"/>
              <w:bottom w:val="single" w:sz="8" w:space="0" w:color="auto"/>
              <w:right w:val="nil"/>
            </w:tcBorders>
            <w:shd w:val="clear" w:color="auto" w:fill="auto"/>
            <w:noWrap/>
            <w:vAlign w:val="bottom"/>
            <w:hideMark/>
          </w:tcPr>
          <w:p w:rsidR="009A3722" w:rsidRPr="009A3722" w:rsidRDefault="009A3722" w:rsidP="009A3722">
            <w:pPr>
              <w:jc w:val="center"/>
              <w:rPr>
                <w:color w:val="000000"/>
                <w:sz w:val="22"/>
                <w:szCs w:val="22"/>
              </w:rPr>
            </w:pPr>
            <w:r w:rsidRPr="009A3722">
              <w:rPr>
                <w:color w:val="000000"/>
                <w:sz w:val="22"/>
                <w:szCs w:val="22"/>
              </w:rPr>
              <w:t>U</w:t>
            </w:r>
          </w:p>
        </w:tc>
        <w:tc>
          <w:tcPr>
            <w:tcW w:w="592" w:type="pct"/>
            <w:tcBorders>
              <w:top w:val="nil"/>
              <w:left w:val="nil"/>
              <w:bottom w:val="single" w:sz="8" w:space="0" w:color="auto"/>
              <w:right w:val="single" w:sz="8" w:space="0" w:color="auto"/>
            </w:tcBorders>
            <w:shd w:val="clear" w:color="auto" w:fill="auto"/>
            <w:noWrap/>
            <w:vAlign w:val="bottom"/>
            <w:hideMark/>
          </w:tcPr>
          <w:p w:rsidR="009A3722" w:rsidRPr="009A3722" w:rsidRDefault="009A3722" w:rsidP="009A3722">
            <w:pPr>
              <w:jc w:val="center"/>
              <w:rPr>
                <w:color w:val="000000"/>
                <w:sz w:val="22"/>
                <w:szCs w:val="22"/>
              </w:rPr>
            </w:pPr>
            <w:r w:rsidRPr="009A3722">
              <w:rPr>
                <w:color w:val="000000"/>
                <w:sz w:val="22"/>
                <w:szCs w:val="22"/>
              </w:rPr>
              <w:t>V</w:t>
            </w:r>
          </w:p>
        </w:tc>
        <w:tc>
          <w:tcPr>
            <w:tcW w:w="592" w:type="pct"/>
            <w:tcBorders>
              <w:top w:val="nil"/>
              <w:left w:val="nil"/>
              <w:bottom w:val="single" w:sz="8" w:space="0" w:color="auto"/>
              <w:right w:val="nil"/>
            </w:tcBorders>
            <w:shd w:val="clear" w:color="auto" w:fill="auto"/>
            <w:noWrap/>
            <w:vAlign w:val="bottom"/>
            <w:hideMark/>
          </w:tcPr>
          <w:p w:rsidR="009A3722" w:rsidRPr="009A3722" w:rsidRDefault="009A3722" w:rsidP="009A3722">
            <w:pPr>
              <w:jc w:val="center"/>
              <w:rPr>
                <w:color w:val="000000"/>
                <w:sz w:val="22"/>
                <w:szCs w:val="22"/>
              </w:rPr>
            </w:pPr>
            <w:r w:rsidRPr="009A3722">
              <w:rPr>
                <w:color w:val="000000"/>
                <w:sz w:val="22"/>
                <w:szCs w:val="22"/>
              </w:rPr>
              <w:t>Y</w:t>
            </w:r>
          </w:p>
        </w:tc>
        <w:tc>
          <w:tcPr>
            <w:tcW w:w="592" w:type="pct"/>
            <w:tcBorders>
              <w:top w:val="nil"/>
              <w:left w:val="nil"/>
              <w:bottom w:val="single" w:sz="8" w:space="0" w:color="auto"/>
              <w:right w:val="nil"/>
            </w:tcBorders>
            <w:shd w:val="clear" w:color="auto" w:fill="auto"/>
            <w:noWrap/>
            <w:vAlign w:val="bottom"/>
            <w:hideMark/>
          </w:tcPr>
          <w:p w:rsidR="009A3722" w:rsidRPr="009A3722" w:rsidRDefault="009A3722" w:rsidP="009A3722">
            <w:pPr>
              <w:jc w:val="center"/>
              <w:rPr>
                <w:color w:val="000000"/>
                <w:sz w:val="22"/>
                <w:szCs w:val="22"/>
              </w:rPr>
            </w:pPr>
            <w:r w:rsidRPr="009A3722">
              <w:rPr>
                <w:color w:val="000000"/>
                <w:sz w:val="22"/>
                <w:szCs w:val="22"/>
              </w:rPr>
              <w:t>U</w:t>
            </w:r>
          </w:p>
        </w:tc>
        <w:tc>
          <w:tcPr>
            <w:tcW w:w="592" w:type="pct"/>
            <w:tcBorders>
              <w:top w:val="nil"/>
              <w:left w:val="nil"/>
              <w:bottom w:val="single" w:sz="8" w:space="0" w:color="auto"/>
              <w:right w:val="single" w:sz="8" w:space="0" w:color="auto"/>
            </w:tcBorders>
            <w:shd w:val="clear" w:color="auto" w:fill="auto"/>
            <w:noWrap/>
            <w:vAlign w:val="bottom"/>
            <w:hideMark/>
          </w:tcPr>
          <w:p w:rsidR="009A3722" w:rsidRPr="009A3722" w:rsidRDefault="009A3722" w:rsidP="009A3722">
            <w:pPr>
              <w:jc w:val="center"/>
              <w:rPr>
                <w:color w:val="000000"/>
                <w:sz w:val="22"/>
                <w:szCs w:val="22"/>
              </w:rPr>
            </w:pPr>
            <w:r w:rsidRPr="009A3722">
              <w:rPr>
                <w:color w:val="000000"/>
                <w:sz w:val="22"/>
                <w:szCs w:val="22"/>
              </w:rPr>
              <w:t>V</w:t>
            </w:r>
          </w:p>
        </w:tc>
      </w:tr>
      <w:tr w:rsidR="009A3722" w:rsidRPr="009A3722" w:rsidTr="009A3722">
        <w:trPr>
          <w:trHeight w:val="240"/>
          <w:jc w:val="center"/>
        </w:trPr>
        <w:tc>
          <w:tcPr>
            <w:tcW w:w="479" w:type="pct"/>
            <w:tcBorders>
              <w:top w:val="nil"/>
              <w:left w:val="nil"/>
              <w:bottom w:val="nil"/>
              <w:right w:val="nil"/>
            </w:tcBorders>
            <w:shd w:val="clear" w:color="auto" w:fill="auto"/>
            <w:noWrap/>
            <w:vAlign w:val="bottom"/>
            <w:hideMark/>
          </w:tcPr>
          <w:p w:rsidR="009A3722" w:rsidRPr="009A3722" w:rsidRDefault="009A3722" w:rsidP="009A3722">
            <w:pPr>
              <w:rPr>
                <w:color w:val="000000"/>
                <w:sz w:val="22"/>
                <w:szCs w:val="22"/>
              </w:rPr>
            </w:pPr>
          </w:p>
        </w:tc>
        <w:tc>
          <w:tcPr>
            <w:tcW w:w="968" w:type="pct"/>
            <w:tcBorders>
              <w:top w:val="single" w:sz="8" w:space="0" w:color="auto"/>
              <w:left w:val="single" w:sz="8" w:space="0" w:color="auto"/>
              <w:bottom w:val="nil"/>
              <w:right w:val="single" w:sz="8" w:space="0" w:color="auto"/>
            </w:tcBorders>
            <w:shd w:val="clear" w:color="auto" w:fill="auto"/>
            <w:noWrap/>
            <w:vAlign w:val="bottom"/>
            <w:hideMark/>
          </w:tcPr>
          <w:p w:rsidR="009A3722" w:rsidRPr="009A3722" w:rsidRDefault="009A3722" w:rsidP="009A3722">
            <w:pPr>
              <w:rPr>
                <w:color w:val="000000"/>
                <w:sz w:val="22"/>
                <w:szCs w:val="22"/>
              </w:rPr>
            </w:pPr>
            <w:r w:rsidRPr="009A3722">
              <w:rPr>
                <w:color w:val="000000"/>
                <w:sz w:val="22"/>
                <w:szCs w:val="22"/>
              </w:rPr>
              <w:t>Class A</w:t>
            </w:r>
          </w:p>
        </w:tc>
        <w:tc>
          <w:tcPr>
            <w:tcW w:w="592" w:type="pct"/>
            <w:tcBorders>
              <w:top w:val="nil"/>
              <w:left w:val="nil"/>
              <w:bottom w:val="nil"/>
              <w:right w:val="nil"/>
            </w:tcBorders>
            <w:shd w:val="clear" w:color="auto" w:fill="auto"/>
            <w:noWrap/>
            <w:vAlign w:val="bottom"/>
            <w:hideMark/>
          </w:tcPr>
          <w:p w:rsidR="009A3722" w:rsidRPr="009A3722" w:rsidRDefault="009A3722" w:rsidP="009A3722">
            <w:pPr>
              <w:jc w:val="center"/>
              <w:rPr>
                <w:color w:val="000000"/>
                <w:sz w:val="22"/>
                <w:szCs w:val="22"/>
              </w:rPr>
            </w:pPr>
            <w:r w:rsidRPr="009A3722">
              <w:rPr>
                <w:color w:val="000000"/>
                <w:sz w:val="22"/>
                <w:szCs w:val="22"/>
              </w:rPr>
              <w:t>0.0%</w:t>
            </w:r>
          </w:p>
        </w:tc>
        <w:tc>
          <w:tcPr>
            <w:tcW w:w="592" w:type="pct"/>
            <w:tcBorders>
              <w:top w:val="nil"/>
              <w:left w:val="nil"/>
              <w:bottom w:val="nil"/>
              <w:right w:val="nil"/>
            </w:tcBorders>
            <w:shd w:val="clear" w:color="auto" w:fill="auto"/>
            <w:noWrap/>
            <w:vAlign w:val="bottom"/>
            <w:hideMark/>
          </w:tcPr>
          <w:p w:rsidR="009A3722" w:rsidRPr="009A3722" w:rsidRDefault="009A3722" w:rsidP="009A3722">
            <w:pPr>
              <w:jc w:val="center"/>
              <w:rPr>
                <w:color w:val="000000"/>
                <w:sz w:val="22"/>
                <w:szCs w:val="22"/>
              </w:rPr>
            </w:pPr>
            <w:r w:rsidRPr="009A3722">
              <w:rPr>
                <w:color w:val="000000"/>
                <w:sz w:val="22"/>
                <w:szCs w:val="22"/>
              </w:rPr>
              <w:t>0.0%</w:t>
            </w:r>
          </w:p>
        </w:tc>
        <w:tc>
          <w:tcPr>
            <w:tcW w:w="592" w:type="pct"/>
            <w:tcBorders>
              <w:top w:val="nil"/>
              <w:left w:val="nil"/>
              <w:bottom w:val="nil"/>
              <w:right w:val="single" w:sz="8" w:space="0" w:color="auto"/>
            </w:tcBorders>
            <w:shd w:val="clear" w:color="auto" w:fill="auto"/>
            <w:noWrap/>
            <w:vAlign w:val="bottom"/>
            <w:hideMark/>
          </w:tcPr>
          <w:p w:rsidR="009A3722" w:rsidRPr="009A3722" w:rsidRDefault="009A3722" w:rsidP="009A3722">
            <w:pPr>
              <w:jc w:val="center"/>
              <w:rPr>
                <w:color w:val="000000"/>
                <w:sz w:val="22"/>
                <w:szCs w:val="22"/>
              </w:rPr>
            </w:pPr>
            <w:r w:rsidRPr="009A3722">
              <w:rPr>
                <w:color w:val="000000"/>
                <w:sz w:val="22"/>
                <w:szCs w:val="22"/>
              </w:rPr>
              <w:t>0.1%</w:t>
            </w:r>
          </w:p>
        </w:tc>
        <w:tc>
          <w:tcPr>
            <w:tcW w:w="592" w:type="pct"/>
            <w:tcBorders>
              <w:top w:val="nil"/>
              <w:left w:val="nil"/>
              <w:bottom w:val="nil"/>
              <w:right w:val="nil"/>
            </w:tcBorders>
            <w:shd w:val="clear" w:color="auto" w:fill="auto"/>
            <w:noWrap/>
            <w:vAlign w:val="bottom"/>
            <w:hideMark/>
          </w:tcPr>
          <w:p w:rsidR="009A3722" w:rsidRPr="009A3722" w:rsidRDefault="009A3722" w:rsidP="009A3722">
            <w:pPr>
              <w:jc w:val="center"/>
              <w:rPr>
                <w:color w:val="000000"/>
                <w:sz w:val="22"/>
                <w:szCs w:val="22"/>
              </w:rPr>
            </w:pPr>
            <w:r w:rsidRPr="009A3722">
              <w:rPr>
                <w:color w:val="000000"/>
                <w:sz w:val="22"/>
                <w:szCs w:val="22"/>
              </w:rPr>
              <w:t>0.0%</w:t>
            </w:r>
          </w:p>
        </w:tc>
        <w:tc>
          <w:tcPr>
            <w:tcW w:w="592" w:type="pct"/>
            <w:tcBorders>
              <w:top w:val="nil"/>
              <w:left w:val="nil"/>
              <w:bottom w:val="nil"/>
              <w:right w:val="nil"/>
            </w:tcBorders>
            <w:shd w:val="clear" w:color="auto" w:fill="auto"/>
            <w:noWrap/>
            <w:vAlign w:val="bottom"/>
            <w:hideMark/>
          </w:tcPr>
          <w:p w:rsidR="009A3722" w:rsidRPr="009A3722" w:rsidRDefault="009A3722" w:rsidP="009A3722">
            <w:pPr>
              <w:jc w:val="center"/>
              <w:rPr>
                <w:color w:val="000000"/>
                <w:sz w:val="22"/>
                <w:szCs w:val="22"/>
              </w:rPr>
            </w:pPr>
            <w:r w:rsidRPr="009A3722">
              <w:rPr>
                <w:color w:val="000000"/>
                <w:sz w:val="22"/>
                <w:szCs w:val="22"/>
              </w:rPr>
              <w:t>0.0%</w:t>
            </w:r>
          </w:p>
        </w:tc>
        <w:tc>
          <w:tcPr>
            <w:tcW w:w="592" w:type="pct"/>
            <w:tcBorders>
              <w:top w:val="nil"/>
              <w:left w:val="nil"/>
              <w:bottom w:val="nil"/>
              <w:right w:val="single" w:sz="8" w:space="0" w:color="auto"/>
            </w:tcBorders>
            <w:shd w:val="clear" w:color="auto" w:fill="auto"/>
            <w:noWrap/>
            <w:vAlign w:val="bottom"/>
            <w:hideMark/>
          </w:tcPr>
          <w:p w:rsidR="009A3722" w:rsidRPr="009A3722" w:rsidRDefault="009A3722" w:rsidP="009A3722">
            <w:pPr>
              <w:jc w:val="center"/>
              <w:rPr>
                <w:color w:val="000000"/>
                <w:sz w:val="22"/>
                <w:szCs w:val="22"/>
              </w:rPr>
            </w:pPr>
            <w:r w:rsidRPr="009A3722">
              <w:rPr>
                <w:color w:val="000000"/>
                <w:sz w:val="22"/>
                <w:szCs w:val="22"/>
              </w:rPr>
              <w:t>0.0%</w:t>
            </w:r>
          </w:p>
        </w:tc>
      </w:tr>
      <w:tr w:rsidR="009A3722" w:rsidRPr="009A3722" w:rsidTr="009A3722">
        <w:trPr>
          <w:trHeight w:val="240"/>
          <w:jc w:val="center"/>
        </w:trPr>
        <w:tc>
          <w:tcPr>
            <w:tcW w:w="479" w:type="pct"/>
            <w:tcBorders>
              <w:top w:val="nil"/>
              <w:left w:val="nil"/>
              <w:bottom w:val="nil"/>
              <w:right w:val="nil"/>
            </w:tcBorders>
            <w:shd w:val="clear" w:color="auto" w:fill="auto"/>
            <w:noWrap/>
            <w:vAlign w:val="bottom"/>
            <w:hideMark/>
          </w:tcPr>
          <w:p w:rsidR="009A3722" w:rsidRPr="009A3722" w:rsidRDefault="009A3722" w:rsidP="009A3722">
            <w:pPr>
              <w:rPr>
                <w:color w:val="000000"/>
                <w:sz w:val="22"/>
                <w:szCs w:val="22"/>
              </w:rPr>
            </w:pPr>
          </w:p>
        </w:tc>
        <w:tc>
          <w:tcPr>
            <w:tcW w:w="968" w:type="pct"/>
            <w:tcBorders>
              <w:top w:val="nil"/>
              <w:left w:val="single" w:sz="8" w:space="0" w:color="auto"/>
              <w:bottom w:val="nil"/>
              <w:right w:val="single" w:sz="8" w:space="0" w:color="auto"/>
            </w:tcBorders>
            <w:shd w:val="clear" w:color="auto" w:fill="auto"/>
            <w:noWrap/>
            <w:vAlign w:val="bottom"/>
            <w:hideMark/>
          </w:tcPr>
          <w:p w:rsidR="009A3722" w:rsidRPr="009A3722" w:rsidRDefault="009A3722" w:rsidP="009A3722">
            <w:pPr>
              <w:rPr>
                <w:color w:val="000000"/>
                <w:sz w:val="22"/>
                <w:szCs w:val="22"/>
              </w:rPr>
            </w:pPr>
            <w:r w:rsidRPr="009A3722">
              <w:rPr>
                <w:color w:val="000000"/>
                <w:sz w:val="22"/>
                <w:szCs w:val="22"/>
              </w:rPr>
              <w:t>Class B</w:t>
            </w:r>
          </w:p>
        </w:tc>
        <w:tc>
          <w:tcPr>
            <w:tcW w:w="592" w:type="pct"/>
            <w:tcBorders>
              <w:top w:val="nil"/>
              <w:left w:val="nil"/>
              <w:bottom w:val="nil"/>
              <w:right w:val="nil"/>
            </w:tcBorders>
            <w:shd w:val="clear" w:color="auto" w:fill="auto"/>
            <w:noWrap/>
            <w:vAlign w:val="bottom"/>
            <w:hideMark/>
          </w:tcPr>
          <w:p w:rsidR="009A3722" w:rsidRPr="009A3722" w:rsidRDefault="009A3722" w:rsidP="009A3722">
            <w:pPr>
              <w:jc w:val="center"/>
              <w:rPr>
                <w:color w:val="000000"/>
                <w:sz w:val="22"/>
                <w:szCs w:val="22"/>
              </w:rPr>
            </w:pPr>
            <w:r w:rsidRPr="009A3722">
              <w:rPr>
                <w:color w:val="000000"/>
                <w:sz w:val="22"/>
                <w:szCs w:val="22"/>
              </w:rPr>
              <w:t>0.0%</w:t>
            </w:r>
          </w:p>
        </w:tc>
        <w:tc>
          <w:tcPr>
            <w:tcW w:w="592" w:type="pct"/>
            <w:tcBorders>
              <w:top w:val="nil"/>
              <w:left w:val="nil"/>
              <w:bottom w:val="nil"/>
              <w:right w:val="nil"/>
            </w:tcBorders>
            <w:shd w:val="clear" w:color="auto" w:fill="auto"/>
            <w:noWrap/>
            <w:vAlign w:val="bottom"/>
            <w:hideMark/>
          </w:tcPr>
          <w:p w:rsidR="009A3722" w:rsidRPr="009A3722" w:rsidRDefault="009A3722" w:rsidP="009A3722">
            <w:pPr>
              <w:jc w:val="center"/>
              <w:rPr>
                <w:color w:val="000000"/>
                <w:sz w:val="22"/>
                <w:szCs w:val="22"/>
              </w:rPr>
            </w:pPr>
            <w:r w:rsidRPr="009A3722">
              <w:rPr>
                <w:color w:val="000000"/>
                <w:sz w:val="22"/>
                <w:szCs w:val="22"/>
              </w:rPr>
              <w:t>0.0%</w:t>
            </w:r>
          </w:p>
        </w:tc>
        <w:tc>
          <w:tcPr>
            <w:tcW w:w="592" w:type="pct"/>
            <w:tcBorders>
              <w:top w:val="nil"/>
              <w:left w:val="nil"/>
              <w:bottom w:val="nil"/>
              <w:right w:val="single" w:sz="8" w:space="0" w:color="auto"/>
            </w:tcBorders>
            <w:shd w:val="clear" w:color="auto" w:fill="auto"/>
            <w:noWrap/>
            <w:vAlign w:val="bottom"/>
            <w:hideMark/>
          </w:tcPr>
          <w:p w:rsidR="009A3722" w:rsidRPr="009A3722" w:rsidRDefault="009A3722" w:rsidP="009A3722">
            <w:pPr>
              <w:jc w:val="center"/>
              <w:rPr>
                <w:color w:val="000000"/>
                <w:sz w:val="22"/>
                <w:szCs w:val="22"/>
              </w:rPr>
            </w:pPr>
            <w:r w:rsidRPr="009A3722">
              <w:rPr>
                <w:color w:val="000000"/>
                <w:sz w:val="22"/>
                <w:szCs w:val="22"/>
              </w:rPr>
              <w:t>0.0%</w:t>
            </w:r>
          </w:p>
        </w:tc>
        <w:tc>
          <w:tcPr>
            <w:tcW w:w="592" w:type="pct"/>
            <w:tcBorders>
              <w:top w:val="nil"/>
              <w:left w:val="nil"/>
              <w:bottom w:val="nil"/>
              <w:right w:val="nil"/>
            </w:tcBorders>
            <w:shd w:val="clear" w:color="auto" w:fill="auto"/>
            <w:noWrap/>
            <w:vAlign w:val="bottom"/>
            <w:hideMark/>
          </w:tcPr>
          <w:p w:rsidR="009A3722" w:rsidRPr="009A3722" w:rsidRDefault="009A3722" w:rsidP="009A3722">
            <w:pPr>
              <w:jc w:val="center"/>
              <w:rPr>
                <w:color w:val="000000"/>
                <w:sz w:val="22"/>
                <w:szCs w:val="22"/>
              </w:rPr>
            </w:pPr>
            <w:r w:rsidRPr="009A3722">
              <w:rPr>
                <w:color w:val="000000"/>
                <w:sz w:val="22"/>
                <w:szCs w:val="22"/>
              </w:rPr>
              <w:t>0.0%</w:t>
            </w:r>
          </w:p>
        </w:tc>
        <w:tc>
          <w:tcPr>
            <w:tcW w:w="592" w:type="pct"/>
            <w:tcBorders>
              <w:top w:val="nil"/>
              <w:left w:val="nil"/>
              <w:bottom w:val="nil"/>
              <w:right w:val="nil"/>
            </w:tcBorders>
            <w:shd w:val="clear" w:color="auto" w:fill="auto"/>
            <w:noWrap/>
            <w:vAlign w:val="bottom"/>
            <w:hideMark/>
          </w:tcPr>
          <w:p w:rsidR="009A3722" w:rsidRPr="009A3722" w:rsidRDefault="009A3722" w:rsidP="009A3722">
            <w:pPr>
              <w:jc w:val="center"/>
              <w:rPr>
                <w:color w:val="000000"/>
                <w:sz w:val="22"/>
                <w:szCs w:val="22"/>
              </w:rPr>
            </w:pPr>
            <w:r w:rsidRPr="009A3722">
              <w:rPr>
                <w:color w:val="000000"/>
                <w:sz w:val="22"/>
                <w:szCs w:val="22"/>
              </w:rPr>
              <w:t>0.0%</w:t>
            </w:r>
          </w:p>
        </w:tc>
        <w:tc>
          <w:tcPr>
            <w:tcW w:w="592" w:type="pct"/>
            <w:tcBorders>
              <w:top w:val="nil"/>
              <w:left w:val="nil"/>
              <w:bottom w:val="nil"/>
              <w:right w:val="single" w:sz="8" w:space="0" w:color="auto"/>
            </w:tcBorders>
            <w:shd w:val="clear" w:color="auto" w:fill="auto"/>
            <w:noWrap/>
            <w:vAlign w:val="bottom"/>
            <w:hideMark/>
          </w:tcPr>
          <w:p w:rsidR="009A3722" w:rsidRPr="009A3722" w:rsidRDefault="009A3722" w:rsidP="009A3722">
            <w:pPr>
              <w:jc w:val="center"/>
              <w:rPr>
                <w:color w:val="000000"/>
                <w:sz w:val="22"/>
                <w:szCs w:val="22"/>
              </w:rPr>
            </w:pPr>
            <w:r w:rsidRPr="009A3722">
              <w:rPr>
                <w:color w:val="000000"/>
                <w:sz w:val="22"/>
                <w:szCs w:val="22"/>
              </w:rPr>
              <w:t>0.1%</w:t>
            </w:r>
          </w:p>
        </w:tc>
      </w:tr>
      <w:tr w:rsidR="009A3722" w:rsidRPr="009A3722" w:rsidTr="009A3722">
        <w:trPr>
          <w:trHeight w:val="240"/>
          <w:jc w:val="center"/>
        </w:trPr>
        <w:tc>
          <w:tcPr>
            <w:tcW w:w="479" w:type="pct"/>
            <w:tcBorders>
              <w:top w:val="nil"/>
              <w:left w:val="nil"/>
              <w:bottom w:val="nil"/>
              <w:right w:val="nil"/>
            </w:tcBorders>
            <w:shd w:val="clear" w:color="auto" w:fill="auto"/>
            <w:noWrap/>
            <w:vAlign w:val="bottom"/>
            <w:hideMark/>
          </w:tcPr>
          <w:p w:rsidR="009A3722" w:rsidRPr="009A3722" w:rsidRDefault="009A3722" w:rsidP="009A3722">
            <w:pPr>
              <w:rPr>
                <w:color w:val="000000"/>
                <w:sz w:val="22"/>
                <w:szCs w:val="22"/>
              </w:rPr>
            </w:pPr>
          </w:p>
        </w:tc>
        <w:tc>
          <w:tcPr>
            <w:tcW w:w="968" w:type="pct"/>
            <w:tcBorders>
              <w:top w:val="nil"/>
              <w:left w:val="single" w:sz="8" w:space="0" w:color="auto"/>
              <w:bottom w:val="nil"/>
              <w:right w:val="single" w:sz="8" w:space="0" w:color="auto"/>
            </w:tcBorders>
            <w:shd w:val="clear" w:color="auto" w:fill="auto"/>
            <w:noWrap/>
            <w:vAlign w:val="bottom"/>
            <w:hideMark/>
          </w:tcPr>
          <w:p w:rsidR="009A3722" w:rsidRPr="009A3722" w:rsidRDefault="009A3722" w:rsidP="009A3722">
            <w:pPr>
              <w:rPr>
                <w:color w:val="000000"/>
                <w:sz w:val="22"/>
                <w:szCs w:val="22"/>
              </w:rPr>
            </w:pPr>
            <w:r w:rsidRPr="009A3722">
              <w:rPr>
                <w:color w:val="000000"/>
                <w:sz w:val="22"/>
                <w:szCs w:val="22"/>
              </w:rPr>
              <w:t>Class C</w:t>
            </w:r>
          </w:p>
        </w:tc>
        <w:tc>
          <w:tcPr>
            <w:tcW w:w="592" w:type="pct"/>
            <w:tcBorders>
              <w:top w:val="nil"/>
              <w:left w:val="nil"/>
              <w:bottom w:val="nil"/>
              <w:right w:val="nil"/>
            </w:tcBorders>
            <w:shd w:val="clear" w:color="auto" w:fill="auto"/>
            <w:noWrap/>
            <w:vAlign w:val="bottom"/>
            <w:hideMark/>
          </w:tcPr>
          <w:p w:rsidR="009A3722" w:rsidRPr="009A3722" w:rsidRDefault="009A3722" w:rsidP="009A3722">
            <w:pPr>
              <w:jc w:val="center"/>
              <w:rPr>
                <w:color w:val="000000"/>
                <w:sz w:val="22"/>
                <w:szCs w:val="22"/>
              </w:rPr>
            </w:pPr>
            <w:r w:rsidRPr="009A3722">
              <w:rPr>
                <w:color w:val="000000"/>
                <w:sz w:val="22"/>
                <w:szCs w:val="22"/>
              </w:rPr>
              <w:t>0.1%</w:t>
            </w:r>
          </w:p>
        </w:tc>
        <w:tc>
          <w:tcPr>
            <w:tcW w:w="592" w:type="pct"/>
            <w:tcBorders>
              <w:top w:val="nil"/>
              <w:left w:val="nil"/>
              <w:bottom w:val="nil"/>
              <w:right w:val="nil"/>
            </w:tcBorders>
            <w:shd w:val="clear" w:color="auto" w:fill="auto"/>
            <w:noWrap/>
            <w:vAlign w:val="bottom"/>
            <w:hideMark/>
          </w:tcPr>
          <w:p w:rsidR="009A3722" w:rsidRPr="009A3722" w:rsidRDefault="009A3722" w:rsidP="009A3722">
            <w:pPr>
              <w:jc w:val="center"/>
              <w:rPr>
                <w:color w:val="000000"/>
                <w:sz w:val="22"/>
                <w:szCs w:val="22"/>
              </w:rPr>
            </w:pPr>
            <w:r w:rsidRPr="009A3722">
              <w:rPr>
                <w:color w:val="000000"/>
                <w:sz w:val="22"/>
                <w:szCs w:val="22"/>
              </w:rPr>
              <w:t>0.1%</w:t>
            </w:r>
          </w:p>
        </w:tc>
        <w:tc>
          <w:tcPr>
            <w:tcW w:w="592" w:type="pct"/>
            <w:tcBorders>
              <w:top w:val="nil"/>
              <w:left w:val="nil"/>
              <w:bottom w:val="nil"/>
              <w:right w:val="single" w:sz="8" w:space="0" w:color="auto"/>
            </w:tcBorders>
            <w:shd w:val="clear" w:color="auto" w:fill="auto"/>
            <w:noWrap/>
            <w:vAlign w:val="bottom"/>
            <w:hideMark/>
          </w:tcPr>
          <w:p w:rsidR="009A3722" w:rsidRPr="009A3722" w:rsidRDefault="009A3722" w:rsidP="009A3722">
            <w:pPr>
              <w:jc w:val="center"/>
              <w:rPr>
                <w:color w:val="000000"/>
                <w:sz w:val="22"/>
                <w:szCs w:val="22"/>
              </w:rPr>
            </w:pPr>
            <w:r w:rsidRPr="009A3722">
              <w:rPr>
                <w:color w:val="000000"/>
                <w:sz w:val="22"/>
                <w:szCs w:val="22"/>
              </w:rPr>
              <w:t>0.1%</w:t>
            </w:r>
          </w:p>
        </w:tc>
        <w:tc>
          <w:tcPr>
            <w:tcW w:w="592" w:type="pct"/>
            <w:tcBorders>
              <w:top w:val="nil"/>
              <w:left w:val="nil"/>
              <w:bottom w:val="nil"/>
              <w:right w:val="nil"/>
            </w:tcBorders>
            <w:shd w:val="clear" w:color="auto" w:fill="auto"/>
            <w:noWrap/>
            <w:vAlign w:val="bottom"/>
            <w:hideMark/>
          </w:tcPr>
          <w:p w:rsidR="009A3722" w:rsidRPr="009A3722" w:rsidRDefault="009A3722" w:rsidP="009A3722">
            <w:pPr>
              <w:jc w:val="center"/>
              <w:rPr>
                <w:color w:val="000000"/>
                <w:sz w:val="22"/>
                <w:szCs w:val="22"/>
              </w:rPr>
            </w:pPr>
            <w:r w:rsidRPr="009A3722">
              <w:rPr>
                <w:color w:val="000000"/>
                <w:sz w:val="22"/>
                <w:szCs w:val="22"/>
              </w:rPr>
              <w:t>0.1%</w:t>
            </w:r>
          </w:p>
        </w:tc>
        <w:tc>
          <w:tcPr>
            <w:tcW w:w="592" w:type="pct"/>
            <w:tcBorders>
              <w:top w:val="nil"/>
              <w:left w:val="nil"/>
              <w:bottom w:val="nil"/>
              <w:right w:val="nil"/>
            </w:tcBorders>
            <w:shd w:val="clear" w:color="auto" w:fill="auto"/>
            <w:noWrap/>
            <w:vAlign w:val="bottom"/>
            <w:hideMark/>
          </w:tcPr>
          <w:p w:rsidR="009A3722" w:rsidRPr="009A3722" w:rsidRDefault="009A3722" w:rsidP="009A3722">
            <w:pPr>
              <w:jc w:val="center"/>
              <w:rPr>
                <w:color w:val="000000"/>
                <w:sz w:val="22"/>
                <w:szCs w:val="22"/>
              </w:rPr>
            </w:pPr>
            <w:r w:rsidRPr="009A3722">
              <w:rPr>
                <w:color w:val="000000"/>
                <w:sz w:val="22"/>
                <w:szCs w:val="22"/>
              </w:rPr>
              <w:t>0.1%</w:t>
            </w:r>
          </w:p>
        </w:tc>
        <w:tc>
          <w:tcPr>
            <w:tcW w:w="592" w:type="pct"/>
            <w:tcBorders>
              <w:top w:val="nil"/>
              <w:left w:val="nil"/>
              <w:bottom w:val="nil"/>
              <w:right w:val="single" w:sz="8" w:space="0" w:color="auto"/>
            </w:tcBorders>
            <w:shd w:val="clear" w:color="auto" w:fill="auto"/>
            <w:noWrap/>
            <w:vAlign w:val="bottom"/>
            <w:hideMark/>
          </w:tcPr>
          <w:p w:rsidR="009A3722" w:rsidRPr="009A3722" w:rsidRDefault="009A3722" w:rsidP="009A3722">
            <w:pPr>
              <w:jc w:val="center"/>
              <w:rPr>
                <w:color w:val="000000"/>
                <w:sz w:val="22"/>
                <w:szCs w:val="22"/>
              </w:rPr>
            </w:pPr>
            <w:r w:rsidRPr="009A3722">
              <w:rPr>
                <w:color w:val="000000"/>
                <w:sz w:val="22"/>
                <w:szCs w:val="22"/>
              </w:rPr>
              <w:t>0.1%</w:t>
            </w:r>
          </w:p>
        </w:tc>
      </w:tr>
      <w:tr w:rsidR="009A3722" w:rsidRPr="009A3722" w:rsidTr="009A3722">
        <w:trPr>
          <w:trHeight w:val="240"/>
          <w:jc w:val="center"/>
        </w:trPr>
        <w:tc>
          <w:tcPr>
            <w:tcW w:w="479" w:type="pct"/>
            <w:tcBorders>
              <w:top w:val="nil"/>
              <w:left w:val="nil"/>
              <w:bottom w:val="nil"/>
              <w:right w:val="nil"/>
            </w:tcBorders>
            <w:shd w:val="clear" w:color="auto" w:fill="auto"/>
            <w:noWrap/>
            <w:vAlign w:val="bottom"/>
            <w:hideMark/>
          </w:tcPr>
          <w:p w:rsidR="009A3722" w:rsidRPr="009A3722" w:rsidRDefault="009A3722" w:rsidP="009A3722">
            <w:pPr>
              <w:rPr>
                <w:color w:val="000000"/>
                <w:sz w:val="22"/>
                <w:szCs w:val="22"/>
              </w:rPr>
            </w:pPr>
          </w:p>
        </w:tc>
        <w:tc>
          <w:tcPr>
            <w:tcW w:w="968" w:type="pct"/>
            <w:tcBorders>
              <w:top w:val="nil"/>
              <w:left w:val="single" w:sz="8" w:space="0" w:color="auto"/>
              <w:bottom w:val="nil"/>
              <w:right w:val="single" w:sz="8" w:space="0" w:color="auto"/>
            </w:tcBorders>
            <w:shd w:val="clear" w:color="auto" w:fill="auto"/>
            <w:noWrap/>
            <w:vAlign w:val="bottom"/>
            <w:hideMark/>
          </w:tcPr>
          <w:p w:rsidR="009A3722" w:rsidRPr="009A3722" w:rsidRDefault="009A3722" w:rsidP="009A3722">
            <w:pPr>
              <w:rPr>
                <w:color w:val="000000"/>
                <w:sz w:val="22"/>
                <w:szCs w:val="22"/>
              </w:rPr>
            </w:pPr>
            <w:r w:rsidRPr="009A3722">
              <w:rPr>
                <w:color w:val="000000"/>
                <w:sz w:val="22"/>
                <w:szCs w:val="22"/>
              </w:rPr>
              <w:t>Class D</w:t>
            </w:r>
          </w:p>
        </w:tc>
        <w:tc>
          <w:tcPr>
            <w:tcW w:w="592" w:type="pct"/>
            <w:tcBorders>
              <w:top w:val="nil"/>
              <w:left w:val="nil"/>
              <w:bottom w:val="nil"/>
              <w:right w:val="nil"/>
            </w:tcBorders>
            <w:shd w:val="clear" w:color="auto" w:fill="auto"/>
            <w:noWrap/>
            <w:vAlign w:val="bottom"/>
            <w:hideMark/>
          </w:tcPr>
          <w:p w:rsidR="009A3722" w:rsidRPr="009A3722" w:rsidRDefault="009A3722" w:rsidP="009A3722">
            <w:pPr>
              <w:jc w:val="center"/>
              <w:rPr>
                <w:color w:val="000000"/>
                <w:sz w:val="22"/>
                <w:szCs w:val="22"/>
              </w:rPr>
            </w:pPr>
            <w:r w:rsidRPr="009A3722">
              <w:rPr>
                <w:color w:val="000000"/>
                <w:sz w:val="22"/>
                <w:szCs w:val="22"/>
              </w:rPr>
              <w:t>0.0%</w:t>
            </w:r>
          </w:p>
        </w:tc>
        <w:tc>
          <w:tcPr>
            <w:tcW w:w="592" w:type="pct"/>
            <w:tcBorders>
              <w:top w:val="nil"/>
              <w:left w:val="nil"/>
              <w:bottom w:val="nil"/>
              <w:right w:val="nil"/>
            </w:tcBorders>
            <w:shd w:val="clear" w:color="auto" w:fill="auto"/>
            <w:noWrap/>
            <w:vAlign w:val="bottom"/>
            <w:hideMark/>
          </w:tcPr>
          <w:p w:rsidR="009A3722" w:rsidRPr="009A3722" w:rsidRDefault="009A3722" w:rsidP="009A3722">
            <w:pPr>
              <w:jc w:val="center"/>
              <w:rPr>
                <w:color w:val="000000"/>
                <w:sz w:val="22"/>
                <w:szCs w:val="22"/>
              </w:rPr>
            </w:pPr>
            <w:r w:rsidRPr="009A3722">
              <w:rPr>
                <w:color w:val="000000"/>
                <w:sz w:val="22"/>
                <w:szCs w:val="22"/>
              </w:rPr>
              <w:t>0.0%</w:t>
            </w:r>
          </w:p>
        </w:tc>
        <w:tc>
          <w:tcPr>
            <w:tcW w:w="592" w:type="pct"/>
            <w:tcBorders>
              <w:top w:val="nil"/>
              <w:left w:val="nil"/>
              <w:bottom w:val="nil"/>
              <w:right w:val="single" w:sz="8" w:space="0" w:color="auto"/>
            </w:tcBorders>
            <w:shd w:val="clear" w:color="auto" w:fill="auto"/>
            <w:noWrap/>
            <w:vAlign w:val="bottom"/>
            <w:hideMark/>
          </w:tcPr>
          <w:p w:rsidR="009A3722" w:rsidRPr="009A3722" w:rsidRDefault="009A3722" w:rsidP="009A3722">
            <w:pPr>
              <w:jc w:val="center"/>
              <w:rPr>
                <w:color w:val="000000"/>
                <w:sz w:val="22"/>
                <w:szCs w:val="22"/>
              </w:rPr>
            </w:pPr>
            <w:r w:rsidRPr="009A3722">
              <w:rPr>
                <w:color w:val="000000"/>
                <w:sz w:val="22"/>
                <w:szCs w:val="22"/>
              </w:rPr>
              <w:t>0.0%</w:t>
            </w:r>
          </w:p>
        </w:tc>
        <w:tc>
          <w:tcPr>
            <w:tcW w:w="592" w:type="pct"/>
            <w:tcBorders>
              <w:top w:val="nil"/>
              <w:left w:val="nil"/>
              <w:bottom w:val="nil"/>
              <w:right w:val="nil"/>
            </w:tcBorders>
            <w:shd w:val="clear" w:color="auto" w:fill="auto"/>
            <w:noWrap/>
            <w:vAlign w:val="bottom"/>
            <w:hideMark/>
          </w:tcPr>
          <w:p w:rsidR="009A3722" w:rsidRPr="009A3722" w:rsidRDefault="009A3722" w:rsidP="009A3722">
            <w:pPr>
              <w:jc w:val="center"/>
              <w:rPr>
                <w:color w:val="000000"/>
                <w:sz w:val="22"/>
                <w:szCs w:val="22"/>
              </w:rPr>
            </w:pPr>
            <w:r w:rsidRPr="009A3722">
              <w:rPr>
                <w:color w:val="000000"/>
                <w:sz w:val="22"/>
                <w:szCs w:val="22"/>
              </w:rPr>
              <w:t>0.0%</w:t>
            </w:r>
          </w:p>
        </w:tc>
        <w:tc>
          <w:tcPr>
            <w:tcW w:w="592" w:type="pct"/>
            <w:tcBorders>
              <w:top w:val="nil"/>
              <w:left w:val="nil"/>
              <w:bottom w:val="nil"/>
              <w:right w:val="nil"/>
            </w:tcBorders>
            <w:shd w:val="clear" w:color="auto" w:fill="auto"/>
            <w:noWrap/>
            <w:vAlign w:val="bottom"/>
            <w:hideMark/>
          </w:tcPr>
          <w:p w:rsidR="009A3722" w:rsidRPr="009A3722" w:rsidRDefault="009A3722" w:rsidP="009A3722">
            <w:pPr>
              <w:jc w:val="center"/>
              <w:rPr>
                <w:color w:val="000000"/>
                <w:sz w:val="22"/>
                <w:szCs w:val="22"/>
              </w:rPr>
            </w:pPr>
            <w:r w:rsidRPr="009A3722">
              <w:rPr>
                <w:color w:val="000000"/>
                <w:sz w:val="22"/>
                <w:szCs w:val="22"/>
              </w:rPr>
              <w:t>0.1%</w:t>
            </w:r>
          </w:p>
        </w:tc>
        <w:tc>
          <w:tcPr>
            <w:tcW w:w="592" w:type="pct"/>
            <w:tcBorders>
              <w:top w:val="nil"/>
              <w:left w:val="nil"/>
              <w:bottom w:val="nil"/>
              <w:right w:val="single" w:sz="8" w:space="0" w:color="auto"/>
            </w:tcBorders>
            <w:shd w:val="clear" w:color="auto" w:fill="auto"/>
            <w:noWrap/>
            <w:vAlign w:val="bottom"/>
            <w:hideMark/>
          </w:tcPr>
          <w:p w:rsidR="009A3722" w:rsidRPr="009A3722" w:rsidRDefault="009A3722" w:rsidP="009A3722">
            <w:pPr>
              <w:jc w:val="center"/>
              <w:rPr>
                <w:color w:val="000000"/>
                <w:sz w:val="22"/>
                <w:szCs w:val="22"/>
              </w:rPr>
            </w:pPr>
            <w:r w:rsidRPr="009A3722">
              <w:rPr>
                <w:color w:val="000000"/>
                <w:sz w:val="22"/>
                <w:szCs w:val="22"/>
              </w:rPr>
              <w:t>0.1%</w:t>
            </w:r>
          </w:p>
        </w:tc>
      </w:tr>
      <w:tr w:rsidR="009A3722" w:rsidRPr="009A3722" w:rsidTr="009A3722">
        <w:trPr>
          <w:trHeight w:val="255"/>
          <w:jc w:val="center"/>
        </w:trPr>
        <w:tc>
          <w:tcPr>
            <w:tcW w:w="479" w:type="pct"/>
            <w:tcBorders>
              <w:top w:val="nil"/>
              <w:left w:val="nil"/>
              <w:bottom w:val="nil"/>
              <w:right w:val="nil"/>
            </w:tcBorders>
            <w:shd w:val="clear" w:color="auto" w:fill="auto"/>
            <w:noWrap/>
            <w:vAlign w:val="bottom"/>
            <w:hideMark/>
          </w:tcPr>
          <w:p w:rsidR="009A3722" w:rsidRPr="009A3722" w:rsidRDefault="009A3722" w:rsidP="009A3722">
            <w:pPr>
              <w:rPr>
                <w:color w:val="000000"/>
                <w:sz w:val="22"/>
                <w:szCs w:val="22"/>
              </w:rPr>
            </w:pPr>
          </w:p>
        </w:tc>
        <w:tc>
          <w:tcPr>
            <w:tcW w:w="968" w:type="pct"/>
            <w:tcBorders>
              <w:top w:val="nil"/>
              <w:left w:val="single" w:sz="8" w:space="0" w:color="auto"/>
              <w:bottom w:val="nil"/>
              <w:right w:val="single" w:sz="8" w:space="0" w:color="auto"/>
            </w:tcBorders>
            <w:shd w:val="clear" w:color="auto" w:fill="auto"/>
            <w:noWrap/>
            <w:vAlign w:val="bottom"/>
            <w:hideMark/>
          </w:tcPr>
          <w:p w:rsidR="009A3722" w:rsidRPr="009A3722" w:rsidRDefault="009A3722" w:rsidP="009A3722">
            <w:pPr>
              <w:rPr>
                <w:color w:val="000000"/>
                <w:sz w:val="22"/>
                <w:szCs w:val="22"/>
              </w:rPr>
            </w:pPr>
            <w:r w:rsidRPr="009A3722">
              <w:rPr>
                <w:color w:val="000000"/>
                <w:sz w:val="22"/>
                <w:szCs w:val="22"/>
              </w:rPr>
              <w:t>Class E</w:t>
            </w:r>
          </w:p>
        </w:tc>
        <w:tc>
          <w:tcPr>
            <w:tcW w:w="592" w:type="pct"/>
            <w:tcBorders>
              <w:top w:val="nil"/>
              <w:left w:val="nil"/>
              <w:bottom w:val="nil"/>
              <w:right w:val="nil"/>
            </w:tcBorders>
            <w:shd w:val="clear" w:color="auto" w:fill="auto"/>
            <w:noWrap/>
            <w:vAlign w:val="bottom"/>
            <w:hideMark/>
          </w:tcPr>
          <w:p w:rsidR="009A3722" w:rsidRPr="009A3722" w:rsidRDefault="009A3722" w:rsidP="009A3722">
            <w:pPr>
              <w:jc w:val="center"/>
              <w:rPr>
                <w:color w:val="000000"/>
                <w:sz w:val="22"/>
                <w:szCs w:val="22"/>
              </w:rPr>
            </w:pPr>
            <w:r w:rsidRPr="009A3722">
              <w:rPr>
                <w:color w:val="000000"/>
                <w:sz w:val="22"/>
                <w:szCs w:val="22"/>
              </w:rPr>
              <w:t>0.1%</w:t>
            </w:r>
          </w:p>
        </w:tc>
        <w:tc>
          <w:tcPr>
            <w:tcW w:w="592" w:type="pct"/>
            <w:tcBorders>
              <w:top w:val="nil"/>
              <w:left w:val="nil"/>
              <w:bottom w:val="nil"/>
              <w:right w:val="nil"/>
            </w:tcBorders>
            <w:shd w:val="clear" w:color="auto" w:fill="auto"/>
            <w:noWrap/>
            <w:vAlign w:val="bottom"/>
            <w:hideMark/>
          </w:tcPr>
          <w:p w:rsidR="009A3722" w:rsidRPr="009A3722" w:rsidRDefault="009A3722" w:rsidP="009A3722">
            <w:pPr>
              <w:jc w:val="center"/>
              <w:rPr>
                <w:color w:val="000000"/>
                <w:sz w:val="22"/>
                <w:szCs w:val="22"/>
              </w:rPr>
            </w:pPr>
            <w:r w:rsidRPr="009A3722">
              <w:rPr>
                <w:color w:val="000000"/>
                <w:sz w:val="22"/>
                <w:szCs w:val="22"/>
              </w:rPr>
              <w:t>0.1%</w:t>
            </w:r>
          </w:p>
        </w:tc>
        <w:tc>
          <w:tcPr>
            <w:tcW w:w="592" w:type="pct"/>
            <w:tcBorders>
              <w:top w:val="nil"/>
              <w:left w:val="nil"/>
              <w:bottom w:val="nil"/>
              <w:right w:val="single" w:sz="8" w:space="0" w:color="auto"/>
            </w:tcBorders>
            <w:shd w:val="clear" w:color="auto" w:fill="auto"/>
            <w:noWrap/>
            <w:vAlign w:val="bottom"/>
            <w:hideMark/>
          </w:tcPr>
          <w:p w:rsidR="009A3722" w:rsidRPr="009A3722" w:rsidRDefault="009A3722" w:rsidP="009A3722">
            <w:pPr>
              <w:jc w:val="center"/>
              <w:rPr>
                <w:color w:val="000000"/>
                <w:sz w:val="22"/>
                <w:szCs w:val="22"/>
              </w:rPr>
            </w:pPr>
            <w:r w:rsidRPr="009A3722">
              <w:rPr>
                <w:color w:val="000000"/>
                <w:sz w:val="22"/>
                <w:szCs w:val="22"/>
              </w:rPr>
              <w:t>0.1%</w:t>
            </w:r>
          </w:p>
        </w:tc>
        <w:tc>
          <w:tcPr>
            <w:tcW w:w="592" w:type="pct"/>
            <w:tcBorders>
              <w:top w:val="nil"/>
              <w:left w:val="nil"/>
              <w:bottom w:val="nil"/>
              <w:right w:val="nil"/>
            </w:tcBorders>
            <w:shd w:val="clear" w:color="auto" w:fill="auto"/>
            <w:noWrap/>
            <w:vAlign w:val="bottom"/>
            <w:hideMark/>
          </w:tcPr>
          <w:p w:rsidR="009A3722" w:rsidRPr="009A3722" w:rsidRDefault="009A3722" w:rsidP="009A3722">
            <w:pPr>
              <w:jc w:val="center"/>
              <w:rPr>
                <w:color w:val="000000"/>
                <w:sz w:val="22"/>
                <w:szCs w:val="22"/>
              </w:rPr>
            </w:pPr>
            <w:r w:rsidRPr="009A3722">
              <w:rPr>
                <w:color w:val="000000"/>
                <w:sz w:val="22"/>
                <w:szCs w:val="22"/>
              </w:rPr>
              <w:t>0.1%</w:t>
            </w:r>
          </w:p>
        </w:tc>
        <w:tc>
          <w:tcPr>
            <w:tcW w:w="592" w:type="pct"/>
            <w:tcBorders>
              <w:top w:val="nil"/>
              <w:left w:val="nil"/>
              <w:bottom w:val="nil"/>
              <w:right w:val="nil"/>
            </w:tcBorders>
            <w:shd w:val="clear" w:color="auto" w:fill="auto"/>
            <w:noWrap/>
            <w:vAlign w:val="bottom"/>
            <w:hideMark/>
          </w:tcPr>
          <w:p w:rsidR="009A3722" w:rsidRPr="009A3722" w:rsidRDefault="009A3722" w:rsidP="009A3722">
            <w:pPr>
              <w:jc w:val="center"/>
              <w:rPr>
                <w:color w:val="000000"/>
                <w:sz w:val="22"/>
                <w:szCs w:val="22"/>
              </w:rPr>
            </w:pPr>
            <w:r w:rsidRPr="009A3722">
              <w:rPr>
                <w:color w:val="000000"/>
                <w:sz w:val="22"/>
                <w:szCs w:val="22"/>
              </w:rPr>
              <w:t>0.1%</w:t>
            </w:r>
          </w:p>
        </w:tc>
        <w:tc>
          <w:tcPr>
            <w:tcW w:w="592" w:type="pct"/>
            <w:tcBorders>
              <w:top w:val="nil"/>
              <w:left w:val="nil"/>
              <w:bottom w:val="nil"/>
              <w:right w:val="single" w:sz="8" w:space="0" w:color="auto"/>
            </w:tcBorders>
            <w:shd w:val="clear" w:color="auto" w:fill="auto"/>
            <w:noWrap/>
            <w:vAlign w:val="bottom"/>
            <w:hideMark/>
          </w:tcPr>
          <w:p w:rsidR="009A3722" w:rsidRPr="009A3722" w:rsidRDefault="009A3722" w:rsidP="009A3722">
            <w:pPr>
              <w:jc w:val="center"/>
              <w:rPr>
                <w:color w:val="000000"/>
                <w:sz w:val="22"/>
                <w:szCs w:val="22"/>
              </w:rPr>
            </w:pPr>
            <w:r w:rsidRPr="009A3722">
              <w:rPr>
                <w:color w:val="000000"/>
                <w:sz w:val="22"/>
                <w:szCs w:val="22"/>
              </w:rPr>
              <w:t>0.1%</w:t>
            </w:r>
          </w:p>
        </w:tc>
      </w:tr>
      <w:tr w:rsidR="009A3722" w:rsidRPr="009A3722" w:rsidTr="009A3722">
        <w:trPr>
          <w:trHeight w:val="240"/>
          <w:jc w:val="center"/>
        </w:trPr>
        <w:tc>
          <w:tcPr>
            <w:tcW w:w="479" w:type="pct"/>
            <w:tcBorders>
              <w:top w:val="nil"/>
              <w:left w:val="nil"/>
              <w:bottom w:val="nil"/>
              <w:right w:val="nil"/>
            </w:tcBorders>
            <w:shd w:val="clear" w:color="auto" w:fill="auto"/>
            <w:noWrap/>
            <w:vAlign w:val="bottom"/>
            <w:hideMark/>
          </w:tcPr>
          <w:p w:rsidR="009A3722" w:rsidRPr="009A3722" w:rsidRDefault="009A3722" w:rsidP="009A3722">
            <w:pPr>
              <w:rPr>
                <w:color w:val="000000"/>
                <w:sz w:val="22"/>
                <w:szCs w:val="22"/>
              </w:rPr>
            </w:pPr>
          </w:p>
        </w:tc>
        <w:tc>
          <w:tcPr>
            <w:tcW w:w="968" w:type="pct"/>
            <w:tcBorders>
              <w:top w:val="single" w:sz="8" w:space="0" w:color="auto"/>
              <w:left w:val="single" w:sz="8" w:space="0" w:color="auto"/>
              <w:bottom w:val="nil"/>
              <w:right w:val="single" w:sz="8" w:space="0" w:color="auto"/>
            </w:tcBorders>
            <w:shd w:val="clear" w:color="auto" w:fill="auto"/>
            <w:noWrap/>
            <w:vAlign w:val="bottom"/>
            <w:hideMark/>
          </w:tcPr>
          <w:p w:rsidR="009A3722" w:rsidRPr="009A3722" w:rsidRDefault="009A3722" w:rsidP="009A3722">
            <w:pPr>
              <w:rPr>
                <w:b/>
                <w:bCs/>
                <w:color w:val="000000"/>
                <w:sz w:val="22"/>
                <w:szCs w:val="22"/>
              </w:rPr>
            </w:pPr>
            <w:r w:rsidRPr="009A3722">
              <w:rPr>
                <w:b/>
                <w:bCs/>
                <w:color w:val="000000"/>
                <w:sz w:val="22"/>
                <w:szCs w:val="22"/>
              </w:rPr>
              <w:t>Overall</w:t>
            </w:r>
          </w:p>
        </w:tc>
        <w:tc>
          <w:tcPr>
            <w:tcW w:w="592" w:type="pct"/>
            <w:tcBorders>
              <w:top w:val="single" w:sz="8" w:space="0" w:color="auto"/>
              <w:left w:val="nil"/>
              <w:bottom w:val="nil"/>
              <w:right w:val="nil"/>
            </w:tcBorders>
            <w:shd w:val="clear" w:color="auto" w:fill="auto"/>
            <w:noWrap/>
            <w:vAlign w:val="bottom"/>
            <w:hideMark/>
          </w:tcPr>
          <w:p w:rsidR="009A3722" w:rsidRPr="009A3722" w:rsidRDefault="009A3722" w:rsidP="009A3722">
            <w:pPr>
              <w:jc w:val="center"/>
              <w:rPr>
                <w:color w:val="000000"/>
                <w:sz w:val="22"/>
                <w:szCs w:val="22"/>
              </w:rPr>
            </w:pPr>
            <w:r w:rsidRPr="009A3722">
              <w:rPr>
                <w:color w:val="000000"/>
                <w:sz w:val="22"/>
                <w:szCs w:val="22"/>
              </w:rPr>
              <w:t>0.0%</w:t>
            </w:r>
          </w:p>
        </w:tc>
        <w:tc>
          <w:tcPr>
            <w:tcW w:w="592" w:type="pct"/>
            <w:tcBorders>
              <w:top w:val="single" w:sz="8" w:space="0" w:color="auto"/>
              <w:left w:val="nil"/>
              <w:bottom w:val="nil"/>
              <w:right w:val="nil"/>
            </w:tcBorders>
            <w:shd w:val="clear" w:color="auto" w:fill="auto"/>
            <w:noWrap/>
            <w:vAlign w:val="bottom"/>
            <w:hideMark/>
          </w:tcPr>
          <w:p w:rsidR="009A3722" w:rsidRPr="009A3722" w:rsidRDefault="009A3722" w:rsidP="009A3722">
            <w:pPr>
              <w:jc w:val="center"/>
              <w:rPr>
                <w:color w:val="000000"/>
                <w:sz w:val="22"/>
                <w:szCs w:val="22"/>
              </w:rPr>
            </w:pPr>
            <w:r w:rsidRPr="009A3722">
              <w:rPr>
                <w:color w:val="000000"/>
                <w:sz w:val="22"/>
                <w:szCs w:val="22"/>
              </w:rPr>
              <w:t>0.0%</w:t>
            </w:r>
          </w:p>
        </w:tc>
        <w:tc>
          <w:tcPr>
            <w:tcW w:w="592" w:type="pct"/>
            <w:tcBorders>
              <w:top w:val="single" w:sz="8" w:space="0" w:color="auto"/>
              <w:left w:val="nil"/>
              <w:bottom w:val="nil"/>
              <w:right w:val="single" w:sz="8" w:space="0" w:color="auto"/>
            </w:tcBorders>
            <w:shd w:val="clear" w:color="auto" w:fill="auto"/>
            <w:noWrap/>
            <w:vAlign w:val="bottom"/>
            <w:hideMark/>
          </w:tcPr>
          <w:p w:rsidR="009A3722" w:rsidRPr="009A3722" w:rsidRDefault="009A3722" w:rsidP="009A3722">
            <w:pPr>
              <w:jc w:val="center"/>
              <w:rPr>
                <w:color w:val="000000"/>
                <w:sz w:val="22"/>
                <w:szCs w:val="22"/>
              </w:rPr>
            </w:pPr>
            <w:r w:rsidRPr="009A3722">
              <w:rPr>
                <w:color w:val="000000"/>
                <w:sz w:val="22"/>
                <w:szCs w:val="22"/>
              </w:rPr>
              <w:t>0.1%</w:t>
            </w:r>
          </w:p>
        </w:tc>
        <w:tc>
          <w:tcPr>
            <w:tcW w:w="592" w:type="pct"/>
            <w:tcBorders>
              <w:top w:val="single" w:sz="8" w:space="0" w:color="auto"/>
              <w:left w:val="nil"/>
              <w:bottom w:val="nil"/>
              <w:right w:val="nil"/>
            </w:tcBorders>
            <w:shd w:val="clear" w:color="auto" w:fill="auto"/>
            <w:noWrap/>
            <w:vAlign w:val="bottom"/>
            <w:hideMark/>
          </w:tcPr>
          <w:p w:rsidR="009A3722" w:rsidRPr="009A3722" w:rsidRDefault="009A3722" w:rsidP="009A3722">
            <w:pPr>
              <w:jc w:val="center"/>
              <w:rPr>
                <w:color w:val="000000"/>
                <w:sz w:val="22"/>
                <w:szCs w:val="22"/>
              </w:rPr>
            </w:pPr>
            <w:r w:rsidRPr="009A3722">
              <w:rPr>
                <w:color w:val="000000"/>
                <w:sz w:val="22"/>
                <w:szCs w:val="22"/>
              </w:rPr>
              <w:t>0.0%</w:t>
            </w:r>
          </w:p>
        </w:tc>
        <w:tc>
          <w:tcPr>
            <w:tcW w:w="592" w:type="pct"/>
            <w:tcBorders>
              <w:top w:val="single" w:sz="8" w:space="0" w:color="auto"/>
              <w:left w:val="nil"/>
              <w:bottom w:val="nil"/>
              <w:right w:val="nil"/>
            </w:tcBorders>
            <w:shd w:val="clear" w:color="auto" w:fill="auto"/>
            <w:noWrap/>
            <w:vAlign w:val="bottom"/>
            <w:hideMark/>
          </w:tcPr>
          <w:p w:rsidR="009A3722" w:rsidRPr="009A3722" w:rsidRDefault="009A3722" w:rsidP="009A3722">
            <w:pPr>
              <w:jc w:val="center"/>
              <w:rPr>
                <w:color w:val="000000"/>
                <w:sz w:val="22"/>
                <w:szCs w:val="22"/>
              </w:rPr>
            </w:pPr>
            <w:r w:rsidRPr="009A3722">
              <w:rPr>
                <w:color w:val="000000"/>
                <w:sz w:val="22"/>
                <w:szCs w:val="22"/>
              </w:rPr>
              <w:t>0.1%</w:t>
            </w:r>
          </w:p>
        </w:tc>
        <w:tc>
          <w:tcPr>
            <w:tcW w:w="592" w:type="pct"/>
            <w:tcBorders>
              <w:top w:val="single" w:sz="8" w:space="0" w:color="auto"/>
              <w:left w:val="nil"/>
              <w:bottom w:val="nil"/>
              <w:right w:val="single" w:sz="8" w:space="0" w:color="auto"/>
            </w:tcBorders>
            <w:shd w:val="clear" w:color="auto" w:fill="auto"/>
            <w:noWrap/>
            <w:vAlign w:val="bottom"/>
            <w:hideMark/>
          </w:tcPr>
          <w:p w:rsidR="009A3722" w:rsidRPr="009A3722" w:rsidRDefault="009A3722" w:rsidP="009A3722">
            <w:pPr>
              <w:jc w:val="center"/>
              <w:rPr>
                <w:color w:val="000000"/>
                <w:sz w:val="22"/>
                <w:szCs w:val="22"/>
              </w:rPr>
            </w:pPr>
            <w:r w:rsidRPr="009A3722">
              <w:rPr>
                <w:color w:val="000000"/>
                <w:sz w:val="22"/>
                <w:szCs w:val="22"/>
              </w:rPr>
              <w:t>0.1%</w:t>
            </w:r>
          </w:p>
        </w:tc>
      </w:tr>
      <w:tr w:rsidR="009A3722" w:rsidRPr="009A3722" w:rsidTr="009A3722">
        <w:trPr>
          <w:trHeight w:val="255"/>
          <w:jc w:val="center"/>
        </w:trPr>
        <w:tc>
          <w:tcPr>
            <w:tcW w:w="479" w:type="pct"/>
            <w:tcBorders>
              <w:top w:val="nil"/>
              <w:left w:val="nil"/>
              <w:bottom w:val="nil"/>
              <w:right w:val="nil"/>
            </w:tcBorders>
            <w:shd w:val="clear" w:color="auto" w:fill="auto"/>
            <w:noWrap/>
            <w:vAlign w:val="bottom"/>
            <w:hideMark/>
          </w:tcPr>
          <w:p w:rsidR="009A3722" w:rsidRPr="009A3722" w:rsidRDefault="009A3722" w:rsidP="009A3722">
            <w:pPr>
              <w:rPr>
                <w:color w:val="000000"/>
                <w:sz w:val="22"/>
                <w:szCs w:val="22"/>
              </w:rPr>
            </w:pPr>
          </w:p>
        </w:tc>
        <w:tc>
          <w:tcPr>
            <w:tcW w:w="968" w:type="pct"/>
            <w:tcBorders>
              <w:top w:val="nil"/>
              <w:left w:val="single" w:sz="8" w:space="0" w:color="auto"/>
              <w:bottom w:val="single" w:sz="8" w:space="0" w:color="auto"/>
              <w:right w:val="single" w:sz="8" w:space="0" w:color="auto"/>
            </w:tcBorders>
            <w:shd w:val="clear" w:color="auto" w:fill="auto"/>
            <w:noWrap/>
            <w:vAlign w:val="bottom"/>
            <w:hideMark/>
          </w:tcPr>
          <w:p w:rsidR="009A3722" w:rsidRPr="009A3722" w:rsidRDefault="009A3722" w:rsidP="009A3722">
            <w:pPr>
              <w:rPr>
                <w:color w:val="000000"/>
                <w:sz w:val="22"/>
                <w:szCs w:val="22"/>
              </w:rPr>
            </w:pPr>
            <w:r w:rsidRPr="009A3722">
              <w:rPr>
                <w:color w:val="000000"/>
                <w:sz w:val="22"/>
                <w:szCs w:val="22"/>
              </w:rPr>
              <w:t> </w:t>
            </w:r>
          </w:p>
        </w:tc>
        <w:tc>
          <w:tcPr>
            <w:tcW w:w="592" w:type="pct"/>
            <w:tcBorders>
              <w:top w:val="nil"/>
              <w:left w:val="nil"/>
              <w:bottom w:val="single" w:sz="8" w:space="0" w:color="auto"/>
              <w:right w:val="nil"/>
            </w:tcBorders>
            <w:shd w:val="clear" w:color="auto" w:fill="auto"/>
            <w:noWrap/>
            <w:vAlign w:val="bottom"/>
            <w:hideMark/>
          </w:tcPr>
          <w:p w:rsidR="009A3722" w:rsidRPr="009A3722" w:rsidRDefault="009A3722" w:rsidP="009A3722">
            <w:pPr>
              <w:jc w:val="center"/>
              <w:rPr>
                <w:color w:val="808080"/>
                <w:sz w:val="22"/>
                <w:szCs w:val="22"/>
              </w:rPr>
            </w:pPr>
            <w:r w:rsidRPr="009A3722">
              <w:rPr>
                <w:color w:val="808080"/>
                <w:sz w:val="22"/>
                <w:szCs w:val="22"/>
              </w:rPr>
              <w:t>0.0%</w:t>
            </w:r>
          </w:p>
        </w:tc>
        <w:tc>
          <w:tcPr>
            <w:tcW w:w="592" w:type="pct"/>
            <w:tcBorders>
              <w:top w:val="nil"/>
              <w:left w:val="nil"/>
              <w:bottom w:val="single" w:sz="8" w:space="0" w:color="auto"/>
              <w:right w:val="nil"/>
            </w:tcBorders>
            <w:shd w:val="clear" w:color="auto" w:fill="auto"/>
            <w:noWrap/>
            <w:vAlign w:val="bottom"/>
            <w:hideMark/>
          </w:tcPr>
          <w:p w:rsidR="009A3722" w:rsidRPr="009A3722" w:rsidRDefault="009A3722" w:rsidP="009A3722">
            <w:pPr>
              <w:jc w:val="center"/>
              <w:rPr>
                <w:color w:val="808080"/>
                <w:sz w:val="22"/>
                <w:szCs w:val="22"/>
              </w:rPr>
            </w:pPr>
            <w:r w:rsidRPr="009A3722">
              <w:rPr>
                <w:color w:val="808080"/>
                <w:sz w:val="22"/>
                <w:szCs w:val="22"/>
              </w:rPr>
              <w:t>0.1%</w:t>
            </w:r>
          </w:p>
        </w:tc>
        <w:tc>
          <w:tcPr>
            <w:tcW w:w="592" w:type="pct"/>
            <w:tcBorders>
              <w:top w:val="nil"/>
              <w:left w:val="nil"/>
              <w:bottom w:val="single" w:sz="8" w:space="0" w:color="auto"/>
              <w:right w:val="single" w:sz="8" w:space="0" w:color="auto"/>
            </w:tcBorders>
            <w:shd w:val="clear" w:color="auto" w:fill="auto"/>
            <w:noWrap/>
            <w:vAlign w:val="bottom"/>
            <w:hideMark/>
          </w:tcPr>
          <w:p w:rsidR="009A3722" w:rsidRPr="009A3722" w:rsidRDefault="009A3722" w:rsidP="009A3722">
            <w:pPr>
              <w:jc w:val="center"/>
              <w:rPr>
                <w:color w:val="808080"/>
                <w:sz w:val="22"/>
                <w:szCs w:val="22"/>
              </w:rPr>
            </w:pPr>
            <w:r w:rsidRPr="009A3722">
              <w:rPr>
                <w:color w:val="808080"/>
                <w:sz w:val="22"/>
                <w:szCs w:val="22"/>
              </w:rPr>
              <w:t>0.1%</w:t>
            </w:r>
          </w:p>
        </w:tc>
        <w:tc>
          <w:tcPr>
            <w:tcW w:w="592" w:type="pct"/>
            <w:tcBorders>
              <w:top w:val="nil"/>
              <w:left w:val="nil"/>
              <w:bottom w:val="single" w:sz="8" w:space="0" w:color="auto"/>
              <w:right w:val="nil"/>
            </w:tcBorders>
            <w:shd w:val="clear" w:color="auto" w:fill="auto"/>
            <w:noWrap/>
            <w:vAlign w:val="bottom"/>
            <w:hideMark/>
          </w:tcPr>
          <w:p w:rsidR="009A3722" w:rsidRPr="009A3722" w:rsidRDefault="009A3722" w:rsidP="009A3722">
            <w:pPr>
              <w:jc w:val="center"/>
              <w:rPr>
                <w:color w:val="808080"/>
                <w:sz w:val="22"/>
                <w:szCs w:val="22"/>
              </w:rPr>
            </w:pPr>
            <w:r w:rsidRPr="009A3722">
              <w:rPr>
                <w:color w:val="808080"/>
                <w:sz w:val="22"/>
                <w:szCs w:val="22"/>
              </w:rPr>
              <w:t>0.0%</w:t>
            </w:r>
          </w:p>
        </w:tc>
        <w:tc>
          <w:tcPr>
            <w:tcW w:w="592" w:type="pct"/>
            <w:tcBorders>
              <w:top w:val="nil"/>
              <w:left w:val="nil"/>
              <w:bottom w:val="single" w:sz="8" w:space="0" w:color="auto"/>
              <w:right w:val="nil"/>
            </w:tcBorders>
            <w:shd w:val="clear" w:color="auto" w:fill="auto"/>
            <w:noWrap/>
            <w:vAlign w:val="bottom"/>
            <w:hideMark/>
          </w:tcPr>
          <w:p w:rsidR="009A3722" w:rsidRPr="009A3722" w:rsidRDefault="009A3722" w:rsidP="009A3722">
            <w:pPr>
              <w:jc w:val="center"/>
              <w:rPr>
                <w:color w:val="808080"/>
                <w:sz w:val="22"/>
                <w:szCs w:val="22"/>
              </w:rPr>
            </w:pPr>
            <w:r w:rsidRPr="009A3722">
              <w:rPr>
                <w:color w:val="808080"/>
                <w:sz w:val="22"/>
                <w:szCs w:val="22"/>
              </w:rPr>
              <w:t>0.1%</w:t>
            </w:r>
          </w:p>
        </w:tc>
        <w:tc>
          <w:tcPr>
            <w:tcW w:w="592" w:type="pct"/>
            <w:tcBorders>
              <w:top w:val="nil"/>
              <w:left w:val="nil"/>
              <w:bottom w:val="single" w:sz="8" w:space="0" w:color="auto"/>
              <w:right w:val="single" w:sz="8" w:space="0" w:color="auto"/>
            </w:tcBorders>
            <w:shd w:val="clear" w:color="auto" w:fill="auto"/>
            <w:noWrap/>
            <w:vAlign w:val="bottom"/>
            <w:hideMark/>
          </w:tcPr>
          <w:p w:rsidR="009A3722" w:rsidRPr="009A3722" w:rsidRDefault="009A3722" w:rsidP="009A3722">
            <w:pPr>
              <w:jc w:val="center"/>
              <w:rPr>
                <w:color w:val="808080"/>
                <w:sz w:val="22"/>
                <w:szCs w:val="22"/>
              </w:rPr>
            </w:pPr>
            <w:r w:rsidRPr="009A3722">
              <w:rPr>
                <w:color w:val="808080"/>
                <w:sz w:val="22"/>
                <w:szCs w:val="22"/>
              </w:rPr>
              <w:t>0.1%</w:t>
            </w:r>
          </w:p>
        </w:tc>
      </w:tr>
      <w:tr w:rsidR="009A3722" w:rsidRPr="009A3722" w:rsidTr="009A3722">
        <w:trPr>
          <w:trHeight w:val="240"/>
          <w:jc w:val="center"/>
        </w:trPr>
        <w:tc>
          <w:tcPr>
            <w:tcW w:w="479" w:type="pct"/>
            <w:tcBorders>
              <w:top w:val="nil"/>
              <w:left w:val="nil"/>
              <w:bottom w:val="nil"/>
              <w:right w:val="nil"/>
            </w:tcBorders>
            <w:shd w:val="clear" w:color="auto" w:fill="auto"/>
            <w:noWrap/>
            <w:vAlign w:val="bottom"/>
            <w:hideMark/>
          </w:tcPr>
          <w:p w:rsidR="009A3722" w:rsidRPr="009A3722" w:rsidRDefault="009A3722" w:rsidP="009A3722">
            <w:pPr>
              <w:rPr>
                <w:color w:val="000000"/>
                <w:sz w:val="22"/>
                <w:szCs w:val="22"/>
              </w:rPr>
            </w:pPr>
          </w:p>
        </w:tc>
        <w:tc>
          <w:tcPr>
            <w:tcW w:w="968" w:type="pct"/>
            <w:tcBorders>
              <w:top w:val="nil"/>
              <w:left w:val="single" w:sz="8" w:space="0" w:color="auto"/>
              <w:bottom w:val="nil"/>
              <w:right w:val="single" w:sz="8" w:space="0" w:color="auto"/>
            </w:tcBorders>
            <w:shd w:val="clear" w:color="auto" w:fill="auto"/>
            <w:noWrap/>
            <w:vAlign w:val="bottom"/>
            <w:hideMark/>
          </w:tcPr>
          <w:p w:rsidR="009A3722" w:rsidRPr="009A3722" w:rsidRDefault="009A3722" w:rsidP="009A3722">
            <w:pPr>
              <w:rPr>
                <w:color w:val="000000"/>
                <w:sz w:val="22"/>
                <w:szCs w:val="22"/>
              </w:rPr>
            </w:pPr>
            <w:r w:rsidRPr="009A3722">
              <w:rPr>
                <w:color w:val="000000"/>
                <w:sz w:val="22"/>
                <w:szCs w:val="22"/>
              </w:rPr>
              <w:t>Enc Time[%]</w:t>
            </w:r>
          </w:p>
        </w:tc>
        <w:tc>
          <w:tcPr>
            <w:tcW w:w="1776" w:type="pct"/>
            <w:gridSpan w:val="3"/>
            <w:tcBorders>
              <w:top w:val="nil"/>
              <w:left w:val="nil"/>
              <w:bottom w:val="nil"/>
              <w:right w:val="single" w:sz="8" w:space="0" w:color="000000"/>
            </w:tcBorders>
            <w:shd w:val="clear" w:color="auto" w:fill="auto"/>
            <w:noWrap/>
            <w:vAlign w:val="bottom"/>
            <w:hideMark/>
          </w:tcPr>
          <w:p w:rsidR="009A3722" w:rsidRPr="009A3722" w:rsidRDefault="009A3722" w:rsidP="009A3722">
            <w:pPr>
              <w:jc w:val="center"/>
              <w:rPr>
                <w:color w:val="000000"/>
                <w:sz w:val="22"/>
                <w:szCs w:val="22"/>
              </w:rPr>
            </w:pPr>
            <w:r w:rsidRPr="009A3722">
              <w:rPr>
                <w:color w:val="000000"/>
                <w:sz w:val="22"/>
                <w:szCs w:val="22"/>
              </w:rPr>
              <w:t>99%</w:t>
            </w:r>
          </w:p>
        </w:tc>
        <w:tc>
          <w:tcPr>
            <w:tcW w:w="1776" w:type="pct"/>
            <w:gridSpan w:val="3"/>
            <w:tcBorders>
              <w:top w:val="nil"/>
              <w:left w:val="nil"/>
              <w:bottom w:val="nil"/>
              <w:right w:val="single" w:sz="8" w:space="0" w:color="000000"/>
            </w:tcBorders>
            <w:shd w:val="clear" w:color="auto" w:fill="auto"/>
            <w:noWrap/>
            <w:vAlign w:val="bottom"/>
            <w:hideMark/>
          </w:tcPr>
          <w:p w:rsidR="009A3722" w:rsidRPr="009A3722" w:rsidRDefault="009A3722" w:rsidP="009A3722">
            <w:pPr>
              <w:jc w:val="center"/>
              <w:rPr>
                <w:color w:val="000000"/>
                <w:sz w:val="22"/>
                <w:szCs w:val="22"/>
              </w:rPr>
            </w:pPr>
            <w:r w:rsidRPr="009A3722">
              <w:rPr>
                <w:color w:val="000000"/>
                <w:sz w:val="22"/>
                <w:szCs w:val="22"/>
              </w:rPr>
              <w:t>98%</w:t>
            </w:r>
          </w:p>
        </w:tc>
      </w:tr>
      <w:tr w:rsidR="009A3722" w:rsidRPr="009A3722" w:rsidTr="009A3722">
        <w:trPr>
          <w:trHeight w:val="255"/>
          <w:jc w:val="center"/>
        </w:trPr>
        <w:tc>
          <w:tcPr>
            <w:tcW w:w="479" w:type="pct"/>
            <w:tcBorders>
              <w:top w:val="nil"/>
              <w:left w:val="nil"/>
              <w:bottom w:val="nil"/>
              <w:right w:val="nil"/>
            </w:tcBorders>
            <w:shd w:val="clear" w:color="auto" w:fill="auto"/>
            <w:noWrap/>
            <w:vAlign w:val="bottom"/>
            <w:hideMark/>
          </w:tcPr>
          <w:p w:rsidR="009A3722" w:rsidRPr="009A3722" w:rsidRDefault="009A3722" w:rsidP="009A3722">
            <w:pPr>
              <w:rPr>
                <w:color w:val="000000"/>
                <w:sz w:val="22"/>
                <w:szCs w:val="22"/>
              </w:rPr>
            </w:pPr>
          </w:p>
        </w:tc>
        <w:tc>
          <w:tcPr>
            <w:tcW w:w="968" w:type="pct"/>
            <w:tcBorders>
              <w:top w:val="nil"/>
              <w:left w:val="single" w:sz="8" w:space="0" w:color="auto"/>
              <w:bottom w:val="single" w:sz="8" w:space="0" w:color="auto"/>
              <w:right w:val="single" w:sz="8" w:space="0" w:color="auto"/>
            </w:tcBorders>
            <w:shd w:val="clear" w:color="auto" w:fill="auto"/>
            <w:noWrap/>
            <w:vAlign w:val="bottom"/>
            <w:hideMark/>
          </w:tcPr>
          <w:p w:rsidR="009A3722" w:rsidRPr="009A3722" w:rsidRDefault="009A3722" w:rsidP="009A3722">
            <w:pPr>
              <w:rPr>
                <w:color w:val="000000"/>
                <w:sz w:val="22"/>
                <w:szCs w:val="22"/>
              </w:rPr>
            </w:pPr>
            <w:r w:rsidRPr="009A3722">
              <w:rPr>
                <w:color w:val="000000"/>
                <w:sz w:val="22"/>
                <w:szCs w:val="22"/>
              </w:rPr>
              <w:t>Dec Time[%]</w:t>
            </w:r>
          </w:p>
        </w:tc>
        <w:tc>
          <w:tcPr>
            <w:tcW w:w="1776" w:type="pct"/>
            <w:gridSpan w:val="3"/>
            <w:tcBorders>
              <w:top w:val="nil"/>
              <w:left w:val="nil"/>
              <w:bottom w:val="single" w:sz="8" w:space="0" w:color="auto"/>
              <w:right w:val="single" w:sz="8" w:space="0" w:color="000000"/>
            </w:tcBorders>
            <w:shd w:val="clear" w:color="auto" w:fill="auto"/>
            <w:noWrap/>
            <w:vAlign w:val="bottom"/>
            <w:hideMark/>
          </w:tcPr>
          <w:p w:rsidR="009A3722" w:rsidRPr="009A3722" w:rsidRDefault="009A3722" w:rsidP="009A3722">
            <w:pPr>
              <w:jc w:val="center"/>
              <w:rPr>
                <w:color w:val="000000"/>
                <w:sz w:val="22"/>
                <w:szCs w:val="22"/>
              </w:rPr>
            </w:pPr>
            <w:r w:rsidRPr="009A3722">
              <w:rPr>
                <w:color w:val="000000"/>
                <w:sz w:val="22"/>
                <w:szCs w:val="22"/>
              </w:rPr>
              <w:t>100%</w:t>
            </w:r>
          </w:p>
        </w:tc>
        <w:tc>
          <w:tcPr>
            <w:tcW w:w="1776" w:type="pct"/>
            <w:gridSpan w:val="3"/>
            <w:tcBorders>
              <w:top w:val="nil"/>
              <w:left w:val="nil"/>
              <w:bottom w:val="single" w:sz="8" w:space="0" w:color="auto"/>
              <w:right w:val="single" w:sz="8" w:space="0" w:color="000000"/>
            </w:tcBorders>
            <w:shd w:val="clear" w:color="auto" w:fill="auto"/>
            <w:noWrap/>
            <w:vAlign w:val="bottom"/>
            <w:hideMark/>
          </w:tcPr>
          <w:p w:rsidR="009A3722" w:rsidRPr="009A3722" w:rsidRDefault="009A3722" w:rsidP="009A3722">
            <w:pPr>
              <w:jc w:val="center"/>
              <w:rPr>
                <w:color w:val="000000"/>
                <w:sz w:val="22"/>
                <w:szCs w:val="22"/>
              </w:rPr>
            </w:pPr>
            <w:r w:rsidRPr="009A3722">
              <w:rPr>
                <w:color w:val="000000"/>
                <w:sz w:val="22"/>
                <w:szCs w:val="22"/>
              </w:rPr>
              <w:t>100%</w:t>
            </w:r>
          </w:p>
        </w:tc>
      </w:tr>
    </w:tbl>
    <w:p w:rsidR="00DA76D9" w:rsidRDefault="00DA76D9" w:rsidP="00D17102">
      <w:pPr>
        <w:jc w:val="center"/>
        <w:rPr>
          <w:lang w:eastAsia="ko-KR"/>
        </w:rPr>
      </w:pPr>
    </w:p>
    <w:p w:rsidR="005E761F" w:rsidRDefault="005E761F" w:rsidP="005E761F">
      <w:pPr>
        <w:rPr>
          <w:szCs w:val="22"/>
        </w:rPr>
      </w:pPr>
    </w:p>
    <w:p w:rsidR="005E761F" w:rsidRDefault="000051CB" w:rsidP="005E761F">
      <w:pPr>
        <w:spacing w:before="120" w:after="120"/>
        <w:jc w:val="center"/>
        <w:rPr>
          <w:bCs/>
          <w:szCs w:val="22"/>
        </w:rPr>
      </w:pPr>
      <w:bookmarkStart w:id="8" w:name="OLE_LINK20"/>
      <w:bookmarkStart w:id="9" w:name="OLE_LINK21"/>
      <w:r>
        <w:rPr>
          <w:bCs/>
          <w:szCs w:val="22"/>
        </w:rPr>
        <w:t>Table 2</w:t>
      </w:r>
      <w:r w:rsidR="005E761F">
        <w:rPr>
          <w:bCs/>
          <w:szCs w:val="22"/>
        </w:rPr>
        <w:t xml:space="preserve"> Results for </w:t>
      </w:r>
      <w:r>
        <w:rPr>
          <w:bCs/>
          <w:szCs w:val="22"/>
        </w:rPr>
        <w:t>the alternative approach (35-to-18 mapping; single mapping otherwise)</w:t>
      </w:r>
    </w:p>
    <w:p w:rsidR="009A3722" w:rsidRDefault="009A3722" w:rsidP="005E761F">
      <w:pPr>
        <w:spacing w:before="120" w:after="120"/>
        <w:jc w:val="center"/>
        <w:rPr>
          <w:bCs/>
          <w:szCs w:val="22"/>
        </w:rPr>
      </w:pPr>
    </w:p>
    <w:tbl>
      <w:tblPr>
        <w:tblW w:w="4422" w:type="pct"/>
        <w:tblInd w:w="1108" w:type="dxa"/>
        <w:tblLayout w:type="fixed"/>
        <w:tblLook w:val="04A0"/>
      </w:tblPr>
      <w:tblGrid>
        <w:gridCol w:w="1700"/>
        <w:gridCol w:w="871"/>
        <w:gridCol w:w="1284"/>
        <w:gridCol w:w="1157"/>
        <w:gridCol w:w="1152"/>
        <w:gridCol w:w="1152"/>
        <w:gridCol w:w="1153"/>
      </w:tblGrid>
      <w:tr w:rsidR="009A3722" w:rsidRPr="009A3722" w:rsidTr="009A3722">
        <w:trPr>
          <w:trHeight w:val="240"/>
        </w:trPr>
        <w:tc>
          <w:tcPr>
            <w:tcW w:w="1004" w:type="pct"/>
            <w:tcBorders>
              <w:top w:val="nil"/>
              <w:left w:val="nil"/>
              <w:bottom w:val="nil"/>
              <w:right w:val="nil"/>
            </w:tcBorders>
            <w:shd w:val="clear" w:color="auto" w:fill="auto"/>
            <w:noWrap/>
            <w:vAlign w:val="bottom"/>
            <w:hideMark/>
          </w:tcPr>
          <w:p w:rsidR="009A3722" w:rsidRPr="009A3722" w:rsidRDefault="009A3722" w:rsidP="009A3722">
            <w:pPr>
              <w:rPr>
                <w:color w:val="000000"/>
                <w:sz w:val="22"/>
                <w:szCs w:val="22"/>
              </w:rPr>
            </w:pPr>
          </w:p>
        </w:tc>
        <w:tc>
          <w:tcPr>
            <w:tcW w:w="1955" w:type="pct"/>
            <w:gridSpan w:val="3"/>
            <w:tcBorders>
              <w:top w:val="single" w:sz="8" w:space="0" w:color="auto"/>
              <w:left w:val="single" w:sz="8" w:space="0" w:color="auto"/>
              <w:bottom w:val="nil"/>
              <w:right w:val="single" w:sz="8" w:space="0" w:color="000000"/>
            </w:tcBorders>
            <w:shd w:val="clear" w:color="auto" w:fill="auto"/>
            <w:noWrap/>
            <w:vAlign w:val="bottom"/>
            <w:hideMark/>
          </w:tcPr>
          <w:p w:rsidR="009A3722" w:rsidRPr="009A3722" w:rsidRDefault="009A3722" w:rsidP="009A3722">
            <w:pPr>
              <w:jc w:val="center"/>
              <w:rPr>
                <w:b/>
                <w:bCs/>
                <w:color w:val="000000"/>
                <w:sz w:val="22"/>
                <w:szCs w:val="22"/>
              </w:rPr>
            </w:pPr>
            <w:r w:rsidRPr="009A3722">
              <w:rPr>
                <w:b/>
                <w:bCs/>
                <w:color w:val="000000"/>
                <w:sz w:val="22"/>
                <w:szCs w:val="22"/>
              </w:rPr>
              <w:t>All Intra HE</w:t>
            </w:r>
          </w:p>
        </w:tc>
        <w:tc>
          <w:tcPr>
            <w:tcW w:w="2042" w:type="pct"/>
            <w:gridSpan w:val="3"/>
            <w:tcBorders>
              <w:top w:val="single" w:sz="8" w:space="0" w:color="auto"/>
              <w:left w:val="nil"/>
              <w:bottom w:val="nil"/>
              <w:right w:val="single" w:sz="8" w:space="0" w:color="000000"/>
            </w:tcBorders>
            <w:shd w:val="clear" w:color="auto" w:fill="auto"/>
            <w:noWrap/>
            <w:vAlign w:val="bottom"/>
            <w:hideMark/>
          </w:tcPr>
          <w:p w:rsidR="009A3722" w:rsidRPr="009A3722" w:rsidRDefault="009A3722" w:rsidP="009A3722">
            <w:pPr>
              <w:jc w:val="center"/>
              <w:rPr>
                <w:b/>
                <w:bCs/>
                <w:color w:val="000000"/>
                <w:sz w:val="22"/>
                <w:szCs w:val="22"/>
              </w:rPr>
            </w:pPr>
            <w:r w:rsidRPr="009A3722">
              <w:rPr>
                <w:b/>
                <w:bCs/>
                <w:color w:val="000000"/>
                <w:sz w:val="22"/>
                <w:szCs w:val="22"/>
              </w:rPr>
              <w:t>All Intra LC</w:t>
            </w:r>
          </w:p>
        </w:tc>
      </w:tr>
      <w:tr w:rsidR="009A3722" w:rsidRPr="009A3722" w:rsidTr="009A3722">
        <w:trPr>
          <w:trHeight w:val="255"/>
        </w:trPr>
        <w:tc>
          <w:tcPr>
            <w:tcW w:w="1004" w:type="pct"/>
            <w:tcBorders>
              <w:top w:val="nil"/>
              <w:left w:val="nil"/>
              <w:bottom w:val="nil"/>
              <w:right w:val="nil"/>
            </w:tcBorders>
            <w:shd w:val="clear" w:color="auto" w:fill="auto"/>
            <w:noWrap/>
            <w:vAlign w:val="bottom"/>
            <w:hideMark/>
          </w:tcPr>
          <w:p w:rsidR="009A3722" w:rsidRPr="009A3722" w:rsidRDefault="009A3722" w:rsidP="009A3722">
            <w:pPr>
              <w:rPr>
                <w:color w:val="000000"/>
                <w:sz w:val="22"/>
                <w:szCs w:val="22"/>
              </w:rPr>
            </w:pPr>
          </w:p>
        </w:tc>
        <w:tc>
          <w:tcPr>
            <w:tcW w:w="514" w:type="pct"/>
            <w:tcBorders>
              <w:top w:val="nil"/>
              <w:left w:val="single" w:sz="8" w:space="0" w:color="auto"/>
              <w:bottom w:val="single" w:sz="8" w:space="0" w:color="auto"/>
              <w:right w:val="nil"/>
            </w:tcBorders>
            <w:shd w:val="clear" w:color="auto" w:fill="auto"/>
            <w:noWrap/>
            <w:vAlign w:val="bottom"/>
            <w:hideMark/>
          </w:tcPr>
          <w:p w:rsidR="009A3722" w:rsidRPr="009A3722" w:rsidRDefault="009A3722" w:rsidP="009A3722">
            <w:pPr>
              <w:jc w:val="center"/>
              <w:rPr>
                <w:color w:val="000000"/>
                <w:sz w:val="22"/>
                <w:szCs w:val="22"/>
              </w:rPr>
            </w:pPr>
            <w:r w:rsidRPr="009A3722">
              <w:rPr>
                <w:color w:val="000000"/>
                <w:sz w:val="22"/>
                <w:szCs w:val="22"/>
              </w:rPr>
              <w:t>Y</w:t>
            </w:r>
          </w:p>
        </w:tc>
        <w:tc>
          <w:tcPr>
            <w:tcW w:w="758" w:type="pct"/>
            <w:tcBorders>
              <w:top w:val="nil"/>
              <w:left w:val="nil"/>
              <w:bottom w:val="single" w:sz="8" w:space="0" w:color="auto"/>
              <w:right w:val="nil"/>
            </w:tcBorders>
            <w:shd w:val="clear" w:color="auto" w:fill="auto"/>
            <w:noWrap/>
            <w:vAlign w:val="bottom"/>
            <w:hideMark/>
          </w:tcPr>
          <w:p w:rsidR="009A3722" w:rsidRPr="009A3722" w:rsidRDefault="009A3722" w:rsidP="009A3722">
            <w:pPr>
              <w:jc w:val="center"/>
              <w:rPr>
                <w:color w:val="000000"/>
                <w:sz w:val="22"/>
                <w:szCs w:val="22"/>
              </w:rPr>
            </w:pPr>
            <w:r w:rsidRPr="009A3722">
              <w:rPr>
                <w:color w:val="000000"/>
                <w:sz w:val="22"/>
                <w:szCs w:val="22"/>
              </w:rPr>
              <w:t>U</w:t>
            </w:r>
          </w:p>
        </w:tc>
        <w:tc>
          <w:tcPr>
            <w:tcW w:w="682" w:type="pct"/>
            <w:tcBorders>
              <w:top w:val="nil"/>
              <w:left w:val="nil"/>
              <w:bottom w:val="single" w:sz="8" w:space="0" w:color="auto"/>
              <w:right w:val="single" w:sz="8" w:space="0" w:color="auto"/>
            </w:tcBorders>
            <w:shd w:val="clear" w:color="auto" w:fill="auto"/>
            <w:noWrap/>
            <w:vAlign w:val="bottom"/>
            <w:hideMark/>
          </w:tcPr>
          <w:p w:rsidR="009A3722" w:rsidRPr="009A3722" w:rsidRDefault="009A3722" w:rsidP="009A3722">
            <w:pPr>
              <w:jc w:val="center"/>
              <w:rPr>
                <w:color w:val="000000"/>
                <w:sz w:val="22"/>
                <w:szCs w:val="22"/>
              </w:rPr>
            </w:pPr>
            <w:r w:rsidRPr="009A3722">
              <w:rPr>
                <w:color w:val="000000"/>
                <w:sz w:val="22"/>
                <w:szCs w:val="22"/>
              </w:rPr>
              <w:t>V</w:t>
            </w:r>
          </w:p>
        </w:tc>
        <w:tc>
          <w:tcPr>
            <w:tcW w:w="680" w:type="pct"/>
            <w:tcBorders>
              <w:top w:val="nil"/>
              <w:left w:val="nil"/>
              <w:bottom w:val="single" w:sz="8" w:space="0" w:color="auto"/>
              <w:right w:val="nil"/>
            </w:tcBorders>
            <w:shd w:val="clear" w:color="auto" w:fill="auto"/>
            <w:noWrap/>
            <w:vAlign w:val="bottom"/>
            <w:hideMark/>
          </w:tcPr>
          <w:p w:rsidR="009A3722" w:rsidRPr="009A3722" w:rsidRDefault="009A3722" w:rsidP="009A3722">
            <w:pPr>
              <w:jc w:val="center"/>
              <w:rPr>
                <w:color w:val="000000"/>
                <w:sz w:val="22"/>
                <w:szCs w:val="22"/>
              </w:rPr>
            </w:pPr>
            <w:r w:rsidRPr="009A3722">
              <w:rPr>
                <w:color w:val="000000"/>
                <w:sz w:val="22"/>
                <w:szCs w:val="22"/>
              </w:rPr>
              <w:t>Y</w:t>
            </w:r>
          </w:p>
        </w:tc>
        <w:tc>
          <w:tcPr>
            <w:tcW w:w="680" w:type="pct"/>
            <w:tcBorders>
              <w:top w:val="nil"/>
              <w:left w:val="nil"/>
              <w:bottom w:val="single" w:sz="8" w:space="0" w:color="auto"/>
              <w:right w:val="nil"/>
            </w:tcBorders>
            <w:shd w:val="clear" w:color="auto" w:fill="auto"/>
            <w:noWrap/>
            <w:vAlign w:val="bottom"/>
            <w:hideMark/>
          </w:tcPr>
          <w:p w:rsidR="009A3722" w:rsidRPr="009A3722" w:rsidRDefault="009A3722" w:rsidP="009A3722">
            <w:pPr>
              <w:jc w:val="center"/>
              <w:rPr>
                <w:color w:val="000000"/>
                <w:sz w:val="22"/>
                <w:szCs w:val="22"/>
              </w:rPr>
            </w:pPr>
            <w:r w:rsidRPr="009A3722">
              <w:rPr>
                <w:color w:val="000000"/>
                <w:sz w:val="22"/>
                <w:szCs w:val="22"/>
              </w:rPr>
              <w:t>U</w:t>
            </w:r>
          </w:p>
        </w:tc>
        <w:tc>
          <w:tcPr>
            <w:tcW w:w="681" w:type="pct"/>
            <w:tcBorders>
              <w:top w:val="nil"/>
              <w:left w:val="nil"/>
              <w:bottom w:val="single" w:sz="8" w:space="0" w:color="auto"/>
              <w:right w:val="single" w:sz="8" w:space="0" w:color="auto"/>
            </w:tcBorders>
            <w:shd w:val="clear" w:color="auto" w:fill="auto"/>
            <w:noWrap/>
            <w:vAlign w:val="bottom"/>
            <w:hideMark/>
          </w:tcPr>
          <w:p w:rsidR="009A3722" w:rsidRPr="009A3722" w:rsidRDefault="009A3722" w:rsidP="009A3722">
            <w:pPr>
              <w:jc w:val="center"/>
              <w:rPr>
                <w:color w:val="000000"/>
                <w:sz w:val="22"/>
                <w:szCs w:val="22"/>
              </w:rPr>
            </w:pPr>
            <w:r w:rsidRPr="009A3722">
              <w:rPr>
                <w:color w:val="000000"/>
                <w:sz w:val="22"/>
                <w:szCs w:val="22"/>
              </w:rPr>
              <w:t>V</w:t>
            </w:r>
          </w:p>
        </w:tc>
      </w:tr>
      <w:tr w:rsidR="009A3722" w:rsidRPr="009A3722" w:rsidTr="009A3722">
        <w:trPr>
          <w:trHeight w:val="240"/>
        </w:trPr>
        <w:tc>
          <w:tcPr>
            <w:tcW w:w="1004" w:type="pct"/>
            <w:tcBorders>
              <w:top w:val="single" w:sz="8" w:space="0" w:color="auto"/>
              <w:left w:val="single" w:sz="8" w:space="0" w:color="auto"/>
              <w:bottom w:val="nil"/>
              <w:right w:val="single" w:sz="8" w:space="0" w:color="auto"/>
            </w:tcBorders>
            <w:shd w:val="clear" w:color="auto" w:fill="auto"/>
            <w:noWrap/>
            <w:vAlign w:val="bottom"/>
            <w:hideMark/>
          </w:tcPr>
          <w:p w:rsidR="009A3722" w:rsidRPr="009A3722" w:rsidRDefault="009A3722" w:rsidP="009A3722">
            <w:pPr>
              <w:rPr>
                <w:color w:val="000000"/>
                <w:sz w:val="22"/>
                <w:szCs w:val="22"/>
              </w:rPr>
            </w:pPr>
            <w:r w:rsidRPr="009A3722">
              <w:rPr>
                <w:color w:val="000000"/>
                <w:sz w:val="22"/>
                <w:szCs w:val="22"/>
              </w:rPr>
              <w:t>Class A</w:t>
            </w:r>
          </w:p>
        </w:tc>
        <w:tc>
          <w:tcPr>
            <w:tcW w:w="514" w:type="pct"/>
            <w:tcBorders>
              <w:top w:val="nil"/>
              <w:left w:val="nil"/>
              <w:bottom w:val="nil"/>
              <w:right w:val="nil"/>
            </w:tcBorders>
            <w:shd w:val="clear" w:color="auto" w:fill="auto"/>
            <w:noWrap/>
            <w:vAlign w:val="bottom"/>
            <w:hideMark/>
          </w:tcPr>
          <w:p w:rsidR="009A3722" w:rsidRPr="009A3722" w:rsidRDefault="009A3722" w:rsidP="009A3722">
            <w:pPr>
              <w:jc w:val="center"/>
              <w:rPr>
                <w:color w:val="000000"/>
                <w:sz w:val="22"/>
                <w:szCs w:val="22"/>
              </w:rPr>
            </w:pPr>
            <w:r w:rsidRPr="009A3722">
              <w:rPr>
                <w:color w:val="000000"/>
                <w:sz w:val="22"/>
                <w:szCs w:val="22"/>
              </w:rPr>
              <w:t>0.0%</w:t>
            </w:r>
          </w:p>
        </w:tc>
        <w:tc>
          <w:tcPr>
            <w:tcW w:w="758" w:type="pct"/>
            <w:tcBorders>
              <w:top w:val="nil"/>
              <w:left w:val="nil"/>
              <w:bottom w:val="nil"/>
              <w:right w:val="nil"/>
            </w:tcBorders>
            <w:shd w:val="clear" w:color="auto" w:fill="auto"/>
            <w:noWrap/>
            <w:vAlign w:val="bottom"/>
            <w:hideMark/>
          </w:tcPr>
          <w:p w:rsidR="009A3722" w:rsidRPr="009A3722" w:rsidRDefault="009A3722" w:rsidP="009A3722">
            <w:pPr>
              <w:jc w:val="center"/>
              <w:rPr>
                <w:color w:val="000000"/>
                <w:sz w:val="22"/>
                <w:szCs w:val="22"/>
              </w:rPr>
            </w:pPr>
            <w:r w:rsidRPr="009A3722">
              <w:rPr>
                <w:color w:val="000000"/>
                <w:sz w:val="22"/>
                <w:szCs w:val="22"/>
              </w:rPr>
              <w:t>-0.1%</w:t>
            </w:r>
          </w:p>
        </w:tc>
        <w:tc>
          <w:tcPr>
            <w:tcW w:w="682" w:type="pct"/>
            <w:tcBorders>
              <w:top w:val="nil"/>
              <w:left w:val="nil"/>
              <w:bottom w:val="nil"/>
              <w:right w:val="single" w:sz="8" w:space="0" w:color="auto"/>
            </w:tcBorders>
            <w:shd w:val="clear" w:color="auto" w:fill="auto"/>
            <w:noWrap/>
            <w:vAlign w:val="bottom"/>
            <w:hideMark/>
          </w:tcPr>
          <w:p w:rsidR="009A3722" w:rsidRPr="009A3722" w:rsidRDefault="009A3722" w:rsidP="009A3722">
            <w:pPr>
              <w:jc w:val="center"/>
              <w:rPr>
                <w:color w:val="000000"/>
                <w:sz w:val="22"/>
                <w:szCs w:val="22"/>
              </w:rPr>
            </w:pPr>
            <w:r w:rsidRPr="009A3722">
              <w:rPr>
                <w:color w:val="000000"/>
                <w:sz w:val="22"/>
                <w:szCs w:val="22"/>
              </w:rPr>
              <w:t>0.0%</w:t>
            </w:r>
          </w:p>
        </w:tc>
        <w:tc>
          <w:tcPr>
            <w:tcW w:w="680" w:type="pct"/>
            <w:tcBorders>
              <w:top w:val="nil"/>
              <w:left w:val="nil"/>
              <w:bottom w:val="nil"/>
              <w:right w:val="nil"/>
            </w:tcBorders>
            <w:shd w:val="clear" w:color="auto" w:fill="auto"/>
            <w:noWrap/>
            <w:vAlign w:val="bottom"/>
            <w:hideMark/>
          </w:tcPr>
          <w:p w:rsidR="009A3722" w:rsidRPr="009A3722" w:rsidRDefault="009A3722" w:rsidP="009A3722">
            <w:pPr>
              <w:jc w:val="center"/>
              <w:rPr>
                <w:color w:val="000000"/>
                <w:sz w:val="22"/>
                <w:szCs w:val="22"/>
              </w:rPr>
            </w:pPr>
            <w:r w:rsidRPr="009A3722">
              <w:rPr>
                <w:color w:val="000000"/>
                <w:sz w:val="22"/>
                <w:szCs w:val="22"/>
              </w:rPr>
              <w:t>0.0%</w:t>
            </w:r>
          </w:p>
        </w:tc>
        <w:tc>
          <w:tcPr>
            <w:tcW w:w="680" w:type="pct"/>
            <w:tcBorders>
              <w:top w:val="nil"/>
              <w:left w:val="nil"/>
              <w:bottom w:val="nil"/>
              <w:right w:val="nil"/>
            </w:tcBorders>
            <w:shd w:val="clear" w:color="auto" w:fill="auto"/>
            <w:noWrap/>
            <w:vAlign w:val="bottom"/>
            <w:hideMark/>
          </w:tcPr>
          <w:p w:rsidR="009A3722" w:rsidRPr="009A3722" w:rsidRDefault="009A3722" w:rsidP="009A3722">
            <w:pPr>
              <w:jc w:val="center"/>
              <w:rPr>
                <w:color w:val="000000"/>
                <w:sz w:val="22"/>
                <w:szCs w:val="22"/>
              </w:rPr>
            </w:pPr>
            <w:r w:rsidRPr="009A3722">
              <w:rPr>
                <w:color w:val="000000"/>
                <w:sz w:val="22"/>
                <w:szCs w:val="22"/>
              </w:rPr>
              <w:t>0.0%</w:t>
            </w:r>
          </w:p>
        </w:tc>
        <w:tc>
          <w:tcPr>
            <w:tcW w:w="681" w:type="pct"/>
            <w:tcBorders>
              <w:top w:val="nil"/>
              <w:left w:val="nil"/>
              <w:bottom w:val="nil"/>
              <w:right w:val="single" w:sz="8" w:space="0" w:color="auto"/>
            </w:tcBorders>
            <w:shd w:val="clear" w:color="auto" w:fill="auto"/>
            <w:noWrap/>
            <w:vAlign w:val="bottom"/>
            <w:hideMark/>
          </w:tcPr>
          <w:p w:rsidR="009A3722" w:rsidRPr="009A3722" w:rsidRDefault="009A3722" w:rsidP="009A3722">
            <w:pPr>
              <w:jc w:val="center"/>
              <w:rPr>
                <w:color w:val="000000"/>
                <w:sz w:val="22"/>
                <w:szCs w:val="22"/>
              </w:rPr>
            </w:pPr>
            <w:r w:rsidRPr="009A3722">
              <w:rPr>
                <w:color w:val="000000"/>
                <w:sz w:val="22"/>
                <w:szCs w:val="22"/>
              </w:rPr>
              <w:t>0.0%</w:t>
            </w:r>
          </w:p>
        </w:tc>
      </w:tr>
      <w:tr w:rsidR="009A3722" w:rsidRPr="009A3722" w:rsidTr="009A3722">
        <w:trPr>
          <w:trHeight w:val="240"/>
        </w:trPr>
        <w:tc>
          <w:tcPr>
            <w:tcW w:w="1004" w:type="pct"/>
            <w:tcBorders>
              <w:top w:val="nil"/>
              <w:left w:val="single" w:sz="8" w:space="0" w:color="auto"/>
              <w:bottom w:val="nil"/>
              <w:right w:val="single" w:sz="8" w:space="0" w:color="auto"/>
            </w:tcBorders>
            <w:shd w:val="clear" w:color="auto" w:fill="auto"/>
            <w:noWrap/>
            <w:vAlign w:val="bottom"/>
            <w:hideMark/>
          </w:tcPr>
          <w:p w:rsidR="009A3722" w:rsidRPr="009A3722" w:rsidRDefault="009A3722" w:rsidP="009A3722">
            <w:pPr>
              <w:rPr>
                <w:color w:val="000000"/>
                <w:sz w:val="22"/>
                <w:szCs w:val="22"/>
              </w:rPr>
            </w:pPr>
            <w:r w:rsidRPr="009A3722">
              <w:rPr>
                <w:color w:val="000000"/>
                <w:sz w:val="22"/>
                <w:szCs w:val="22"/>
              </w:rPr>
              <w:t>Class B</w:t>
            </w:r>
          </w:p>
        </w:tc>
        <w:tc>
          <w:tcPr>
            <w:tcW w:w="514" w:type="pct"/>
            <w:tcBorders>
              <w:top w:val="nil"/>
              <w:left w:val="nil"/>
              <w:bottom w:val="nil"/>
              <w:right w:val="nil"/>
            </w:tcBorders>
            <w:shd w:val="clear" w:color="auto" w:fill="auto"/>
            <w:noWrap/>
            <w:vAlign w:val="bottom"/>
            <w:hideMark/>
          </w:tcPr>
          <w:p w:rsidR="009A3722" w:rsidRPr="009A3722" w:rsidRDefault="009A3722" w:rsidP="009A3722">
            <w:pPr>
              <w:jc w:val="center"/>
              <w:rPr>
                <w:color w:val="000000"/>
                <w:sz w:val="22"/>
                <w:szCs w:val="22"/>
              </w:rPr>
            </w:pPr>
            <w:r w:rsidRPr="009A3722">
              <w:rPr>
                <w:color w:val="000000"/>
                <w:sz w:val="22"/>
                <w:szCs w:val="22"/>
              </w:rPr>
              <w:t>0.0%</w:t>
            </w:r>
          </w:p>
        </w:tc>
        <w:tc>
          <w:tcPr>
            <w:tcW w:w="758" w:type="pct"/>
            <w:tcBorders>
              <w:top w:val="nil"/>
              <w:left w:val="nil"/>
              <w:bottom w:val="nil"/>
              <w:right w:val="nil"/>
            </w:tcBorders>
            <w:shd w:val="clear" w:color="auto" w:fill="auto"/>
            <w:noWrap/>
            <w:vAlign w:val="bottom"/>
            <w:hideMark/>
          </w:tcPr>
          <w:p w:rsidR="009A3722" w:rsidRPr="009A3722" w:rsidRDefault="009A3722" w:rsidP="009A3722">
            <w:pPr>
              <w:jc w:val="center"/>
              <w:rPr>
                <w:color w:val="000000"/>
                <w:sz w:val="22"/>
                <w:szCs w:val="22"/>
              </w:rPr>
            </w:pPr>
            <w:r w:rsidRPr="009A3722">
              <w:rPr>
                <w:color w:val="000000"/>
                <w:sz w:val="22"/>
                <w:szCs w:val="22"/>
              </w:rPr>
              <w:t>0.0%</w:t>
            </w:r>
          </w:p>
        </w:tc>
        <w:tc>
          <w:tcPr>
            <w:tcW w:w="682" w:type="pct"/>
            <w:tcBorders>
              <w:top w:val="nil"/>
              <w:left w:val="nil"/>
              <w:bottom w:val="nil"/>
              <w:right w:val="single" w:sz="8" w:space="0" w:color="auto"/>
            </w:tcBorders>
            <w:shd w:val="clear" w:color="auto" w:fill="auto"/>
            <w:noWrap/>
            <w:vAlign w:val="bottom"/>
            <w:hideMark/>
          </w:tcPr>
          <w:p w:rsidR="009A3722" w:rsidRPr="009A3722" w:rsidRDefault="009A3722" w:rsidP="009A3722">
            <w:pPr>
              <w:jc w:val="center"/>
              <w:rPr>
                <w:color w:val="000000"/>
                <w:sz w:val="22"/>
                <w:szCs w:val="22"/>
              </w:rPr>
            </w:pPr>
            <w:r w:rsidRPr="009A3722">
              <w:rPr>
                <w:color w:val="000000"/>
                <w:sz w:val="22"/>
                <w:szCs w:val="22"/>
              </w:rPr>
              <w:t>0.0%</w:t>
            </w:r>
          </w:p>
        </w:tc>
        <w:tc>
          <w:tcPr>
            <w:tcW w:w="680" w:type="pct"/>
            <w:tcBorders>
              <w:top w:val="nil"/>
              <w:left w:val="nil"/>
              <w:bottom w:val="nil"/>
              <w:right w:val="nil"/>
            </w:tcBorders>
            <w:shd w:val="clear" w:color="auto" w:fill="auto"/>
            <w:noWrap/>
            <w:vAlign w:val="bottom"/>
            <w:hideMark/>
          </w:tcPr>
          <w:p w:rsidR="009A3722" w:rsidRPr="009A3722" w:rsidRDefault="009A3722" w:rsidP="009A3722">
            <w:pPr>
              <w:jc w:val="center"/>
              <w:rPr>
                <w:color w:val="000000"/>
                <w:sz w:val="22"/>
                <w:szCs w:val="22"/>
              </w:rPr>
            </w:pPr>
            <w:r w:rsidRPr="009A3722">
              <w:rPr>
                <w:color w:val="000000"/>
                <w:sz w:val="22"/>
                <w:szCs w:val="22"/>
              </w:rPr>
              <w:t>0.0%</w:t>
            </w:r>
          </w:p>
        </w:tc>
        <w:tc>
          <w:tcPr>
            <w:tcW w:w="680" w:type="pct"/>
            <w:tcBorders>
              <w:top w:val="nil"/>
              <w:left w:val="nil"/>
              <w:bottom w:val="nil"/>
              <w:right w:val="nil"/>
            </w:tcBorders>
            <w:shd w:val="clear" w:color="auto" w:fill="auto"/>
            <w:noWrap/>
            <w:vAlign w:val="bottom"/>
            <w:hideMark/>
          </w:tcPr>
          <w:p w:rsidR="009A3722" w:rsidRPr="009A3722" w:rsidRDefault="009A3722" w:rsidP="009A3722">
            <w:pPr>
              <w:jc w:val="center"/>
              <w:rPr>
                <w:color w:val="000000"/>
                <w:sz w:val="22"/>
                <w:szCs w:val="22"/>
              </w:rPr>
            </w:pPr>
            <w:r w:rsidRPr="009A3722">
              <w:rPr>
                <w:color w:val="000000"/>
                <w:sz w:val="22"/>
                <w:szCs w:val="22"/>
              </w:rPr>
              <w:t>0.0%</w:t>
            </w:r>
          </w:p>
        </w:tc>
        <w:tc>
          <w:tcPr>
            <w:tcW w:w="681" w:type="pct"/>
            <w:tcBorders>
              <w:top w:val="nil"/>
              <w:left w:val="nil"/>
              <w:bottom w:val="nil"/>
              <w:right w:val="single" w:sz="8" w:space="0" w:color="auto"/>
            </w:tcBorders>
            <w:shd w:val="clear" w:color="auto" w:fill="auto"/>
            <w:noWrap/>
            <w:vAlign w:val="bottom"/>
            <w:hideMark/>
          </w:tcPr>
          <w:p w:rsidR="009A3722" w:rsidRPr="009A3722" w:rsidRDefault="009A3722" w:rsidP="009A3722">
            <w:pPr>
              <w:jc w:val="center"/>
              <w:rPr>
                <w:color w:val="000000"/>
                <w:sz w:val="22"/>
                <w:szCs w:val="22"/>
              </w:rPr>
            </w:pPr>
            <w:r w:rsidRPr="009A3722">
              <w:rPr>
                <w:color w:val="000000"/>
                <w:sz w:val="22"/>
                <w:szCs w:val="22"/>
              </w:rPr>
              <w:t>0.0%</w:t>
            </w:r>
          </w:p>
        </w:tc>
      </w:tr>
      <w:tr w:rsidR="009A3722" w:rsidRPr="009A3722" w:rsidTr="009A3722">
        <w:trPr>
          <w:trHeight w:val="240"/>
        </w:trPr>
        <w:tc>
          <w:tcPr>
            <w:tcW w:w="1004" w:type="pct"/>
            <w:tcBorders>
              <w:top w:val="nil"/>
              <w:left w:val="single" w:sz="8" w:space="0" w:color="auto"/>
              <w:bottom w:val="nil"/>
              <w:right w:val="single" w:sz="8" w:space="0" w:color="auto"/>
            </w:tcBorders>
            <w:shd w:val="clear" w:color="auto" w:fill="auto"/>
            <w:noWrap/>
            <w:vAlign w:val="bottom"/>
            <w:hideMark/>
          </w:tcPr>
          <w:p w:rsidR="009A3722" w:rsidRPr="009A3722" w:rsidRDefault="009A3722" w:rsidP="009A3722">
            <w:pPr>
              <w:rPr>
                <w:color w:val="000000"/>
                <w:sz w:val="22"/>
                <w:szCs w:val="22"/>
              </w:rPr>
            </w:pPr>
            <w:r w:rsidRPr="009A3722">
              <w:rPr>
                <w:color w:val="000000"/>
                <w:sz w:val="22"/>
                <w:szCs w:val="22"/>
              </w:rPr>
              <w:t>Class C</w:t>
            </w:r>
          </w:p>
        </w:tc>
        <w:tc>
          <w:tcPr>
            <w:tcW w:w="514" w:type="pct"/>
            <w:tcBorders>
              <w:top w:val="nil"/>
              <w:left w:val="nil"/>
              <w:bottom w:val="nil"/>
              <w:right w:val="nil"/>
            </w:tcBorders>
            <w:shd w:val="clear" w:color="auto" w:fill="auto"/>
            <w:noWrap/>
            <w:vAlign w:val="bottom"/>
            <w:hideMark/>
          </w:tcPr>
          <w:p w:rsidR="009A3722" w:rsidRPr="009A3722" w:rsidRDefault="009A3722" w:rsidP="009A3722">
            <w:pPr>
              <w:jc w:val="center"/>
              <w:rPr>
                <w:color w:val="000000"/>
                <w:sz w:val="22"/>
                <w:szCs w:val="22"/>
              </w:rPr>
            </w:pPr>
            <w:r w:rsidRPr="009A3722">
              <w:rPr>
                <w:color w:val="000000"/>
                <w:sz w:val="22"/>
                <w:szCs w:val="22"/>
              </w:rPr>
              <w:t>0.0%</w:t>
            </w:r>
          </w:p>
        </w:tc>
        <w:tc>
          <w:tcPr>
            <w:tcW w:w="758" w:type="pct"/>
            <w:tcBorders>
              <w:top w:val="nil"/>
              <w:left w:val="nil"/>
              <w:bottom w:val="nil"/>
              <w:right w:val="nil"/>
            </w:tcBorders>
            <w:shd w:val="clear" w:color="auto" w:fill="auto"/>
            <w:noWrap/>
            <w:vAlign w:val="bottom"/>
            <w:hideMark/>
          </w:tcPr>
          <w:p w:rsidR="009A3722" w:rsidRPr="009A3722" w:rsidRDefault="009A3722" w:rsidP="009A3722">
            <w:pPr>
              <w:jc w:val="center"/>
              <w:rPr>
                <w:color w:val="000000"/>
                <w:sz w:val="22"/>
                <w:szCs w:val="22"/>
              </w:rPr>
            </w:pPr>
            <w:r w:rsidRPr="009A3722">
              <w:rPr>
                <w:color w:val="000000"/>
                <w:sz w:val="22"/>
                <w:szCs w:val="22"/>
              </w:rPr>
              <w:t>0.0%</w:t>
            </w:r>
          </w:p>
        </w:tc>
        <w:tc>
          <w:tcPr>
            <w:tcW w:w="682" w:type="pct"/>
            <w:tcBorders>
              <w:top w:val="nil"/>
              <w:left w:val="nil"/>
              <w:bottom w:val="nil"/>
              <w:right w:val="single" w:sz="8" w:space="0" w:color="auto"/>
            </w:tcBorders>
            <w:shd w:val="clear" w:color="auto" w:fill="auto"/>
            <w:noWrap/>
            <w:vAlign w:val="bottom"/>
            <w:hideMark/>
          </w:tcPr>
          <w:p w:rsidR="009A3722" w:rsidRPr="009A3722" w:rsidRDefault="009A3722" w:rsidP="009A3722">
            <w:pPr>
              <w:jc w:val="center"/>
              <w:rPr>
                <w:color w:val="000000"/>
                <w:sz w:val="22"/>
                <w:szCs w:val="22"/>
              </w:rPr>
            </w:pPr>
            <w:r w:rsidRPr="009A3722">
              <w:rPr>
                <w:color w:val="000000"/>
                <w:sz w:val="22"/>
                <w:szCs w:val="22"/>
              </w:rPr>
              <w:t>0.0%</w:t>
            </w:r>
          </w:p>
        </w:tc>
        <w:tc>
          <w:tcPr>
            <w:tcW w:w="680" w:type="pct"/>
            <w:tcBorders>
              <w:top w:val="nil"/>
              <w:left w:val="nil"/>
              <w:bottom w:val="nil"/>
              <w:right w:val="nil"/>
            </w:tcBorders>
            <w:shd w:val="clear" w:color="auto" w:fill="auto"/>
            <w:noWrap/>
            <w:vAlign w:val="bottom"/>
            <w:hideMark/>
          </w:tcPr>
          <w:p w:rsidR="009A3722" w:rsidRPr="009A3722" w:rsidRDefault="009A3722" w:rsidP="009A3722">
            <w:pPr>
              <w:jc w:val="center"/>
              <w:rPr>
                <w:color w:val="000000"/>
                <w:sz w:val="22"/>
                <w:szCs w:val="22"/>
              </w:rPr>
            </w:pPr>
            <w:r w:rsidRPr="009A3722">
              <w:rPr>
                <w:color w:val="000000"/>
                <w:sz w:val="22"/>
                <w:szCs w:val="22"/>
              </w:rPr>
              <w:t>0.0%</w:t>
            </w:r>
          </w:p>
        </w:tc>
        <w:tc>
          <w:tcPr>
            <w:tcW w:w="680" w:type="pct"/>
            <w:tcBorders>
              <w:top w:val="nil"/>
              <w:left w:val="nil"/>
              <w:bottom w:val="nil"/>
              <w:right w:val="nil"/>
            </w:tcBorders>
            <w:shd w:val="clear" w:color="auto" w:fill="auto"/>
            <w:noWrap/>
            <w:vAlign w:val="bottom"/>
            <w:hideMark/>
          </w:tcPr>
          <w:p w:rsidR="009A3722" w:rsidRPr="009A3722" w:rsidRDefault="009A3722" w:rsidP="009A3722">
            <w:pPr>
              <w:jc w:val="center"/>
              <w:rPr>
                <w:color w:val="000000"/>
                <w:sz w:val="22"/>
                <w:szCs w:val="22"/>
              </w:rPr>
            </w:pPr>
            <w:r w:rsidRPr="009A3722">
              <w:rPr>
                <w:color w:val="000000"/>
                <w:sz w:val="22"/>
                <w:szCs w:val="22"/>
              </w:rPr>
              <w:t>0.0%</w:t>
            </w:r>
          </w:p>
        </w:tc>
        <w:tc>
          <w:tcPr>
            <w:tcW w:w="681" w:type="pct"/>
            <w:tcBorders>
              <w:top w:val="nil"/>
              <w:left w:val="nil"/>
              <w:bottom w:val="nil"/>
              <w:right w:val="single" w:sz="8" w:space="0" w:color="auto"/>
            </w:tcBorders>
            <w:shd w:val="clear" w:color="auto" w:fill="auto"/>
            <w:noWrap/>
            <w:vAlign w:val="bottom"/>
            <w:hideMark/>
          </w:tcPr>
          <w:p w:rsidR="009A3722" w:rsidRPr="009A3722" w:rsidRDefault="009A3722" w:rsidP="009A3722">
            <w:pPr>
              <w:jc w:val="center"/>
              <w:rPr>
                <w:color w:val="000000"/>
                <w:sz w:val="22"/>
                <w:szCs w:val="22"/>
              </w:rPr>
            </w:pPr>
            <w:r w:rsidRPr="009A3722">
              <w:rPr>
                <w:color w:val="000000"/>
                <w:sz w:val="22"/>
                <w:szCs w:val="22"/>
              </w:rPr>
              <w:t>0.0%</w:t>
            </w:r>
          </w:p>
        </w:tc>
      </w:tr>
      <w:tr w:rsidR="009A3722" w:rsidRPr="009A3722" w:rsidTr="009A3722">
        <w:trPr>
          <w:trHeight w:val="240"/>
        </w:trPr>
        <w:tc>
          <w:tcPr>
            <w:tcW w:w="1004" w:type="pct"/>
            <w:tcBorders>
              <w:top w:val="nil"/>
              <w:left w:val="single" w:sz="8" w:space="0" w:color="auto"/>
              <w:bottom w:val="nil"/>
              <w:right w:val="single" w:sz="8" w:space="0" w:color="auto"/>
            </w:tcBorders>
            <w:shd w:val="clear" w:color="auto" w:fill="auto"/>
            <w:noWrap/>
            <w:vAlign w:val="bottom"/>
            <w:hideMark/>
          </w:tcPr>
          <w:p w:rsidR="009A3722" w:rsidRPr="009A3722" w:rsidRDefault="009A3722" w:rsidP="009A3722">
            <w:pPr>
              <w:rPr>
                <w:color w:val="000000"/>
                <w:sz w:val="22"/>
                <w:szCs w:val="22"/>
              </w:rPr>
            </w:pPr>
            <w:r w:rsidRPr="009A3722">
              <w:rPr>
                <w:color w:val="000000"/>
                <w:sz w:val="22"/>
                <w:szCs w:val="22"/>
              </w:rPr>
              <w:t>Class D</w:t>
            </w:r>
          </w:p>
        </w:tc>
        <w:tc>
          <w:tcPr>
            <w:tcW w:w="514" w:type="pct"/>
            <w:tcBorders>
              <w:top w:val="nil"/>
              <w:left w:val="nil"/>
              <w:bottom w:val="nil"/>
              <w:right w:val="nil"/>
            </w:tcBorders>
            <w:shd w:val="clear" w:color="auto" w:fill="auto"/>
            <w:noWrap/>
            <w:vAlign w:val="bottom"/>
            <w:hideMark/>
          </w:tcPr>
          <w:p w:rsidR="009A3722" w:rsidRPr="009A3722" w:rsidRDefault="009A3722" w:rsidP="009A3722">
            <w:pPr>
              <w:jc w:val="center"/>
              <w:rPr>
                <w:color w:val="000000"/>
                <w:sz w:val="22"/>
                <w:szCs w:val="22"/>
              </w:rPr>
            </w:pPr>
            <w:r w:rsidRPr="009A3722">
              <w:rPr>
                <w:color w:val="000000"/>
                <w:sz w:val="22"/>
                <w:szCs w:val="22"/>
              </w:rPr>
              <w:t>0.0%</w:t>
            </w:r>
          </w:p>
        </w:tc>
        <w:tc>
          <w:tcPr>
            <w:tcW w:w="758" w:type="pct"/>
            <w:tcBorders>
              <w:top w:val="nil"/>
              <w:left w:val="nil"/>
              <w:bottom w:val="nil"/>
              <w:right w:val="nil"/>
            </w:tcBorders>
            <w:shd w:val="clear" w:color="auto" w:fill="auto"/>
            <w:noWrap/>
            <w:vAlign w:val="bottom"/>
            <w:hideMark/>
          </w:tcPr>
          <w:p w:rsidR="009A3722" w:rsidRPr="009A3722" w:rsidRDefault="009A3722" w:rsidP="009A3722">
            <w:pPr>
              <w:jc w:val="center"/>
              <w:rPr>
                <w:color w:val="000000"/>
                <w:sz w:val="22"/>
                <w:szCs w:val="22"/>
              </w:rPr>
            </w:pPr>
            <w:r w:rsidRPr="009A3722">
              <w:rPr>
                <w:color w:val="000000"/>
                <w:sz w:val="22"/>
                <w:szCs w:val="22"/>
              </w:rPr>
              <w:t>0.0%</w:t>
            </w:r>
          </w:p>
        </w:tc>
        <w:tc>
          <w:tcPr>
            <w:tcW w:w="682" w:type="pct"/>
            <w:tcBorders>
              <w:top w:val="nil"/>
              <w:left w:val="nil"/>
              <w:bottom w:val="nil"/>
              <w:right w:val="single" w:sz="8" w:space="0" w:color="auto"/>
            </w:tcBorders>
            <w:shd w:val="clear" w:color="auto" w:fill="auto"/>
            <w:noWrap/>
            <w:vAlign w:val="bottom"/>
            <w:hideMark/>
          </w:tcPr>
          <w:p w:rsidR="009A3722" w:rsidRPr="009A3722" w:rsidRDefault="009A3722" w:rsidP="009A3722">
            <w:pPr>
              <w:jc w:val="center"/>
              <w:rPr>
                <w:color w:val="000000"/>
                <w:sz w:val="22"/>
                <w:szCs w:val="22"/>
              </w:rPr>
            </w:pPr>
            <w:r w:rsidRPr="009A3722">
              <w:rPr>
                <w:color w:val="000000"/>
                <w:sz w:val="22"/>
                <w:szCs w:val="22"/>
              </w:rPr>
              <w:t>0.0%</w:t>
            </w:r>
          </w:p>
        </w:tc>
        <w:tc>
          <w:tcPr>
            <w:tcW w:w="680" w:type="pct"/>
            <w:tcBorders>
              <w:top w:val="nil"/>
              <w:left w:val="nil"/>
              <w:bottom w:val="nil"/>
              <w:right w:val="nil"/>
            </w:tcBorders>
            <w:shd w:val="clear" w:color="auto" w:fill="auto"/>
            <w:noWrap/>
            <w:vAlign w:val="bottom"/>
            <w:hideMark/>
          </w:tcPr>
          <w:p w:rsidR="009A3722" w:rsidRPr="009A3722" w:rsidRDefault="009A3722" w:rsidP="009A3722">
            <w:pPr>
              <w:jc w:val="center"/>
              <w:rPr>
                <w:color w:val="000000"/>
                <w:sz w:val="22"/>
                <w:szCs w:val="22"/>
              </w:rPr>
            </w:pPr>
            <w:r w:rsidRPr="009A3722">
              <w:rPr>
                <w:color w:val="000000"/>
                <w:sz w:val="22"/>
                <w:szCs w:val="22"/>
              </w:rPr>
              <w:t>0.0%</w:t>
            </w:r>
          </w:p>
        </w:tc>
        <w:tc>
          <w:tcPr>
            <w:tcW w:w="680" w:type="pct"/>
            <w:tcBorders>
              <w:top w:val="nil"/>
              <w:left w:val="nil"/>
              <w:bottom w:val="nil"/>
              <w:right w:val="nil"/>
            </w:tcBorders>
            <w:shd w:val="clear" w:color="auto" w:fill="auto"/>
            <w:noWrap/>
            <w:vAlign w:val="bottom"/>
            <w:hideMark/>
          </w:tcPr>
          <w:p w:rsidR="009A3722" w:rsidRPr="009A3722" w:rsidRDefault="009A3722" w:rsidP="009A3722">
            <w:pPr>
              <w:jc w:val="center"/>
              <w:rPr>
                <w:color w:val="000000"/>
                <w:sz w:val="22"/>
                <w:szCs w:val="22"/>
              </w:rPr>
            </w:pPr>
            <w:r w:rsidRPr="009A3722">
              <w:rPr>
                <w:color w:val="000000"/>
                <w:sz w:val="22"/>
                <w:szCs w:val="22"/>
              </w:rPr>
              <w:t>0.0%</w:t>
            </w:r>
          </w:p>
        </w:tc>
        <w:tc>
          <w:tcPr>
            <w:tcW w:w="681" w:type="pct"/>
            <w:tcBorders>
              <w:top w:val="nil"/>
              <w:left w:val="nil"/>
              <w:bottom w:val="nil"/>
              <w:right w:val="single" w:sz="8" w:space="0" w:color="auto"/>
            </w:tcBorders>
            <w:shd w:val="clear" w:color="auto" w:fill="auto"/>
            <w:noWrap/>
            <w:vAlign w:val="bottom"/>
            <w:hideMark/>
          </w:tcPr>
          <w:p w:rsidR="009A3722" w:rsidRPr="009A3722" w:rsidRDefault="009A3722" w:rsidP="009A3722">
            <w:pPr>
              <w:jc w:val="center"/>
              <w:rPr>
                <w:color w:val="000000"/>
                <w:sz w:val="22"/>
                <w:szCs w:val="22"/>
              </w:rPr>
            </w:pPr>
            <w:r w:rsidRPr="009A3722">
              <w:rPr>
                <w:color w:val="000000"/>
                <w:sz w:val="22"/>
                <w:szCs w:val="22"/>
              </w:rPr>
              <w:t>0.0%</w:t>
            </w:r>
          </w:p>
        </w:tc>
      </w:tr>
      <w:tr w:rsidR="009A3722" w:rsidRPr="009A3722" w:rsidTr="009A3722">
        <w:trPr>
          <w:trHeight w:val="255"/>
        </w:trPr>
        <w:tc>
          <w:tcPr>
            <w:tcW w:w="1004" w:type="pct"/>
            <w:tcBorders>
              <w:top w:val="nil"/>
              <w:left w:val="single" w:sz="8" w:space="0" w:color="auto"/>
              <w:bottom w:val="nil"/>
              <w:right w:val="single" w:sz="8" w:space="0" w:color="auto"/>
            </w:tcBorders>
            <w:shd w:val="clear" w:color="auto" w:fill="auto"/>
            <w:noWrap/>
            <w:vAlign w:val="bottom"/>
            <w:hideMark/>
          </w:tcPr>
          <w:p w:rsidR="009A3722" w:rsidRPr="009A3722" w:rsidRDefault="009A3722" w:rsidP="009A3722">
            <w:pPr>
              <w:rPr>
                <w:color w:val="000000"/>
                <w:sz w:val="22"/>
                <w:szCs w:val="22"/>
              </w:rPr>
            </w:pPr>
            <w:r w:rsidRPr="009A3722">
              <w:rPr>
                <w:color w:val="000000"/>
                <w:sz w:val="22"/>
                <w:szCs w:val="22"/>
              </w:rPr>
              <w:t>Class E</w:t>
            </w:r>
          </w:p>
        </w:tc>
        <w:tc>
          <w:tcPr>
            <w:tcW w:w="514" w:type="pct"/>
            <w:tcBorders>
              <w:top w:val="nil"/>
              <w:left w:val="nil"/>
              <w:bottom w:val="nil"/>
              <w:right w:val="nil"/>
            </w:tcBorders>
            <w:shd w:val="clear" w:color="auto" w:fill="auto"/>
            <w:noWrap/>
            <w:vAlign w:val="bottom"/>
            <w:hideMark/>
          </w:tcPr>
          <w:p w:rsidR="009A3722" w:rsidRPr="009A3722" w:rsidRDefault="009A3722" w:rsidP="009A3722">
            <w:pPr>
              <w:jc w:val="center"/>
              <w:rPr>
                <w:color w:val="000000"/>
                <w:sz w:val="22"/>
                <w:szCs w:val="22"/>
              </w:rPr>
            </w:pPr>
            <w:r w:rsidRPr="009A3722">
              <w:rPr>
                <w:color w:val="000000"/>
                <w:sz w:val="22"/>
                <w:szCs w:val="22"/>
              </w:rPr>
              <w:t>0.0%</w:t>
            </w:r>
          </w:p>
        </w:tc>
        <w:tc>
          <w:tcPr>
            <w:tcW w:w="758" w:type="pct"/>
            <w:tcBorders>
              <w:top w:val="nil"/>
              <w:left w:val="nil"/>
              <w:bottom w:val="nil"/>
              <w:right w:val="nil"/>
            </w:tcBorders>
            <w:shd w:val="clear" w:color="auto" w:fill="auto"/>
            <w:noWrap/>
            <w:vAlign w:val="bottom"/>
            <w:hideMark/>
          </w:tcPr>
          <w:p w:rsidR="009A3722" w:rsidRPr="009A3722" w:rsidRDefault="009A3722" w:rsidP="009A3722">
            <w:pPr>
              <w:jc w:val="center"/>
              <w:rPr>
                <w:color w:val="000000"/>
                <w:sz w:val="22"/>
                <w:szCs w:val="22"/>
              </w:rPr>
            </w:pPr>
            <w:r w:rsidRPr="009A3722">
              <w:rPr>
                <w:color w:val="000000"/>
                <w:sz w:val="22"/>
                <w:szCs w:val="22"/>
              </w:rPr>
              <w:t>0.0%</w:t>
            </w:r>
          </w:p>
        </w:tc>
        <w:tc>
          <w:tcPr>
            <w:tcW w:w="682" w:type="pct"/>
            <w:tcBorders>
              <w:top w:val="nil"/>
              <w:left w:val="nil"/>
              <w:bottom w:val="nil"/>
              <w:right w:val="single" w:sz="8" w:space="0" w:color="auto"/>
            </w:tcBorders>
            <w:shd w:val="clear" w:color="auto" w:fill="auto"/>
            <w:noWrap/>
            <w:vAlign w:val="bottom"/>
            <w:hideMark/>
          </w:tcPr>
          <w:p w:rsidR="009A3722" w:rsidRPr="009A3722" w:rsidRDefault="009A3722" w:rsidP="009A3722">
            <w:pPr>
              <w:jc w:val="center"/>
              <w:rPr>
                <w:color w:val="000000"/>
                <w:sz w:val="22"/>
                <w:szCs w:val="22"/>
              </w:rPr>
            </w:pPr>
            <w:r w:rsidRPr="009A3722">
              <w:rPr>
                <w:color w:val="000000"/>
                <w:sz w:val="22"/>
                <w:szCs w:val="22"/>
              </w:rPr>
              <w:t>0.0%</w:t>
            </w:r>
          </w:p>
        </w:tc>
        <w:tc>
          <w:tcPr>
            <w:tcW w:w="680" w:type="pct"/>
            <w:tcBorders>
              <w:top w:val="nil"/>
              <w:left w:val="nil"/>
              <w:bottom w:val="nil"/>
              <w:right w:val="nil"/>
            </w:tcBorders>
            <w:shd w:val="clear" w:color="auto" w:fill="auto"/>
            <w:noWrap/>
            <w:vAlign w:val="bottom"/>
            <w:hideMark/>
          </w:tcPr>
          <w:p w:rsidR="009A3722" w:rsidRPr="009A3722" w:rsidRDefault="009A3722" w:rsidP="009A3722">
            <w:pPr>
              <w:jc w:val="center"/>
              <w:rPr>
                <w:color w:val="000000"/>
                <w:sz w:val="22"/>
                <w:szCs w:val="22"/>
              </w:rPr>
            </w:pPr>
            <w:r w:rsidRPr="009A3722">
              <w:rPr>
                <w:color w:val="000000"/>
                <w:sz w:val="22"/>
                <w:szCs w:val="22"/>
              </w:rPr>
              <w:t>0.0%</w:t>
            </w:r>
          </w:p>
        </w:tc>
        <w:tc>
          <w:tcPr>
            <w:tcW w:w="680" w:type="pct"/>
            <w:tcBorders>
              <w:top w:val="nil"/>
              <w:left w:val="nil"/>
              <w:bottom w:val="nil"/>
              <w:right w:val="nil"/>
            </w:tcBorders>
            <w:shd w:val="clear" w:color="auto" w:fill="auto"/>
            <w:noWrap/>
            <w:vAlign w:val="bottom"/>
            <w:hideMark/>
          </w:tcPr>
          <w:p w:rsidR="009A3722" w:rsidRPr="009A3722" w:rsidRDefault="009A3722" w:rsidP="009A3722">
            <w:pPr>
              <w:jc w:val="center"/>
              <w:rPr>
                <w:color w:val="000000"/>
                <w:sz w:val="22"/>
                <w:szCs w:val="22"/>
              </w:rPr>
            </w:pPr>
            <w:r w:rsidRPr="009A3722">
              <w:rPr>
                <w:color w:val="000000"/>
                <w:sz w:val="22"/>
                <w:szCs w:val="22"/>
              </w:rPr>
              <w:t>0.0%</w:t>
            </w:r>
          </w:p>
        </w:tc>
        <w:tc>
          <w:tcPr>
            <w:tcW w:w="681" w:type="pct"/>
            <w:tcBorders>
              <w:top w:val="nil"/>
              <w:left w:val="nil"/>
              <w:bottom w:val="nil"/>
              <w:right w:val="single" w:sz="8" w:space="0" w:color="auto"/>
            </w:tcBorders>
            <w:shd w:val="clear" w:color="auto" w:fill="auto"/>
            <w:noWrap/>
            <w:vAlign w:val="bottom"/>
            <w:hideMark/>
          </w:tcPr>
          <w:p w:rsidR="009A3722" w:rsidRPr="009A3722" w:rsidRDefault="009A3722" w:rsidP="009A3722">
            <w:pPr>
              <w:jc w:val="center"/>
              <w:rPr>
                <w:color w:val="000000"/>
                <w:sz w:val="22"/>
                <w:szCs w:val="22"/>
              </w:rPr>
            </w:pPr>
            <w:r w:rsidRPr="009A3722">
              <w:rPr>
                <w:color w:val="000000"/>
                <w:sz w:val="22"/>
                <w:szCs w:val="22"/>
              </w:rPr>
              <w:t>0.0%</w:t>
            </w:r>
          </w:p>
        </w:tc>
      </w:tr>
      <w:tr w:rsidR="009A3722" w:rsidRPr="009A3722" w:rsidTr="009A3722">
        <w:trPr>
          <w:trHeight w:val="240"/>
        </w:trPr>
        <w:tc>
          <w:tcPr>
            <w:tcW w:w="1004" w:type="pct"/>
            <w:tcBorders>
              <w:top w:val="single" w:sz="8" w:space="0" w:color="auto"/>
              <w:left w:val="single" w:sz="8" w:space="0" w:color="auto"/>
              <w:bottom w:val="nil"/>
              <w:right w:val="single" w:sz="8" w:space="0" w:color="auto"/>
            </w:tcBorders>
            <w:shd w:val="clear" w:color="auto" w:fill="auto"/>
            <w:noWrap/>
            <w:vAlign w:val="bottom"/>
            <w:hideMark/>
          </w:tcPr>
          <w:p w:rsidR="009A3722" w:rsidRPr="009A3722" w:rsidRDefault="009A3722" w:rsidP="009A3722">
            <w:pPr>
              <w:rPr>
                <w:b/>
                <w:bCs/>
                <w:color w:val="000000"/>
                <w:sz w:val="22"/>
                <w:szCs w:val="22"/>
              </w:rPr>
            </w:pPr>
            <w:r w:rsidRPr="009A3722">
              <w:rPr>
                <w:b/>
                <w:bCs/>
                <w:color w:val="000000"/>
                <w:sz w:val="22"/>
                <w:szCs w:val="22"/>
              </w:rPr>
              <w:lastRenderedPageBreak/>
              <w:t>Overall</w:t>
            </w:r>
          </w:p>
        </w:tc>
        <w:tc>
          <w:tcPr>
            <w:tcW w:w="514" w:type="pct"/>
            <w:tcBorders>
              <w:top w:val="single" w:sz="8" w:space="0" w:color="auto"/>
              <w:left w:val="nil"/>
              <w:bottom w:val="nil"/>
              <w:right w:val="nil"/>
            </w:tcBorders>
            <w:shd w:val="clear" w:color="auto" w:fill="auto"/>
            <w:noWrap/>
            <w:vAlign w:val="bottom"/>
            <w:hideMark/>
          </w:tcPr>
          <w:p w:rsidR="009A3722" w:rsidRPr="009A3722" w:rsidRDefault="009A3722" w:rsidP="009A3722">
            <w:pPr>
              <w:jc w:val="center"/>
              <w:rPr>
                <w:color w:val="000000"/>
                <w:sz w:val="22"/>
                <w:szCs w:val="22"/>
              </w:rPr>
            </w:pPr>
            <w:r w:rsidRPr="009A3722">
              <w:rPr>
                <w:color w:val="000000"/>
                <w:sz w:val="22"/>
                <w:szCs w:val="22"/>
              </w:rPr>
              <w:t>0.0%</w:t>
            </w:r>
          </w:p>
        </w:tc>
        <w:tc>
          <w:tcPr>
            <w:tcW w:w="758" w:type="pct"/>
            <w:tcBorders>
              <w:top w:val="single" w:sz="8" w:space="0" w:color="auto"/>
              <w:left w:val="nil"/>
              <w:bottom w:val="nil"/>
              <w:right w:val="nil"/>
            </w:tcBorders>
            <w:shd w:val="clear" w:color="auto" w:fill="auto"/>
            <w:noWrap/>
            <w:vAlign w:val="bottom"/>
            <w:hideMark/>
          </w:tcPr>
          <w:p w:rsidR="009A3722" w:rsidRPr="009A3722" w:rsidRDefault="009A3722" w:rsidP="009A3722">
            <w:pPr>
              <w:jc w:val="center"/>
              <w:rPr>
                <w:color w:val="000000"/>
                <w:sz w:val="22"/>
                <w:szCs w:val="22"/>
              </w:rPr>
            </w:pPr>
            <w:r w:rsidRPr="009A3722">
              <w:rPr>
                <w:color w:val="000000"/>
                <w:sz w:val="22"/>
                <w:szCs w:val="22"/>
              </w:rPr>
              <w:t>0.0%</w:t>
            </w:r>
          </w:p>
        </w:tc>
        <w:tc>
          <w:tcPr>
            <w:tcW w:w="682" w:type="pct"/>
            <w:tcBorders>
              <w:top w:val="single" w:sz="8" w:space="0" w:color="auto"/>
              <w:left w:val="nil"/>
              <w:bottom w:val="nil"/>
              <w:right w:val="single" w:sz="8" w:space="0" w:color="auto"/>
            </w:tcBorders>
            <w:shd w:val="clear" w:color="auto" w:fill="auto"/>
            <w:noWrap/>
            <w:vAlign w:val="bottom"/>
            <w:hideMark/>
          </w:tcPr>
          <w:p w:rsidR="009A3722" w:rsidRPr="009A3722" w:rsidRDefault="009A3722" w:rsidP="009A3722">
            <w:pPr>
              <w:jc w:val="center"/>
              <w:rPr>
                <w:color w:val="000000"/>
                <w:sz w:val="22"/>
                <w:szCs w:val="22"/>
              </w:rPr>
            </w:pPr>
            <w:r w:rsidRPr="009A3722">
              <w:rPr>
                <w:color w:val="000000"/>
                <w:sz w:val="22"/>
                <w:szCs w:val="22"/>
              </w:rPr>
              <w:t>0.0%</w:t>
            </w:r>
          </w:p>
        </w:tc>
        <w:tc>
          <w:tcPr>
            <w:tcW w:w="680" w:type="pct"/>
            <w:tcBorders>
              <w:top w:val="single" w:sz="8" w:space="0" w:color="auto"/>
              <w:left w:val="nil"/>
              <w:bottom w:val="nil"/>
              <w:right w:val="nil"/>
            </w:tcBorders>
            <w:shd w:val="clear" w:color="auto" w:fill="auto"/>
            <w:noWrap/>
            <w:vAlign w:val="bottom"/>
            <w:hideMark/>
          </w:tcPr>
          <w:p w:rsidR="009A3722" w:rsidRPr="009A3722" w:rsidRDefault="009A3722" w:rsidP="009A3722">
            <w:pPr>
              <w:jc w:val="center"/>
              <w:rPr>
                <w:color w:val="000000"/>
                <w:sz w:val="22"/>
                <w:szCs w:val="22"/>
              </w:rPr>
            </w:pPr>
            <w:r w:rsidRPr="009A3722">
              <w:rPr>
                <w:color w:val="000000"/>
                <w:sz w:val="22"/>
                <w:szCs w:val="22"/>
              </w:rPr>
              <w:t>0.0%</w:t>
            </w:r>
          </w:p>
        </w:tc>
        <w:tc>
          <w:tcPr>
            <w:tcW w:w="680" w:type="pct"/>
            <w:tcBorders>
              <w:top w:val="single" w:sz="8" w:space="0" w:color="auto"/>
              <w:left w:val="nil"/>
              <w:bottom w:val="nil"/>
              <w:right w:val="nil"/>
            </w:tcBorders>
            <w:shd w:val="clear" w:color="auto" w:fill="auto"/>
            <w:noWrap/>
            <w:vAlign w:val="bottom"/>
            <w:hideMark/>
          </w:tcPr>
          <w:p w:rsidR="009A3722" w:rsidRPr="009A3722" w:rsidRDefault="009A3722" w:rsidP="009A3722">
            <w:pPr>
              <w:jc w:val="center"/>
              <w:rPr>
                <w:color w:val="000000"/>
                <w:sz w:val="22"/>
                <w:szCs w:val="22"/>
              </w:rPr>
            </w:pPr>
            <w:r w:rsidRPr="009A3722">
              <w:rPr>
                <w:color w:val="000000"/>
                <w:sz w:val="22"/>
                <w:szCs w:val="22"/>
              </w:rPr>
              <w:t>0.0%</w:t>
            </w:r>
          </w:p>
        </w:tc>
        <w:tc>
          <w:tcPr>
            <w:tcW w:w="681" w:type="pct"/>
            <w:tcBorders>
              <w:top w:val="single" w:sz="8" w:space="0" w:color="auto"/>
              <w:left w:val="nil"/>
              <w:bottom w:val="nil"/>
              <w:right w:val="single" w:sz="8" w:space="0" w:color="auto"/>
            </w:tcBorders>
            <w:shd w:val="clear" w:color="auto" w:fill="auto"/>
            <w:noWrap/>
            <w:vAlign w:val="bottom"/>
            <w:hideMark/>
          </w:tcPr>
          <w:p w:rsidR="009A3722" w:rsidRPr="009A3722" w:rsidRDefault="009A3722" w:rsidP="009A3722">
            <w:pPr>
              <w:jc w:val="center"/>
              <w:rPr>
                <w:color w:val="000000"/>
                <w:sz w:val="22"/>
                <w:szCs w:val="22"/>
              </w:rPr>
            </w:pPr>
            <w:r w:rsidRPr="009A3722">
              <w:rPr>
                <w:color w:val="000000"/>
                <w:sz w:val="22"/>
                <w:szCs w:val="22"/>
              </w:rPr>
              <w:t>0.0%</w:t>
            </w:r>
          </w:p>
        </w:tc>
      </w:tr>
      <w:tr w:rsidR="009A3722" w:rsidRPr="009A3722" w:rsidTr="009A3722">
        <w:trPr>
          <w:trHeight w:val="255"/>
        </w:trPr>
        <w:tc>
          <w:tcPr>
            <w:tcW w:w="1004" w:type="pct"/>
            <w:tcBorders>
              <w:top w:val="nil"/>
              <w:left w:val="single" w:sz="8" w:space="0" w:color="auto"/>
              <w:bottom w:val="single" w:sz="8" w:space="0" w:color="auto"/>
              <w:right w:val="single" w:sz="8" w:space="0" w:color="auto"/>
            </w:tcBorders>
            <w:shd w:val="clear" w:color="auto" w:fill="auto"/>
            <w:noWrap/>
            <w:vAlign w:val="bottom"/>
            <w:hideMark/>
          </w:tcPr>
          <w:p w:rsidR="009A3722" w:rsidRPr="009A3722" w:rsidRDefault="009A3722" w:rsidP="009A3722">
            <w:pPr>
              <w:rPr>
                <w:color w:val="000000"/>
                <w:sz w:val="22"/>
                <w:szCs w:val="22"/>
              </w:rPr>
            </w:pPr>
            <w:r w:rsidRPr="009A3722">
              <w:rPr>
                <w:color w:val="000000"/>
                <w:sz w:val="22"/>
                <w:szCs w:val="22"/>
              </w:rPr>
              <w:t> </w:t>
            </w:r>
          </w:p>
        </w:tc>
        <w:tc>
          <w:tcPr>
            <w:tcW w:w="514" w:type="pct"/>
            <w:tcBorders>
              <w:top w:val="nil"/>
              <w:left w:val="nil"/>
              <w:bottom w:val="single" w:sz="8" w:space="0" w:color="auto"/>
              <w:right w:val="nil"/>
            </w:tcBorders>
            <w:shd w:val="clear" w:color="auto" w:fill="auto"/>
            <w:noWrap/>
            <w:vAlign w:val="bottom"/>
            <w:hideMark/>
          </w:tcPr>
          <w:p w:rsidR="009A3722" w:rsidRPr="009A3722" w:rsidRDefault="009A3722" w:rsidP="009A3722">
            <w:pPr>
              <w:jc w:val="center"/>
              <w:rPr>
                <w:color w:val="808080"/>
                <w:sz w:val="22"/>
                <w:szCs w:val="22"/>
              </w:rPr>
            </w:pPr>
            <w:r w:rsidRPr="009A3722">
              <w:rPr>
                <w:color w:val="808080"/>
                <w:sz w:val="22"/>
                <w:szCs w:val="22"/>
              </w:rPr>
              <w:t>0.0%</w:t>
            </w:r>
          </w:p>
        </w:tc>
        <w:tc>
          <w:tcPr>
            <w:tcW w:w="758" w:type="pct"/>
            <w:tcBorders>
              <w:top w:val="nil"/>
              <w:left w:val="nil"/>
              <w:bottom w:val="single" w:sz="8" w:space="0" w:color="auto"/>
              <w:right w:val="nil"/>
            </w:tcBorders>
            <w:shd w:val="clear" w:color="auto" w:fill="auto"/>
            <w:noWrap/>
            <w:vAlign w:val="bottom"/>
            <w:hideMark/>
          </w:tcPr>
          <w:p w:rsidR="009A3722" w:rsidRPr="009A3722" w:rsidRDefault="009A3722" w:rsidP="009A3722">
            <w:pPr>
              <w:jc w:val="center"/>
              <w:rPr>
                <w:color w:val="808080"/>
                <w:sz w:val="22"/>
                <w:szCs w:val="22"/>
              </w:rPr>
            </w:pPr>
            <w:r w:rsidRPr="009A3722">
              <w:rPr>
                <w:color w:val="808080"/>
                <w:sz w:val="22"/>
                <w:szCs w:val="22"/>
              </w:rPr>
              <w:t>0.0%</w:t>
            </w:r>
          </w:p>
        </w:tc>
        <w:tc>
          <w:tcPr>
            <w:tcW w:w="682" w:type="pct"/>
            <w:tcBorders>
              <w:top w:val="nil"/>
              <w:left w:val="nil"/>
              <w:bottom w:val="single" w:sz="8" w:space="0" w:color="auto"/>
              <w:right w:val="single" w:sz="8" w:space="0" w:color="auto"/>
            </w:tcBorders>
            <w:shd w:val="clear" w:color="auto" w:fill="auto"/>
            <w:noWrap/>
            <w:vAlign w:val="bottom"/>
            <w:hideMark/>
          </w:tcPr>
          <w:p w:rsidR="009A3722" w:rsidRPr="009A3722" w:rsidRDefault="009A3722" w:rsidP="009A3722">
            <w:pPr>
              <w:jc w:val="center"/>
              <w:rPr>
                <w:color w:val="808080"/>
                <w:sz w:val="22"/>
                <w:szCs w:val="22"/>
              </w:rPr>
            </w:pPr>
            <w:r w:rsidRPr="009A3722">
              <w:rPr>
                <w:color w:val="808080"/>
                <w:sz w:val="22"/>
                <w:szCs w:val="22"/>
              </w:rPr>
              <w:t>0.0%</w:t>
            </w:r>
          </w:p>
        </w:tc>
        <w:tc>
          <w:tcPr>
            <w:tcW w:w="680" w:type="pct"/>
            <w:tcBorders>
              <w:top w:val="nil"/>
              <w:left w:val="nil"/>
              <w:bottom w:val="single" w:sz="8" w:space="0" w:color="auto"/>
              <w:right w:val="nil"/>
            </w:tcBorders>
            <w:shd w:val="clear" w:color="auto" w:fill="auto"/>
            <w:noWrap/>
            <w:vAlign w:val="bottom"/>
            <w:hideMark/>
          </w:tcPr>
          <w:p w:rsidR="009A3722" w:rsidRPr="009A3722" w:rsidRDefault="009A3722" w:rsidP="009A3722">
            <w:pPr>
              <w:jc w:val="center"/>
              <w:rPr>
                <w:color w:val="808080"/>
                <w:sz w:val="22"/>
                <w:szCs w:val="22"/>
              </w:rPr>
            </w:pPr>
            <w:r w:rsidRPr="009A3722">
              <w:rPr>
                <w:color w:val="808080"/>
                <w:sz w:val="22"/>
                <w:szCs w:val="22"/>
              </w:rPr>
              <w:t>0.0%</w:t>
            </w:r>
          </w:p>
        </w:tc>
        <w:tc>
          <w:tcPr>
            <w:tcW w:w="680" w:type="pct"/>
            <w:tcBorders>
              <w:top w:val="nil"/>
              <w:left w:val="nil"/>
              <w:bottom w:val="single" w:sz="8" w:space="0" w:color="auto"/>
              <w:right w:val="nil"/>
            </w:tcBorders>
            <w:shd w:val="clear" w:color="auto" w:fill="auto"/>
            <w:noWrap/>
            <w:vAlign w:val="bottom"/>
            <w:hideMark/>
          </w:tcPr>
          <w:p w:rsidR="009A3722" w:rsidRPr="009A3722" w:rsidRDefault="009A3722" w:rsidP="009A3722">
            <w:pPr>
              <w:jc w:val="center"/>
              <w:rPr>
                <w:color w:val="808080"/>
                <w:sz w:val="22"/>
                <w:szCs w:val="22"/>
              </w:rPr>
            </w:pPr>
            <w:r w:rsidRPr="009A3722">
              <w:rPr>
                <w:color w:val="808080"/>
                <w:sz w:val="22"/>
                <w:szCs w:val="22"/>
              </w:rPr>
              <w:t>0.0%</w:t>
            </w:r>
          </w:p>
        </w:tc>
        <w:tc>
          <w:tcPr>
            <w:tcW w:w="681" w:type="pct"/>
            <w:tcBorders>
              <w:top w:val="nil"/>
              <w:left w:val="nil"/>
              <w:bottom w:val="single" w:sz="8" w:space="0" w:color="auto"/>
              <w:right w:val="single" w:sz="8" w:space="0" w:color="auto"/>
            </w:tcBorders>
            <w:shd w:val="clear" w:color="auto" w:fill="auto"/>
            <w:noWrap/>
            <w:vAlign w:val="bottom"/>
            <w:hideMark/>
          </w:tcPr>
          <w:p w:rsidR="009A3722" w:rsidRPr="009A3722" w:rsidRDefault="009A3722" w:rsidP="009A3722">
            <w:pPr>
              <w:jc w:val="center"/>
              <w:rPr>
                <w:color w:val="808080"/>
                <w:sz w:val="22"/>
                <w:szCs w:val="22"/>
              </w:rPr>
            </w:pPr>
            <w:r w:rsidRPr="009A3722">
              <w:rPr>
                <w:color w:val="808080"/>
                <w:sz w:val="22"/>
                <w:szCs w:val="22"/>
              </w:rPr>
              <w:t>0.0%</w:t>
            </w:r>
          </w:p>
        </w:tc>
      </w:tr>
      <w:tr w:rsidR="009A3722" w:rsidRPr="009A3722" w:rsidTr="009A3722">
        <w:trPr>
          <w:trHeight w:val="240"/>
        </w:trPr>
        <w:tc>
          <w:tcPr>
            <w:tcW w:w="1004" w:type="pct"/>
            <w:tcBorders>
              <w:top w:val="nil"/>
              <w:left w:val="single" w:sz="8" w:space="0" w:color="auto"/>
              <w:bottom w:val="nil"/>
              <w:right w:val="single" w:sz="8" w:space="0" w:color="auto"/>
            </w:tcBorders>
            <w:shd w:val="clear" w:color="auto" w:fill="auto"/>
            <w:noWrap/>
            <w:vAlign w:val="bottom"/>
            <w:hideMark/>
          </w:tcPr>
          <w:p w:rsidR="009A3722" w:rsidRPr="009A3722" w:rsidRDefault="009A3722" w:rsidP="009A3722">
            <w:pPr>
              <w:rPr>
                <w:color w:val="000000"/>
                <w:sz w:val="22"/>
                <w:szCs w:val="22"/>
              </w:rPr>
            </w:pPr>
            <w:r w:rsidRPr="009A3722">
              <w:rPr>
                <w:color w:val="000000"/>
                <w:sz w:val="22"/>
                <w:szCs w:val="22"/>
              </w:rPr>
              <w:t>Enc Time[%]</w:t>
            </w:r>
          </w:p>
        </w:tc>
        <w:tc>
          <w:tcPr>
            <w:tcW w:w="1955" w:type="pct"/>
            <w:gridSpan w:val="3"/>
            <w:tcBorders>
              <w:top w:val="nil"/>
              <w:left w:val="nil"/>
              <w:bottom w:val="nil"/>
              <w:right w:val="single" w:sz="8" w:space="0" w:color="000000"/>
            </w:tcBorders>
            <w:shd w:val="clear" w:color="auto" w:fill="auto"/>
            <w:noWrap/>
            <w:vAlign w:val="bottom"/>
            <w:hideMark/>
          </w:tcPr>
          <w:p w:rsidR="009A3722" w:rsidRPr="009A3722" w:rsidRDefault="009A3722" w:rsidP="009A3722">
            <w:pPr>
              <w:jc w:val="center"/>
              <w:rPr>
                <w:color w:val="000000"/>
                <w:sz w:val="22"/>
                <w:szCs w:val="22"/>
              </w:rPr>
            </w:pPr>
            <w:r w:rsidRPr="009A3722">
              <w:rPr>
                <w:color w:val="000000"/>
                <w:sz w:val="22"/>
                <w:szCs w:val="22"/>
              </w:rPr>
              <w:t>100%</w:t>
            </w:r>
          </w:p>
        </w:tc>
        <w:tc>
          <w:tcPr>
            <w:tcW w:w="2042" w:type="pct"/>
            <w:gridSpan w:val="3"/>
            <w:tcBorders>
              <w:top w:val="nil"/>
              <w:left w:val="nil"/>
              <w:bottom w:val="nil"/>
              <w:right w:val="single" w:sz="8" w:space="0" w:color="000000"/>
            </w:tcBorders>
            <w:shd w:val="clear" w:color="auto" w:fill="auto"/>
            <w:noWrap/>
            <w:vAlign w:val="bottom"/>
            <w:hideMark/>
          </w:tcPr>
          <w:p w:rsidR="009A3722" w:rsidRPr="009A3722" w:rsidRDefault="009A3722" w:rsidP="009A3722">
            <w:pPr>
              <w:jc w:val="center"/>
              <w:rPr>
                <w:color w:val="000000"/>
                <w:sz w:val="22"/>
                <w:szCs w:val="22"/>
              </w:rPr>
            </w:pPr>
            <w:r w:rsidRPr="009A3722">
              <w:rPr>
                <w:color w:val="000000"/>
                <w:sz w:val="22"/>
                <w:szCs w:val="22"/>
              </w:rPr>
              <w:t>99%</w:t>
            </w:r>
          </w:p>
        </w:tc>
      </w:tr>
      <w:tr w:rsidR="009A3722" w:rsidRPr="009A3722" w:rsidTr="009A3722">
        <w:trPr>
          <w:trHeight w:val="255"/>
        </w:trPr>
        <w:tc>
          <w:tcPr>
            <w:tcW w:w="1004" w:type="pct"/>
            <w:tcBorders>
              <w:top w:val="nil"/>
              <w:left w:val="single" w:sz="8" w:space="0" w:color="auto"/>
              <w:bottom w:val="single" w:sz="8" w:space="0" w:color="auto"/>
              <w:right w:val="single" w:sz="8" w:space="0" w:color="auto"/>
            </w:tcBorders>
            <w:shd w:val="clear" w:color="auto" w:fill="auto"/>
            <w:noWrap/>
            <w:vAlign w:val="bottom"/>
            <w:hideMark/>
          </w:tcPr>
          <w:p w:rsidR="009A3722" w:rsidRPr="009A3722" w:rsidRDefault="009A3722" w:rsidP="009A3722">
            <w:pPr>
              <w:rPr>
                <w:color w:val="000000"/>
                <w:sz w:val="22"/>
                <w:szCs w:val="22"/>
              </w:rPr>
            </w:pPr>
            <w:r w:rsidRPr="009A3722">
              <w:rPr>
                <w:color w:val="000000"/>
                <w:sz w:val="22"/>
                <w:szCs w:val="22"/>
              </w:rPr>
              <w:t>Dec Time[%]</w:t>
            </w:r>
          </w:p>
        </w:tc>
        <w:tc>
          <w:tcPr>
            <w:tcW w:w="1955" w:type="pct"/>
            <w:gridSpan w:val="3"/>
            <w:tcBorders>
              <w:top w:val="nil"/>
              <w:left w:val="nil"/>
              <w:bottom w:val="single" w:sz="8" w:space="0" w:color="auto"/>
              <w:right w:val="single" w:sz="8" w:space="0" w:color="000000"/>
            </w:tcBorders>
            <w:shd w:val="clear" w:color="auto" w:fill="auto"/>
            <w:noWrap/>
            <w:vAlign w:val="bottom"/>
            <w:hideMark/>
          </w:tcPr>
          <w:p w:rsidR="009A3722" w:rsidRPr="009A3722" w:rsidRDefault="009A3722" w:rsidP="009A3722">
            <w:pPr>
              <w:jc w:val="center"/>
              <w:rPr>
                <w:color w:val="000000"/>
                <w:sz w:val="22"/>
                <w:szCs w:val="22"/>
              </w:rPr>
            </w:pPr>
            <w:r w:rsidRPr="009A3722">
              <w:rPr>
                <w:color w:val="000000"/>
                <w:sz w:val="22"/>
                <w:szCs w:val="22"/>
              </w:rPr>
              <w:t>100%</w:t>
            </w:r>
          </w:p>
        </w:tc>
        <w:tc>
          <w:tcPr>
            <w:tcW w:w="2042" w:type="pct"/>
            <w:gridSpan w:val="3"/>
            <w:tcBorders>
              <w:top w:val="nil"/>
              <w:left w:val="nil"/>
              <w:bottom w:val="single" w:sz="8" w:space="0" w:color="auto"/>
              <w:right w:val="single" w:sz="8" w:space="0" w:color="000000"/>
            </w:tcBorders>
            <w:shd w:val="clear" w:color="auto" w:fill="auto"/>
            <w:noWrap/>
            <w:vAlign w:val="bottom"/>
            <w:hideMark/>
          </w:tcPr>
          <w:p w:rsidR="009A3722" w:rsidRPr="009A3722" w:rsidRDefault="009A3722" w:rsidP="009A3722">
            <w:pPr>
              <w:jc w:val="center"/>
              <w:rPr>
                <w:color w:val="000000"/>
                <w:sz w:val="22"/>
                <w:szCs w:val="22"/>
              </w:rPr>
            </w:pPr>
            <w:r w:rsidRPr="009A3722">
              <w:rPr>
                <w:color w:val="000000"/>
                <w:sz w:val="22"/>
                <w:szCs w:val="22"/>
              </w:rPr>
              <w:t>100%</w:t>
            </w:r>
          </w:p>
        </w:tc>
      </w:tr>
    </w:tbl>
    <w:p w:rsidR="009A3722" w:rsidRDefault="009A3722" w:rsidP="005E761F">
      <w:pPr>
        <w:spacing w:before="120" w:after="120"/>
        <w:jc w:val="center"/>
        <w:rPr>
          <w:bCs/>
          <w:szCs w:val="22"/>
        </w:rPr>
      </w:pPr>
    </w:p>
    <w:p w:rsidR="009A3722" w:rsidRDefault="009A3722" w:rsidP="005E761F">
      <w:pPr>
        <w:spacing w:before="120" w:after="120"/>
        <w:jc w:val="center"/>
        <w:rPr>
          <w:bCs/>
          <w:szCs w:val="22"/>
        </w:rPr>
      </w:pPr>
    </w:p>
    <w:p w:rsidR="009A3722" w:rsidRDefault="009A3722" w:rsidP="005E761F">
      <w:pPr>
        <w:spacing w:before="120" w:after="120"/>
        <w:jc w:val="center"/>
        <w:rPr>
          <w:bCs/>
          <w:szCs w:val="22"/>
        </w:rPr>
      </w:pPr>
    </w:p>
    <w:bookmarkEnd w:id="8"/>
    <w:bookmarkEnd w:id="9"/>
    <w:p w:rsidR="0057200C" w:rsidRDefault="00DA76D9" w:rsidP="0057200C">
      <w:pPr>
        <w:pStyle w:val="Heading1"/>
      </w:pPr>
      <w:r>
        <w:rPr>
          <w:rFonts w:hint="eastAsia"/>
          <w:lang w:eastAsia="ko-KR"/>
        </w:rPr>
        <w:t>Conclusions</w:t>
      </w:r>
    </w:p>
    <w:p w:rsidR="00F26C24" w:rsidRDefault="00F26C24" w:rsidP="00F26C24">
      <w:pPr>
        <w:jc w:val="both"/>
        <w:rPr>
          <w:lang w:eastAsia="zh-TW"/>
        </w:rPr>
      </w:pPr>
      <w:r>
        <w:rPr>
          <w:lang w:eastAsia="zh-TW"/>
        </w:rPr>
        <w:t xml:space="preserve">In this contribution, a unified single mapping method was proposed for Intra mode mapping. Experimental results report negligible impact on BD-rate (0.0x% increase in average) and encoding and decoding runtime. </w:t>
      </w:r>
      <w:r w:rsidR="00AA72AB">
        <w:rPr>
          <w:lang w:eastAsia="zh-TW"/>
        </w:rPr>
        <w:t xml:space="preserve">Software and coding procedures are simplified. </w:t>
      </w:r>
      <w:r>
        <w:rPr>
          <w:lang w:eastAsia="zh-TW"/>
        </w:rPr>
        <w:t xml:space="preserve">It is recommended to adopt the proposed method in HM.  </w:t>
      </w:r>
    </w:p>
    <w:p w:rsidR="00CC08CC" w:rsidRDefault="00CC08CC" w:rsidP="00CC08CC">
      <w:pPr>
        <w:jc w:val="both"/>
        <w:rPr>
          <w:lang w:eastAsia="zh-TW"/>
        </w:rPr>
      </w:pPr>
    </w:p>
    <w:p w:rsidR="00A62F2A" w:rsidRPr="00812CE4" w:rsidRDefault="00812CE4" w:rsidP="00812CE4">
      <w:pPr>
        <w:pStyle w:val="Heading1"/>
      </w:pPr>
      <w:r>
        <w:rPr>
          <w:szCs w:val="22"/>
          <w:lang w:eastAsia="ko-KR"/>
        </w:rPr>
        <w:t>References</w:t>
      </w:r>
    </w:p>
    <w:p w:rsidR="003D15DD" w:rsidRDefault="003D15DD" w:rsidP="003D15DD">
      <w:pPr>
        <w:numPr>
          <w:ilvl w:val="0"/>
          <w:numId w:val="13"/>
        </w:numPr>
        <w:tabs>
          <w:tab w:val="clear" w:pos="720"/>
          <w:tab w:val="left" w:pos="709"/>
        </w:tabs>
        <w:jc w:val="both"/>
        <w:rPr>
          <w:szCs w:val="20"/>
          <w:lang w:val="de-DE"/>
        </w:rPr>
      </w:pPr>
      <w:bookmarkStart w:id="10" w:name="_Ref287367810"/>
      <w:r>
        <w:rPr>
          <w:szCs w:val="22"/>
          <w:lang w:eastAsia="zh-TW"/>
        </w:rPr>
        <w:t>Frank Bossen, “Common test conditions and software reference configurations</w:t>
      </w:r>
      <w:bookmarkStart w:id="11" w:name="OLE_LINK33"/>
      <w:bookmarkStart w:id="12" w:name="OLE_LINK34"/>
      <w:r>
        <w:rPr>
          <w:szCs w:val="22"/>
          <w:lang w:eastAsia="zh-TW"/>
        </w:rPr>
        <w:t>”, JCTVC-F900, Joint Collaborative Team on Video Coding (JCT-VC) of ITU-T VCEG and ISO/IEC MPEG, Torino, Italy, July 2011</w:t>
      </w:r>
      <w:r>
        <w:rPr>
          <w:lang w:eastAsia="zh-TW"/>
        </w:rPr>
        <w:t>.</w:t>
      </w:r>
      <w:bookmarkEnd w:id="11"/>
      <w:bookmarkEnd w:id="12"/>
    </w:p>
    <w:p w:rsidR="00951C61" w:rsidRPr="003D15DD" w:rsidRDefault="00951C61" w:rsidP="003D15DD">
      <w:pPr>
        <w:numPr>
          <w:ilvl w:val="0"/>
          <w:numId w:val="13"/>
        </w:numPr>
        <w:tabs>
          <w:tab w:val="clear" w:pos="720"/>
          <w:tab w:val="left" w:pos="709"/>
        </w:tabs>
        <w:jc w:val="both"/>
        <w:rPr>
          <w:szCs w:val="20"/>
          <w:lang w:val="de-DE"/>
        </w:rPr>
      </w:pPr>
      <w:r w:rsidRPr="003D15DD">
        <w:rPr>
          <w:lang w:val="de-DE"/>
        </w:rPr>
        <w:t xml:space="preserve">HM </w:t>
      </w:r>
      <w:r w:rsidRPr="003D15DD">
        <w:rPr>
          <w:lang w:val="de-DE" w:eastAsia="ko-KR"/>
        </w:rPr>
        <w:t>4</w:t>
      </w:r>
      <w:r w:rsidRPr="003D15DD">
        <w:rPr>
          <w:lang w:val="de-DE"/>
        </w:rPr>
        <w:t xml:space="preserve">.0 Software, </w:t>
      </w:r>
      <w:hyperlink r:id="rId10" w:history="1">
        <w:r w:rsidRPr="003D15DD">
          <w:rPr>
            <w:rStyle w:val="Hyperlink"/>
            <w:lang w:val="de-DE"/>
          </w:rPr>
          <w:t>http://hevc.kw.bbc.co.uk/trac/browser/tags/HM-</w:t>
        </w:r>
        <w:r w:rsidRPr="003D15DD">
          <w:rPr>
            <w:rStyle w:val="Hyperlink"/>
            <w:lang w:val="de-DE" w:eastAsia="ko-KR"/>
          </w:rPr>
          <w:t>4</w:t>
        </w:r>
        <w:r w:rsidRPr="003D15DD">
          <w:rPr>
            <w:rStyle w:val="Hyperlink"/>
            <w:lang w:val="de-DE"/>
          </w:rPr>
          <w:t>.0</w:t>
        </w:r>
      </w:hyperlink>
      <w:r w:rsidRPr="003D15DD">
        <w:rPr>
          <w:rFonts w:eastAsia="Malgun Gothic"/>
        </w:rPr>
        <w:t>.</w:t>
      </w:r>
    </w:p>
    <w:bookmarkEnd w:id="10"/>
    <w:p w:rsidR="000E13F3" w:rsidRDefault="000E13F3" w:rsidP="000E13F3">
      <w:pPr>
        <w:tabs>
          <w:tab w:val="left" w:pos="709"/>
        </w:tabs>
        <w:ind w:left="709"/>
        <w:jc w:val="both"/>
        <w:rPr>
          <w:szCs w:val="20"/>
          <w:lang w:val="de-DE"/>
        </w:rPr>
      </w:pPr>
    </w:p>
    <w:p w:rsidR="00992A8B" w:rsidRDefault="00992A8B" w:rsidP="00992A8B">
      <w:pPr>
        <w:pStyle w:val="Heading1"/>
        <w:jc w:val="both"/>
        <w:rPr>
          <w:rFonts w:eastAsia="PMingLiU"/>
        </w:rPr>
      </w:pPr>
      <w:bookmarkStart w:id="13" w:name="OLE_LINK29"/>
      <w:r>
        <w:rPr>
          <w:rFonts w:eastAsia="PMingLiU"/>
        </w:rPr>
        <w:t>Patent rights declaration(s)</w:t>
      </w:r>
    </w:p>
    <w:p w:rsidR="00992A8B" w:rsidRDefault="00992A8B" w:rsidP="00992A8B">
      <w:pPr>
        <w:jc w:val="both"/>
        <w:rPr>
          <w:rFonts w:eastAsia="PMingLiU"/>
          <w:szCs w:val="22"/>
        </w:rPr>
      </w:pPr>
      <w:r>
        <w:rPr>
          <w:b/>
          <w:szCs w:val="22"/>
          <w:lang w:eastAsia="zh-TW"/>
        </w:rPr>
        <w:t xml:space="preserve">MediaTek Inc. </w:t>
      </w:r>
      <w:r>
        <w:rPr>
          <w:b/>
          <w:szCs w:val="22"/>
        </w:rPr>
        <w:t>may have IPR relating to the technology described in this contribution and, conditioned on reciprocity, is prepared to grant licenses under reasonable and non-discriminatory terms as necessary for implementation of the resulting ITU-T Recommendation | ISO/IEC International Standard (per box 2 of the ITU-T/ITU-R/ISO/IEC patent statement and licensing declaration form).</w:t>
      </w:r>
      <w:bookmarkEnd w:id="13"/>
    </w:p>
    <w:p w:rsidR="00992A8B" w:rsidRPr="00992A8B" w:rsidRDefault="00992A8B" w:rsidP="00992A8B">
      <w:pPr>
        <w:tabs>
          <w:tab w:val="left" w:pos="709"/>
        </w:tabs>
        <w:jc w:val="both"/>
        <w:rPr>
          <w:szCs w:val="20"/>
        </w:rPr>
      </w:pPr>
    </w:p>
    <w:sectPr w:rsidR="00992A8B" w:rsidRPr="00992A8B" w:rsidSect="00A01439">
      <w:footerReference w:type="default" r:id="rId11"/>
      <w:pgSz w:w="12240" w:h="15840" w:code="1"/>
      <w:pgMar w:top="864" w:right="1440" w:bottom="864" w:left="1440" w:header="432" w:footer="432"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233A4" w:rsidRDefault="000233A4">
      <w:r>
        <w:separator/>
      </w:r>
    </w:p>
  </w:endnote>
  <w:endnote w:type="continuationSeparator" w:id="0">
    <w:p w:rsidR="000233A4" w:rsidRDefault="000233A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lgun Gothic">
    <w:altName w:val="Arial Unicode MS"/>
    <w:panose1 w:val="020B0503020000020004"/>
    <w:charset w:val="81"/>
    <w:family w:val="swiss"/>
    <w:pitch w:val="variable"/>
    <w:sig w:usb0="900002AF" w:usb1="09D77CFB" w:usb2="00000012" w:usb3="00000000" w:csb0="0008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imes New Roman Bold">
    <w:altName w:val="Times New Roman"/>
    <w:panose1 w:val="00000000000000000000"/>
    <w:charset w:val="00"/>
    <w:family w:val="roman"/>
    <w:notTrueType/>
    <w:pitch w:val="default"/>
    <w:sig w:usb0="00000000" w:usb1="00000000" w:usb2="00000000" w:usb3="00000000" w:csb0="00000000" w:csb1="00000000"/>
  </w:font>
  <w:font w:name="PMingLiU">
    <w:altName w:val="新細明體"/>
    <w:panose1 w:val="02020500000000000000"/>
    <w:charset w:val="88"/>
    <w:family w:val="roman"/>
    <w:pitch w:val="variable"/>
    <w:sig w:usb0="A00002FF" w:usb1="28CFFCFA" w:usb2="00000016" w:usb3="00000000" w:csb0="00100001" w:csb1="00000000"/>
  </w:font>
  <w:font w:name="宋体">
    <w:altName w:val="Arial Unicode MS"/>
    <w:charset w:val="50"/>
    <w:family w:val="auto"/>
    <w:pitch w:val="variable"/>
    <w:sig w:usb0="00000000" w:usb1="00000000" w:usb2="0E040001" w:usb3="00000000" w:csb0="00040000"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71707" w:rsidRDefault="00F71707" w:rsidP="00D55942">
    <w:pPr>
      <w:pStyle w:val="Footer"/>
      <w:tabs>
        <w:tab w:val="clear" w:pos="360"/>
        <w:tab w:val="clear" w:pos="720"/>
        <w:tab w:val="clear" w:pos="1080"/>
        <w:tab w:val="clear" w:pos="1440"/>
        <w:tab w:val="clear" w:pos="8640"/>
        <w:tab w:val="right" w:pos="9360"/>
      </w:tabs>
      <w:jc w:val="both"/>
      <w:rPr>
        <w:rFonts w:ascii="Courier New" w:hAnsi="Courier New"/>
        <w:lang w:eastAsia="ko-KR"/>
      </w:rPr>
    </w:pPr>
    <w:r>
      <w:rPr>
        <w:rFonts w:ascii="Courier New" w:hAnsi="Courier New"/>
      </w:rPr>
      <w:tab/>
      <w:t xml:space="preserve">Page: </w:t>
    </w:r>
    <w:r w:rsidR="00D732B3">
      <w:rPr>
        <w:rStyle w:val="PageNumber"/>
      </w:rPr>
      <w:fldChar w:fldCharType="begin"/>
    </w:r>
    <w:r>
      <w:rPr>
        <w:rStyle w:val="PageNumber"/>
      </w:rPr>
      <w:instrText xml:space="preserve"> PAGE </w:instrText>
    </w:r>
    <w:r w:rsidR="00D732B3">
      <w:rPr>
        <w:rStyle w:val="PageNumber"/>
      </w:rPr>
      <w:fldChar w:fldCharType="separate"/>
    </w:r>
    <w:r w:rsidR="00285B97">
      <w:rPr>
        <w:rStyle w:val="PageNumber"/>
        <w:noProof/>
      </w:rPr>
      <w:t>1</w:t>
    </w:r>
    <w:r w:rsidR="00D732B3">
      <w:rPr>
        <w:rStyle w:val="PageNumber"/>
      </w:rPr>
      <w:fldChar w:fldCharType="end"/>
    </w:r>
    <w:r>
      <w:rPr>
        <w:rStyle w:val="PageNumber"/>
      </w:rPr>
      <w:tab/>
      <w:t xml:space="preserve">Date Saved: </w:t>
    </w:r>
    <w:r w:rsidR="00D732B3">
      <w:rPr>
        <w:rStyle w:val="PageNumber"/>
      </w:rPr>
      <w:fldChar w:fldCharType="begin"/>
    </w:r>
    <w:r>
      <w:rPr>
        <w:rStyle w:val="PageNumber"/>
      </w:rPr>
      <w:instrText xml:space="preserve"> SAVEDATE  \@ "yyyy-MM-dd"  \* MERGEFORMAT </w:instrText>
    </w:r>
    <w:r w:rsidR="00D732B3">
      <w:rPr>
        <w:rStyle w:val="PageNumber"/>
      </w:rPr>
      <w:fldChar w:fldCharType="separate"/>
    </w:r>
    <w:r w:rsidR="00285B97">
      <w:rPr>
        <w:rStyle w:val="PageNumber"/>
        <w:noProof/>
      </w:rPr>
      <w:t>2011-11-02</w:t>
    </w:r>
    <w:r w:rsidR="00D732B3">
      <w:rPr>
        <w:rStyle w:val="PageNumber"/>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233A4" w:rsidRDefault="000233A4">
      <w:r>
        <w:separator/>
      </w:r>
    </w:p>
  </w:footnote>
  <w:footnote w:type="continuationSeparator" w:id="0">
    <w:p w:rsidR="000233A4" w:rsidRDefault="000233A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B88A0226"/>
    <w:lvl w:ilvl="0">
      <w:numFmt w:val="decimal"/>
      <w:lvlText w:val="*"/>
      <w:lvlJc w:val="left"/>
    </w:lvl>
  </w:abstractNum>
  <w:abstractNum w:abstractNumId="1">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25F04F7"/>
    <w:multiLevelType w:val="hybridMultilevel"/>
    <w:tmpl w:val="3ABA558C"/>
    <w:lvl w:ilvl="0" w:tplc="9AC2A8E8">
      <w:start w:val="1"/>
      <w:numFmt w:val="decimal"/>
      <w:lvlText w:val="[%1]"/>
      <w:lvlJc w:val="left"/>
      <w:pPr>
        <w:tabs>
          <w:tab w:val="num" w:pos="720"/>
        </w:tabs>
        <w:ind w:left="720" w:hanging="360"/>
      </w:pPr>
      <w:rPr>
        <w:rFonts w:ascii="Times New Roman" w:hAnsi="Times New Roman" w:cs="Times New Roman" w:hint="default"/>
        <w:b w:val="0"/>
        <w:i w:val="0"/>
        <w:sz w:val="22"/>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5">
    <w:nsid w:val="32DB2CE1"/>
    <w:multiLevelType w:val="hybridMultilevel"/>
    <w:tmpl w:val="DC0086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54115640"/>
    <w:multiLevelType w:val="hybridMultilevel"/>
    <w:tmpl w:val="74D22968"/>
    <w:lvl w:ilvl="0" w:tplc="9AC2A8E8">
      <w:start w:val="1"/>
      <w:numFmt w:val="decimal"/>
      <w:lvlText w:val="[%1]"/>
      <w:lvlJc w:val="left"/>
      <w:pPr>
        <w:tabs>
          <w:tab w:val="num" w:pos="720"/>
        </w:tabs>
        <w:ind w:left="720" w:hanging="360"/>
      </w:pPr>
      <w:rPr>
        <w:rFonts w:ascii="Times New Roman" w:hAnsi="Times New Roman" w:cs="Times New Roman" w:hint="default"/>
        <w:b w:val="0"/>
        <w:i w:val="0"/>
        <w:sz w:val="22"/>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abstractNum w:abstractNumId="12">
    <w:nsid w:val="7A0D2380"/>
    <w:multiLevelType w:val="hybridMultilevel"/>
    <w:tmpl w:val="62B661C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1"/>
  </w:num>
  <w:num w:numId="3">
    <w:abstractNumId w:val="9"/>
  </w:num>
  <w:num w:numId="4">
    <w:abstractNumId w:val="7"/>
  </w:num>
  <w:num w:numId="5">
    <w:abstractNumId w:val="8"/>
  </w:num>
  <w:num w:numId="6">
    <w:abstractNumId w:val="4"/>
  </w:num>
  <w:num w:numId="7">
    <w:abstractNumId w:val="6"/>
  </w:num>
  <w:num w:numId="8">
    <w:abstractNumId w:val="4"/>
  </w:num>
  <w:num w:numId="9">
    <w:abstractNumId w:val="1"/>
  </w:num>
  <w:num w:numId="10">
    <w:abstractNumId w:val="3"/>
  </w:num>
  <w:num w:numId="11">
    <w:abstractNumId w:val="5"/>
  </w:num>
  <w:num w:numId="12">
    <w:abstractNumId w:val="12"/>
  </w:num>
  <w:num w:numId="13">
    <w:abstractNumId w:val="2"/>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num>
  <w:num w:numId="1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ttachedTemplate r:id="rId1"/>
  <w:stylePaneFormatFilter w:val="3F01"/>
  <w:defaultTabStop w:val="720"/>
  <w:drawingGridHorizontalSpacing w:val="120"/>
  <w:drawingGridVerticalSpacing w:val="120"/>
  <w:displayVerticalDrawingGridEvery w:val="0"/>
  <w:doNotUseMarginsForDrawingGridOrigin/>
  <w:noPunctuationKerning/>
  <w:characterSpacingControl w:val="doNotCompress"/>
  <w:hdrShapeDefaults>
    <o:shapedefaults v:ext="edit" spidmax="46082"/>
  </w:hdrShapeDefaults>
  <w:footnotePr>
    <w:footnote w:id="-1"/>
    <w:footnote w:id="0"/>
  </w:footnotePr>
  <w:endnotePr>
    <w:endnote w:id="-1"/>
    <w:endnote w:id="0"/>
  </w:endnotePr>
  <w:compat>
    <w:spaceForUL/>
    <w:balanceSingleByteDoubleByteWidth/>
    <w:doNotLeaveBackslashAlone/>
    <w:ulTrailSpace/>
    <w:doNotExpandShiftReturn/>
    <w:useFELayout/>
  </w:compat>
  <w:rsids>
    <w:rsidRoot w:val="00C55C13"/>
    <w:rsid w:val="000051CB"/>
    <w:rsid w:val="000101E1"/>
    <w:rsid w:val="0002147F"/>
    <w:rsid w:val="000233A4"/>
    <w:rsid w:val="000458BC"/>
    <w:rsid w:val="00045C41"/>
    <w:rsid w:val="0004627C"/>
    <w:rsid w:val="00046C03"/>
    <w:rsid w:val="00047B5E"/>
    <w:rsid w:val="00054D47"/>
    <w:rsid w:val="000743F1"/>
    <w:rsid w:val="0007614F"/>
    <w:rsid w:val="00076371"/>
    <w:rsid w:val="00082871"/>
    <w:rsid w:val="00083088"/>
    <w:rsid w:val="000A2365"/>
    <w:rsid w:val="000B1C6B"/>
    <w:rsid w:val="000B5DB0"/>
    <w:rsid w:val="000C09AC"/>
    <w:rsid w:val="000C5B24"/>
    <w:rsid w:val="000D3B0C"/>
    <w:rsid w:val="000D7D1A"/>
    <w:rsid w:val="000E00F3"/>
    <w:rsid w:val="000E13F3"/>
    <w:rsid w:val="000E3EDD"/>
    <w:rsid w:val="000F158C"/>
    <w:rsid w:val="00103125"/>
    <w:rsid w:val="001048B4"/>
    <w:rsid w:val="00107630"/>
    <w:rsid w:val="0011769E"/>
    <w:rsid w:val="00121CC1"/>
    <w:rsid w:val="0012245F"/>
    <w:rsid w:val="00124E38"/>
    <w:rsid w:val="0012580B"/>
    <w:rsid w:val="0013526E"/>
    <w:rsid w:val="00163311"/>
    <w:rsid w:val="00171371"/>
    <w:rsid w:val="00173C85"/>
    <w:rsid w:val="00175A24"/>
    <w:rsid w:val="00177697"/>
    <w:rsid w:val="00187E58"/>
    <w:rsid w:val="0019502D"/>
    <w:rsid w:val="001A297E"/>
    <w:rsid w:val="001A368E"/>
    <w:rsid w:val="001A7329"/>
    <w:rsid w:val="001A7E4E"/>
    <w:rsid w:val="001B3E70"/>
    <w:rsid w:val="001B4E28"/>
    <w:rsid w:val="001C3525"/>
    <w:rsid w:val="001D1B8F"/>
    <w:rsid w:val="001D1BD2"/>
    <w:rsid w:val="001E02BE"/>
    <w:rsid w:val="001E2CA0"/>
    <w:rsid w:val="001E3B37"/>
    <w:rsid w:val="001E75A5"/>
    <w:rsid w:val="001F2594"/>
    <w:rsid w:val="001F5351"/>
    <w:rsid w:val="002029F0"/>
    <w:rsid w:val="00203E19"/>
    <w:rsid w:val="0020503D"/>
    <w:rsid w:val="00206460"/>
    <w:rsid w:val="002069B4"/>
    <w:rsid w:val="00215DFC"/>
    <w:rsid w:val="00221115"/>
    <w:rsid w:val="002212DF"/>
    <w:rsid w:val="00227BA7"/>
    <w:rsid w:val="002537F5"/>
    <w:rsid w:val="00263398"/>
    <w:rsid w:val="00273E05"/>
    <w:rsid w:val="00275BCF"/>
    <w:rsid w:val="00285B97"/>
    <w:rsid w:val="002870ED"/>
    <w:rsid w:val="00292257"/>
    <w:rsid w:val="002A54E0"/>
    <w:rsid w:val="002B1595"/>
    <w:rsid w:val="002B191D"/>
    <w:rsid w:val="002D0AF6"/>
    <w:rsid w:val="002D384D"/>
    <w:rsid w:val="002F164D"/>
    <w:rsid w:val="002F4A6E"/>
    <w:rsid w:val="00306206"/>
    <w:rsid w:val="003071B3"/>
    <w:rsid w:val="00317D85"/>
    <w:rsid w:val="00325642"/>
    <w:rsid w:val="00327C56"/>
    <w:rsid w:val="003315A1"/>
    <w:rsid w:val="0033200C"/>
    <w:rsid w:val="003373EC"/>
    <w:rsid w:val="003444EB"/>
    <w:rsid w:val="0034566B"/>
    <w:rsid w:val="0035737A"/>
    <w:rsid w:val="0036057F"/>
    <w:rsid w:val="003706CC"/>
    <w:rsid w:val="0037747C"/>
    <w:rsid w:val="00386E4B"/>
    <w:rsid w:val="00394608"/>
    <w:rsid w:val="00396081"/>
    <w:rsid w:val="003A2D8E"/>
    <w:rsid w:val="003C20E4"/>
    <w:rsid w:val="003D0E53"/>
    <w:rsid w:val="003D0F99"/>
    <w:rsid w:val="003D15DD"/>
    <w:rsid w:val="003E0992"/>
    <w:rsid w:val="003E6F90"/>
    <w:rsid w:val="003F5D0F"/>
    <w:rsid w:val="00414101"/>
    <w:rsid w:val="004305DC"/>
    <w:rsid w:val="00431993"/>
    <w:rsid w:val="00433DDB"/>
    <w:rsid w:val="00437619"/>
    <w:rsid w:val="00441F65"/>
    <w:rsid w:val="004442F3"/>
    <w:rsid w:val="004632AD"/>
    <w:rsid w:val="00472A06"/>
    <w:rsid w:val="00473C8A"/>
    <w:rsid w:val="00496E92"/>
    <w:rsid w:val="004A2A63"/>
    <w:rsid w:val="004A4249"/>
    <w:rsid w:val="004B0721"/>
    <w:rsid w:val="004B210C"/>
    <w:rsid w:val="004B56DD"/>
    <w:rsid w:val="004D3001"/>
    <w:rsid w:val="004D405F"/>
    <w:rsid w:val="004E4F4F"/>
    <w:rsid w:val="004E6789"/>
    <w:rsid w:val="004F61E3"/>
    <w:rsid w:val="00502306"/>
    <w:rsid w:val="0051015C"/>
    <w:rsid w:val="00520BEA"/>
    <w:rsid w:val="00521B62"/>
    <w:rsid w:val="00524190"/>
    <w:rsid w:val="00531AE9"/>
    <w:rsid w:val="00541E62"/>
    <w:rsid w:val="005471B5"/>
    <w:rsid w:val="005536AF"/>
    <w:rsid w:val="00554DEC"/>
    <w:rsid w:val="005560E5"/>
    <w:rsid w:val="00567EC7"/>
    <w:rsid w:val="00570013"/>
    <w:rsid w:val="0057200C"/>
    <w:rsid w:val="005870DE"/>
    <w:rsid w:val="0059013A"/>
    <w:rsid w:val="005931ED"/>
    <w:rsid w:val="005A33A1"/>
    <w:rsid w:val="005B5FA2"/>
    <w:rsid w:val="005C0CF3"/>
    <w:rsid w:val="005C385F"/>
    <w:rsid w:val="005C59DE"/>
    <w:rsid w:val="005E6735"/>
    <w:rsid w:val="005E761F"/>
    <w:rsid w:val="005F6F1B"/>
    <w:rsid w:val="006005D7"/>
    <w:rsid w:val="0061599C"/>
    <w:rsid w:val="00624B33"/>
    <w:rsid w:val="006276C2"/>
    <w:rsid w:val="00630AA2"/>
    <w:rsid w:val="00642C56"/>
    <w:rsid w:val="00646707"/>
    <w:rsid w:val="00652DFC"/>
    <w:rsid w:val="00660071"/>
    <w:rsid w:val="00660AF0"/>
    <w:rsid w:val="00662E58"/>
    <w:rsid w:val="00664DCF"/>
    <w:rsid w:val="0067313C"/>
    <w:rsid w:val="00686AC4"/>
    <w:rsid w:val="00690BCD"/>
    <w:rsid w:val="0069692D"/>
    <w:rsid w:val="006A227D"/>
    <w:rsid w:val="006A5D1A"/>
    <w:rsid w:val="006C0699"/>
    <w:rsid w:val="006C5D39"/>
    <w:rsid w:val="006D0CC3"/>
    <w:rsid w:val="006D1516"/>
    <w:rsid w:val="006D37A0"/>
    <w:rsid w:val="006D6158"/>
    <w:rsid w:val="006E2810"/>
    <w:rsid w:val="006E5417"/>
    <w:rsid w:val="006E7FCD"/>
    <w:rsid w:val="00704679"/>
    <w:rsid w:val="007063B8"/>
    <w:rsid w:val="00712F60"/>
    <w:rsid w:val="00720E3B"/>
    <w:rsid w:val="0073294E"/>
    <w:rsid w:val="0074416B"/>
    <w:rsid w:val="00745F6B"/>
    <w:rsid w:val="0075585E"/>
    <w:rsid w:val="00766FBD"/>
    <w:rsid w:val="00775377"/>
    <w:rsid w:val="007768FF"/>
    <w:rsid w:val="007824D3"/>
    <w:rsid w:val="0078594A"/>
    <w:rsid w:val="00786006"/>
    <w:rsid w:val="00796EE3"/>
    <w:rsid w:val="007A3F69"/>
    <w:rsid w:val="007A7D29"/>
    <w:rsid w:val="007B2B86"/>
    <w:rsid w:val="007B56AD"/>
    <w:rsid w:val="007B5C3F"/>
    <w:rsid w:val="007B73C2"/>
    <w:rsid w:val="007D2938"/>
    <w:rsid w:val="007F1F8B"/>
    <w:rsid w:val="00812CE4"/>
    <w:rsid w:val="008205B8"/>
    <w:rsid w:val="008206C8"/>
    <w:rsid w:val="00855105"/>
    <w:rsid w:val="00865E4F"/>
    <w:rsid w:val="00874A6C"/>
    <w:rsid w:val="00876C65"/>
    <w:rsid w:val="008859F0"/>
    <w:rsid w:val="00887CE6"/>
    <w:rsid w:val="00897E3F"/>
    <w:rsid w:val="008A4B4C"/>
    <w:rsid w:val="008A6CF7"/>
    <w:rsid w:val="008C239F"/>
    <w:rsid w:val="008E09E9"/>
    <w:rsid w:val="008E480C"/>
    <w:rsid w:val="00900496"/>
    <w:rsid w:val="0090288D"/>
    <w:rsid w:val="00907757"/>
    <w:rsid w:val="0091007B"/>
    <w:rsid w:val="00913856"/>
    <w:rsid w:val="00914F11"/>
    <w:rsid w:val="009212B0"/>
    <w:rsid w:val="009234A5"/>
    <w:rsid w:val="00925D36"/>
    <w:rsid w:val="00926B4D"/>
    <w:rsid w:val="0093169C"/>
    <w:rsid w:val="009327D7"/>
    <w:rsid w:val="009336F7"/>
    <w:rsid w:val="00934FFA"/>
    <w:rsid w:val="009374A7"/>
    <w:rsid w:val="00951C61"/>
    <w:rsid w:val="0098551D"/>
    <w:rsid w:val="00987C1F"/>
    <w:rsid w:val="00992A8B"/>
    <w:rsid w:val="00992B3D"/>
    <w:rsid w:val="0099388A"/>
    <w:rsid w:val="0099518F"/>
    <w:rsid w:val="009A3722"/>
    <w:rsid w:val="009A43ED"/>
    <w:rsid w:val="009A523D"/>
    <w:rsid w:val="009C60EB"/>
    <w:rsid w:val="009D7A15"/>
    <w:rsid w:val="009E0408"/>
    <w:rsid w:val="009E7125"/>
    <w:rsid w:val="009F496B"/>
    <w:rsid w:val="00A01439"/>
    <w:rsid w:val="00A02E61"/>
    <w:rsid w:val="00A05CFF"/>
    <w:rsid w:val="00A13969"/>
    <w:rsid w:val="00A338E3"/>
    <w:rsid w:val="00A45409"/>
    <w:rsid w:val="00A460E2"/>
    <w:rsid w:val="00A468D1"/>
    <w:rsid w:val="00A55DCC"/>
    <w:rsid w:val="00A56B97"/>
    <w:rsid w:val="00A6086F"/>
    <w:rsid w:val="00A6093D"/>
    <w:rsid w:val="00A62F2A"/>
    <w:rsid w:val="00A76A6D"/>
    <w:rsid w:val="00A83253"/>
    <w:rsid w:val="00A90395"/>
    <w:rsid w:val="00A93124"/>
    <w:rsid w:val="00AA12B6"/>
    <w:rsid w:val="00AA3F67"/>
    <w:rsid w:val="00AA6E84"/>
    <w:rsid w:val="00AA72AB"/>
    <w:rsid w:val="00AB0856"/>
    <w:rsid w:val="00AD3856"/>
    <w:rsid w:val="00AD59CF"/>
    <w:rsid w:val="00AE1FD1"/>
    <w:rsid w:val="00AE2E83"/>
    <w:rsid w:val="00AE32DF"/>
    <w:rsid w:val="00AE341B"/>
    <w:rsid w:val="00B005B5"/>
    <w:rsid w:val="00B03749"/>
    <w:rsid w:val="00B07CA7"/>
    <w:rsid w:val="00B1279A"/>
    <w:rsid w:val="00B33649"/>
    <w:rsid w:val="00B36796"/>
    <w:rsid w:val="00B40C72"/>
    <w:rsid w:val="00B410AA"/>
    <w:rsid w:val="00B4627A"/>
    <w:rsid w:val="00B5222E"/>
    <w:rsid w:val="00B54423"/>
    <w:rsid w:val="00B60FB2"/>
    <w:rsid w:val="00B615E0"/>
    <w:rsid w:val="00B61C96"/>
    <w:rsid w:val="00B73A2A"/>
    <w:rsid w:val="00B7649F"/>
    <w:rsid w:val="00B81B27"/>
    <w:rsid w:val="00B84C58"/>
    <w:rsid w:val="00B90D50"/>
    <w:rsid w:val="00B9449A"/>
    <w:rsid w:val="00B94B06"/>
    <w:rsid w:val="00B94C28"/>
    <w:rsid w:val="00B94CC3"/>
    <w:rsid w:val="00B95B66"/>
    <w:rsid w:val="00BB24F0"/>
    <w:rsid w:val="00BB5C78"/>
    <w:rsid w:val="00BC10BA"/>
    <w:rsid w:val="00BC381A"/>
    <w:rsid w:val="00BC5AFD"/>
    <w:rsid w:val="00BE7725"/>
    <w:rsid w:val="00BF6EA6"/>
    <w:rsid w:val="00C0300A"/>
    <w:rsid w:val="00C04F43"/>
    <w:rsid w:val="00C05B9B"/>
    <w:rsid w:val="00C0609D"/>
    <w:rsid w:val="00C115AB"/>
    <w:rsid w:val="00C1391A"/>
    <w:rsid w:val="00C13974"/>
    <w:rsid w:val="00C30249"/>
    <w:rsid w:val="00C35A96"/>
    <w:rsid w:val="00C55C13"/>
    <w:rsid w:val="00C606C9"/>
    <w:rsid w:val="00C66E49"/>
    <w:rsid w:val="00C67328"/>
    <w:rsid w:val="00C71E47"/>
    <w:rsid w:val="00C90650"/>
    <w:rsid w:val="00C95CD8"/>
    <w:rsid w:val="00C97D78"/>
    <w:rsid w:val="00CC08CC"/>
    <w:rsid w:val="00CC5A42"/>
    <w:rsid w:val="00CD0EAB"/>
    <w:rsid w:val="00CD5259"/>
    <w:rsid w:val="00CE0A9E"/>
    <w:rsid w:val="00CE7528"/>
    <w:rsid w:val="00CF34DB"/>
    <w:rsid w:val="00CF558F"/>
    <w:rsid w:val="00CF65CA"/>
    <w:rsid w:val="00D03DE9"/>
    <w:rsid w:val="00D05C77"/>
    <w:rsid w:val="00D05E0B"/>
    <w:rsid w:val="00D073A1"/>
    <w:rsid w:val="00D073E2"/>
    <w:rsid w:val="00D17102"/>
    <w:rsid w:val="00D23E39"/>
    <w:rsid w:val="00D34B7C"/>
    <w:rsid w:val="00D446EC"/>
    <w:rsid w:val="00D4574D"/>
    <w:rsid w:val="00D51BF0"/>
    <w:rsid w:val="00D54CDD"/>
    <w:rsid w:val="00D55942"/>
    <w:rsid w:val="00D732B3"/>
    <w:rsid w:val="00D80572"/>
    <w:rsid w:val="00D807BF"/>
    <w:rsid w:val="00D832F7"/>
    <w:rsid w:val="00D90267"/>
    <w:rsid w:val="00DA1FFF"/>
    <w:rsid w:val="00DA76D9"/>
    <w:rsid w:val="00DA7887"/>
    <w:rsid w:val="00DB2C26"/>
    <w:rsid w:val="00DC40D6"/>
    <w:rsid w:val="00DD03C8"/>
    <w:rsid w:val="00DD3A80"/>
    <w:rsid w:val="00DE6B43"/>
    <w:rsid w:val="00E052A3"/>
    <w:rsid w:val="00E061CE"/>
    <w:rsid w:val="00E11923"/>
    <w:rsid w:val="00E262D4"/>
    <w:rsid w:val="00E26DBE"/>
    <w:rsid w:val="00E33EAE"/>
    <w:rsid w:val="00E36250"/>
    <w:rsid w:val="00E36581"/>
    <w:rsid w:val="00E507BA"/>
    <w:rsid w:val="00E5405E"/>
    <w:rsid w:val="00E54511"/>
    <w:rsid w:val="00E61DAC"/>
    <w:rsid w:val="00E75FE3"/>
    <w:rsid w:val="00E772E3"/>
    <w:rsid w:val="00E860B0"/>
    <w:rsid w:val="00EA1B95"/>
    <w:rsid w:val="00EB70FB"/>
    <w:rsid w:val="00EB7AB1"/>
    <w:rsid w:val="00EC6C4B"/>
    <w:rsid w:val="00EF19AC"/>
    <w:rsid w:val="00EF48CC"/>
    <w:rsid w:val="00F01C66"/>
    <w:rsid w:val="00F07AB2"/>
    <w:rsid w:val="00F147B2"/>
    <w:rsid w:val="00F14AB6"/>
    <w:rsid w:val="00F14D2F"/>
    <w:rsid w:val="00F26C24"/>
    <w:rsid w:val="00F36F7A"/>
    <w:rsid w:val="00F40E2E"/>
    <w:rsid w:val="00F41FD5"/>
    <w:rsid w:val="00F71707"/>
    <w:rsid w:val="00F73032"/>
    <w:rsid w:val="00F848FC"/>
    <w:rsid w:val="00F92129"/>
    <w:rsid w:val="00F9282A"/>
    <w:rsid w:val="00F94C42"/>
    <w:rsid w:val="00F96BAD"/>
    <w:rsid w:val="00FA1095"/>
    <w:rsid w:val="00FB0E84"/>
    <w:rsid w:val="00FC0D48"/>
    <w:rsid w:val="00FD01C2"/>
    <w:rsid w:val="00FD1425"/>
    <w:rsid w:val="00FD1FA0"/>
    <w:rsid w:val="00FF014B"/>
    <w:rsid w:val="00FF0CE3"/>
    <w:rsid w:val="00FF5B28"/>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60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Malgun Gothic"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26C24"/>
    <w:rPr>
      <w:rFonts w:eastAsia="Times New Roman"/>
      <w:sz w:val="24"/>
      <w:szCs w:val="24"/>
    </w:rPr>
  </w:style>
  <w:style w:type="paragraph" w:styleId="Heading1">
    <w:name w:val="heading 1"/>
    <w:basedOn w:val="Normal"/>
    <w:next w:val="Normal"/>
    <w:link w:val="Heading1Char"/>
    <w:qFormat/>
    <w:rsid w:val="00E11923"/>
    <w:pPr>
      <w:keepNext/>
      <w:numPr>
        <w:numId w:val="6"/>
      </w:numPr>
      <w:tabs>
        <w:tab w:val="left" w:pos="360"/>
        <w:tab w:val="left" w:pos="720"/>
        <w:tab w:val="left" w:pos="1080"/>
        <w:tab w:val="left" w:pos="1440"/>
      </w:tabs>
      <w:overflowPunct w:val="0"/>
      <w:autoSpaceDE w:val="0"/>
      <w:autoSpaceDN w:val="0"/>
      <w:adjustRightInd w:val="0"/>
      <w:spacing w:before="240" w:after="60"/>
      <w:ind w:left="360" w:hanging="360"/>
      <w:textAlignment w:val="baseline"/>
      <w:outlineLvl w:val="0"/>
    </w:pPr>
    <w:rPr>
      <w:rFonts w:eastAsia="Malgun Gothic" w:cs="Arial"/>
      <w:b/>
      <w:bCs/>
      <w:kern w:val="32"/>
      <w:sz w:val="32"/>
      <w:szCs w:val="32"/>
      <w:lang w:eastAsia="en-US"/>
    </w:rPr>
  </w:style>
  <w:style w:type="paragraph" w:styleId="Heading2">
    <w:name w:val="heading 2"/>
    <w:basedOn w:val="Normal"/>
    <w:next w:val="Normal"/>
    <w:link w:val="Heading2Char"/>
    <w:qFormat/>
    <w:rsid w:val="00E11923"/>
    <w:pPr>
      <w:keepNext/>
      <w:numPr>
        <w:ilvl w:val="1"/>
        <w:numId w:val="6"/>
      </w:numPr>
      <w:tabs>
        <w:tab w:val="left" w:pos="720"/>
        <w:tab w:val="left" w:pos="1080"/>
        <w:tab w:val="left" w:pos="1440"/>
      </w:tabs>
      <w:overflowPunct w:val="0"/>
      <w:autoSpaceDE w:val="0"/>
      <w:autoSpaceDN w:val="0"/>
      <w:adjustRightInd w:val="0"/>
      <w:spacing w:before="240" w:after="60"/>
      <w:ind w:left="720" w:hanging="720"/>
      <w:textAlignment w:val="baseline"/>
      <w:outlineLvl w:val="1"/>
    </w:pPr>
    <w:rPr>
      <w:rFonts w:eastAsia="Malgun Gothic"/>
      <w:b/>
      <w:bCs/>
      <w:i/>
      <w:iCs/>
      <w:sz w:val="28"/>
      <w:szCs w:val="28"/>
      <w:lang w:eastAsia="en-US"/>
    </w:rPr>
  </w:style>
  <w:style w:type="paragraph" w:styleId="Heading3">
    <w:name w:val="heading 3"/>
    <w:basedOn w:val="Normal"/>
    <w:next w:val="Normal"/>
    <w:link w:val="Heading3Char"/>
    <w:qFormat/>
    <w:rsid w:val="002B191D"/>
    <w:pPr>
      <w:keepNext/>
      <w:numPr>
        <w:ilvl w:val="2"/>
        <w:numId w:val="6"/>
      </w:numPr>
      <w:tabs>
        <w:tab w:val="left" w:pos="360"/>
        <w:tab w:val="left" w:pos="720"/>
        <w:tab w:val="left" w:pos="1080"/>
        <w:tab w:val="left" w:pos="1440"/>
      </w:tabs>
      <w:overflowPunct w:val="0"/>
      <w:autoSpaceDE w:val="0"/>
      <w:autoSpaceDN w:val="0"/>
      <w:adjustRightInd w:val="0"/>
      <w:spacing w:before="240" w:after="60"/>
      <w:textAlignment w:val="baseline"/>
      <w:outlineLvl w:val="2"/>
    </w:pPr>
    <w:rPr>
      <w:rFonts w:eastAsia="Malgun Gothic"/>
      <w:b/>
      <w:bCs/>
      <w:sz w:val="26"/>
      <w:szCs w:val="26"/>
      <w:lang w:eastAsia="en-US"/>
    </w:rPr>
  </w:style>
  <w:style w:type="paragraph" w:styleId="Heading4">
    <w:name w:val="heading 4"/>
    <w:basedOn w:val="Normal"/>
    <w:next w:val="Normal"/>
    <w:link w:val="Heading4Char"/>
    <w:qFormat/>
    <w:rsid w:val="000E00F3"/>
    <w:pPr>
      <w:keepNext/>
      <w:numPr>
        <w:ilvl w:val="3"/>
        <w:numId w:val="6"/>
      </w:numPr>
      <w:tabs>
        <w:tab w:val="left" w:pos="360"/>
        <w:tab w:val="left" w:pos="720"/>
        <w:tab w:val="left" w:pos="1080"/>
        <w:tab w:val="left" w:pos="1440"/>
      </w:tabs>
      <w:overflowPunct w:val="0"/>
      <w:autoSpaceDE w:val="0"/>
      <w:autoSpaceDN w:val="0"/>
      <w:adjustRightInd w:val="0"/>
      <w:spacing w:before="240" w:after="60"/>
      <w:ind w:left="1080" w:hanging="1080"/>
      <w:textAlignment w:val="baseline"/>
      <w:outlineLvl w:val="3"/>
    </w:pPr>
    <w:rPr>
      <w:rFonts w:eastAsia="Malgun Gothic"/>
      <w:b/>
      <w:bCs/>
      <w:sz w:val="28"/>
      <w:szCs w:val="28"/>
      <w:lang w:eastAsia="en-US"/>
    </w:rPr>
  </w:style>
  <w:style w:type="paragraph" w:styleId="Heading5">
    <w:name w:val="heading 5"/>
    <w:basedOn w:val="Normal"/>
    <w:next w:val="Normal"/>
    <w:link w:val="Heading5Char"/>
    <w:qFormat/>
    <w:rsid w:val="000E00F3"/>
    <w:pPr>
      <w:keepNext/>
      <w:numPr>
        <w:ilvl w:val="4"/>
        <w:numId w:val="6"/>
      </w:numPr>
      <w:tabs>
        <w:tab w:val="left" w:pos="360"/>
        <w:tab w:val="left" w:pos="720"/>
        <w:tab w:val="left" w:pos="1080"/>
        <w:tab w:val="left" w:pos="1440"/>
      </w:tabs>
      <w:overflowPunct w:val="0"/>
      <w:autoSpaceDE w:val="0"/>
      <w:autoSpaceDN w:val="0"/>
      <w:adjustRightInd w:val="0"/>
      <w:spacing w:before="240" w:after="60"/>
      <w:ind w:left="1080" w:hanging="1080"/>
      <w:textAlignment w:val="baseline"/>
      <w:outlineLvl w:val="4"/>
    </w:pPr>
    <w:rPr>
      <w:rFonts w:eastAsia="Malgun Gothic"/>
      <w:b/>
      <w:bCs/>
      <w:i/>
      <w:iCs/>
      <w:sz w:val="26"/>
      <w:szCs w:val="26"/>
      <w:lang w:eastAsia="en-US"/>
    </w:rPr>
  </w:style>
  <w:style w:type="paragraph" w:styleId="Heading6">
    <w:name w:val="heading 6"/>
    <w:basedOn w:val="Normal"/>
    <w:next w:val="Normal"/>
    <w:link w:val="Heading6Char"/>
    <w:qFormat/>
    <w:rsid w:val="000E00F3"/>
    <w:pPr>
      <w:keepNext/>
      <w:numPr>
        <w:ilvl w:val="5"/>
        <w:numId w:val="6"/>
      </w:numPr>
      <w:tabs>
        <w:tab w:val="left" w:pos="360"/>
        <w:tab w:val="left" w:pos="720"/>
        <w:tab w:val="left" w:pos="1080"/>
        <w:tab w:val="left" w:pos="1440"/>
      </w:tabs>
      <w:overflowPunct w:val="0"/>
      <w:autoSpaceDE w:val="0"/>
      <w:autoSpaceDN w:val="0"/>
      <w:adjustRightInd w:val="0"/>
      <w:spacing w:before="240" w:after="60"/>
      <w:ind w:left="1080" w:hanging="1080"/>
      <w:textAlignment w:val="baseline"/>
      <w:outlineLvl w:val="5"/>
    </w:pPr>
    <w:rPr>
      <w:rFonts w:eastAsia="Malgun Gothic"/>
      <w:b/>
      <w:bCs/>
      <w:sz w:val="22"/>
      <w:szCs w:val="22"/>
      <w:lang w:eastAsia="en-US"/>
    </w:rPr>
  </w:style>
  <w:style w:type="paragraph" w:styleId="Heading7">
    <w:name w:val="heading 7"/>
    <w:basedOn w:val="Normal"/>
    <w:next w:val="Normal"/>
    <w:link w:val="Heading7Char"/>
    <w:qFormat/>
    <w:rsid w:val="000E00F3"/>
    <w:pPr>
      <w:keepNext/>
      <w:numPr>
        <w:ilvl w:val="6"/>
        <w:numId w:val="6"/>
      </w:numPr>
      <w:tabs>
        <w:tab w:val="left" w:pos="360"/>
        <w:tab w:val="left" w:pos="720"/>
        <w:tab w:val="left" w:pos="1080"/>
        <w:tab w:val="left" w:pos="1440"/>
      </w:tabs>
      <w:overflowPunct w:val="0"/>
      <w:autoSpaceDE w:val="0"/>
      <w:autoSpaceDN w:val="0"/>
      <w:adjustRightInd w:val="0"/>
      <w:spacing w:before="240" w:after="60"/>
      <w:ind w:left="1440" w:hanging="1440"/>
      <w:textAlignment w:val="baseline"/>
      <w:outlineLvl w:val="6"/>
    </w:pPr>
    <w:rPr>
      <w:rFonts w:eastAsia="Malgun Gothic"/>
      <w:lang w:eastAsia="en-US"/>
    </w:rPr>
  </w:style>
  <w:style w:type="paragraph" w:styleId="Heading8">
    <w:name w:val="heading 8"/>
    <w:basedOn w:val="Normal"/>
    <w:next w:val="Normal"/>
    <w:link w:val="Heading8Char"/>
    <w:qFormat/>
    <w:rsid w:val="000E00F3"/>
    <w:pPr>
      <w:keepNext/>
      <w:numPr>
        <w:ilvl w:val="7"/>
        <w:numId w:val="6"/>
      </w:numPr>
      <w:tabs>
        <w:tab w:val="left" w:pos="360"/>
        <w:tab w:val="left" w:pos="720"/>
        <w:tab w:val="left" w:pos="1080"/>
        <w:tab w:val="left" w:pos="1440"/>
        <w:tab w:val="left" w:pos="1800"/>
      </w:tabs>
      <w:overflowPunct w:val="0"/>
      <w:autoSpaceDE w:val="0"/>
      <w:autoSpaceDN w:val="0"/>
      <w:adjustRightInd w:val="0"/>
      <w:spacing w:before="240" w:after="60"/>
      <w:ind w:left="1800" w:hanging="1800"/>
      <w:textAlignment w:val="baseline"/>
      <w:outlineLvl w:val="7"/>
    </w:pPr>
    <w:rPr>
      <w:rFonts w:eastAsia="Malgun Gothic"/>
      <w:i/>
      <w:iCs/>
      <w:lang w:eastAsia="en-US"/>
    </w:rPr>
  </w:style>
  <w:style w:type="paragraph" w:styleId="Heading9">
    <w:name w:val="heading 9"/>
    <w:basedOn w:val="Normal"/>
    <w:next w:val="Normal"/>
    <w:link w:val="Heading9Char"/>
    <w:qFormat/>
    <w:rsid w:val="000E00F3"/>
    <w:pPr>
      <w:keepNext/>
      <w:tabs>
        <w:tab w:val="left" w:pos="360"/>
        <w:tab w:val="left" w:pos="720"/>
        <w:tab w:val="left" w:pos="1080"/>
        <w:tab w:val="left" w:pos="1440"/>
        <w:tab w:val="left" w:pos="1800"/>
        <w:tab w:val="left" w:pos="2160"/>
        <w:tab w:val="left" w:pos="2520"/>
        <w:tab w:val="left" w:pos="2880"/>
      </w:tabs>
      <w:overflowPunct w:val="0"/>
      <w:autoSpaceDE w:val="0"/>
      <w:autoSpaceDN w:val="0"/>
      <w:adjustRightInd w:val="0"/>
      <w:spacing w:before="240" w:after="60"/>
      <w:ind w:left="1440" w:hanging="1440"/>
      <w:textAlignment w:val="baseline"/>
      <w:outlineLvl w:val="8"/>
    </w:pPr>
    <w:rPr>
      <w:rFonts w:eastAsia="Malgun Gothic"/>
      <w:b/>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6A227D"/>
    <w:pPr>
      <w:tabs>
        <w:tab w:val="left" w:pos="360"/>
        <w:tab w:val="left" w:pos="720"/>
        <w:tab w:val="left" w:pos="1080"/>
        <w:tab w:val="left" w:pos="1440"/>
        <w:tab w:val="center" w:pos="4320"/>
        <w:tab w:val="right" w:pos="8640"/>
      </w:tabs>
      <w:overflowPunct w:val="0"/>
      <w:autoSpaceDE w:val="0"/>
      <w:autoSpaceDN w:val="0"/>
      <w:adjustRightInd w:val="0"/>
      <w:spacing w:before="136"/>
      <w:textAlignment w:val="baseline"/>
    </w:pPr>
    <w:rPr>
      <w:rFonts w:eastAsia="Malgun Gothic"/>
      <w:sz w:val="22"/>
      <w:szCs w:val="20"/>
      <w:lang w:eastAsia="en-US"/>
    </w:rPr>
  </w:style>
  <w:style w:type="paragraph" w:styleId="Footer">
    <w:name w:val="footer"/>
    <w:basedOn w:val="Normal"/>
    <w:rsid w:val="006A227D"/>
    <w:pPr>
      <w:tabs>
        <w:tab w:val="left" w:pos="360"/>
        <w:tab w:val="left" w:pos="720"/>
        <w:tab w:val="left" w:pos="1080"/>
        <w:tab w:val="left" w:pos="1440"/>
        <w:tab w:val="center" w:pos="4320"/>
        <w:tab w:val="right" w:pos="8640"/>
      </w:tabs>
      <w:overflowPunct w:val="0"/>
      <w:autoSpaceDE w:val="0"/>
      <w:autoSpaceDN w:val="0"/>
      <w:adjustRightInd w:val="0"/>
      <w:spacing w:before="136"/>
      <w:textAlignment w:val="baseline"/>
    </w:pPr>
    <w:rPr>
      <w:rFonts w:eastAsia="Malgun Gothic"/>
      <w:sz w:val="22"/>
      <w:szCs w:val="20"/>
      <w:lang w:eastAsia="en-US"/>
    </w:rPr>
  </w:style>
  <w:style w:type="character" w:styleId="PageNumber">
    <w:name w:val="page number"/>
    <w:basedOn w:val="DefaultParagraphFont"/>
    <w:rsid w:val="006A227D"/>
  </w:style>
  <w:style w:type="character" w:styleId="Hyperlink">
    <w:name w:val="Hyperlink"/>
    <w:rsid w:val="0012580B"/>
    <w:rPr>
      <w:color w:val="0000FF"/>
      <w:u w:val="single"/>
    </w:rPr>
  </w:style>
  <w:style w:type="paragraph" w:styleId="BalloonText">
    <w:name w:val="Balloon Text"/>
    <w:basedOn w:val="Normal"/>
    <w:semiHidden/>
    <w:rsid w:val="009336F7"/>
    <w:pPr>
      <w:tabs>
        <w:tab w:val="left" w:pos="360"/>
        <w:tab w:val="left" w:pos="720"/>
        <w:tab w:val="left" w:pos="1080"/>
        <w:tab w:val="left" w:pos="1440"/>
      </w:tabs>
      <w:overflowPunct w:val="0"/>
      <w:autoSpaceDE w:val="0"/>
      <w:autoSpaceDN w:val="0"/>
      <w:adjustRightInd w:val="0"/>
      <w:spacing w:before="136"/>
      <w:textAlignment w:val="baseline"/>
    </w:pPr>
    <w:rPr>
      <w:rFonts w:ascii="Tahoma" w:eastAsia="Malgun Gothic" w:hAnsi="Tahoma" w:cs="Tahoma"/>
      <w:sz w:val="16"/>
      <w:szCs w:val="16"/>
      <w:lang w:eastAsia="en-US"/>
    </w:rPr>
  </w:style>
  <w:style w:type="character" w:customStyle="1" w:styleId="Heading2Char">
    <w:name w:val="Heading 2 Char"/>
    <w:link w:val="Heading2"/>
    <w:rsid w:val="00E11923"/>
    <w:rPr>
      <w:b/>
      <w:bCs/>
      <w:i/>
      <w:iCs/>
      <w:sz w:val="28"/>
      <w:szCs w:val="28"/>
      <w:lang w:eastAsia="en-US"/>
    </w:rPr>
  </w:style>
  <w:style w:type="character" w:customStyle="1" w:styleId="Heading3Char">
    <w:name w:val="Heading 3 Char"/>
    <w:link w:val="Heading3"/>
    <w:rsid w:val="002B191D"/>
    <w:rPr>
      <w:b/>
      <w:bCs/>
      <w:sz w:val="26"/>
      <w:szCs w:val="26"/>
      <w:lang w:eastAsia="en-US"/>
    </w:rPr>
  </w:style>
  <w:style w:type="character" w:customStyle="1" w:styleId="Heading4Char">
    <w:name w:val="Heading 4 Char"/>
    <w:link w:val="Heading4"/>
    <w:rsid w:val="000E00F3"/>
    <w:rPr>
      <w:b/>
      <w:bCs/>
      <w:sz w:val="28"/>
      <w:szCs w:val="28"/>
      <w:lang w:eastAsia="en-US"/>
    </w:rPr>
  </w:style>
  <w:style w:type="character" w:customStyle="1" w:styleId="Heading5Char">
    <w:name w:val="Heading 5 Char"/>
    <w:link w:val="Heading5"/>
    <w:rsid w:val="000E00F3"/>
    <w:rPr>
      <w:b/>
      <w:bCs/>
      <w:i/>
      <w:iCs/>
      <w:sz w:val="26"/>
      <w:szCs w:val="26"/>
      <w:lang w:eastAsia="en-US"/>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0E00F3"/>
    <w:rPr>
      <w:sz w:val="24"/>
      <w:szCs w:val="24"/>
      <w:lang w:eastAsia="en-US"/>
    </w:rPr>
  </w:style>
  <w:style w:type="character" w:customStyle="1" w:styleId="Heading8Char">
    <w:name w:val="Heading 8 Char"/>
    <w:link w:val="Heading8"/>
    <w:rsid w:val="000E00F3"/>
    <w:rPr>
      <w:i/>
      <w:iCs/>
      <w:sz w:val="24"/>
      <w:szCs w:val="24"/>
      <w:lang w:eastAsia="en-US"/>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pPr>
      <w:tabs>
        <w:tab w:val="left" w:pos="360"/>
        <w:tab w:val="left" w:pos="720"/>
        <w:tab w:val="left" w:pos="1080"/>
        <w:tab w:val="left" w:pos="1440"/>
      </w:tabs>
      <w:overflowPunct w:val="0"/>
      <w:autoSpaceDE w:val="0"/>
      <w:autoSpaceDN w:val="0"/>
      <w:adjustRightInd w:val="0"/>
      <w:spacing w:before="136"/>
      <w:textAlignment w:val="baseline"/>
    </w:pPr>
    <w:rPr>
      <w:rFonts w:ascii="Tahoma" w:eastAsia="Malgun Gothic" w:hAnsi="Tahoma" w:cs="Tahoma"/>
      <w:sz w:val="16"/>
      <w:szCs w:val="16"/>
      <w:lang w:eastAsia="en-US"/>
    </w:rPr>
  </w:style>
  <w:style w:type="character" w:customStyle="1" w:styleId="DocumentMapChar">
    <w:name w:val="Document Map Char"/>
    <w:link w:val="DocumentMap"/>
    <w:rsid w:val="00E11923"/>
    <w:rPr>
      <w:rFonts w:ascii="Tahoma" w:hAnsi="Tahoma" w:cs="Tahoma"/>
      <w:sz w:val="16"/>
      <w:szCs w:val="16"/>
      <w:lang w:eastAsia="en-US"/>
    </w:rPr>
  </w:style>
  <w:style w:type="paragraph" w:styleId="Caption">
    <w:name w:val="caption"/>
    <w:basedOn w:val="Normal"/>
    <w:next w:val="Normal"/>
    <w:unhideWhenUsed/>
    <w:qFormat/>
    <w:rsid w:val="00855105"/>
    <w:pPr>
      <w:tabs>
        <w:tab w:val="left" w:pos="360"/>
        <w:tab w:val="left" w:pos="720"/>
        <w:tab w:val="left" w:pos="1080"/>
        <w:tab w:val="left" w:pos="1440"/>
      </w:tabs>
      <w:overflowPunct w:val="0"/>
      <w:autoSpaceDE w:val="0"/>
      <w:autoSpaceDN w:val="0"/>
      <w:adjustRightInd w:val="0"/>
      <w:spacing w:before="136"/>
      <w:textAlignment w:val="baseline"/>
    </w:pPr>
    <w:rPr>
      <w:rFonts w:eastAsia="Malgun Gothic"/>
      <w:b/>
      <w:bCs/>
      <w:sz w:val="20"/>
      <w:szCs w:val="20"/>
      <w:lang w:eastAsia="en-US"/>
    </w:rPr>
  </w:style>
  <w:style w:type="table" w:styleId="TableGrid">
    <w:name w:val="Table Grid"/>
    <w:basedOn w:val="TableNormal"/>
    <w:rsid w:val="00BC381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Heading1Char">
    <w:name w:val="Heading 1 Char"/>
    <w:link w:val="Heading1"/>
    <w:rsid w:val="0057200C"/>
    <w:rPr>
      <w:rFonts w:cs="Arial"/>
      <w:b/>
      <w:bCs/>
      <w:kern w:val="32"/>
      <w:sz w:val="32"/>
      <w:szCs w:val="32"/>
      <w:lang w:eastAsia="en-US"/>
    </w:rPr>
  </w:style>
  <w:style w:type="paragraph" w:styleId="NormalWeb">
    <w:name w:val="Normal (Web)"/>
    <w:basedOn w:val="Normal"/>
    <w:uiPriority w:val="99"/>
    <w:unhideWhenUsed/>
    <w:rsid w:val="00FF5B28"/>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divs>
    <w:div w:id="90973420">
      <w:bodyDiv w:val="1"/>
      <w:marLeft w:val="0"/>
      <w:marRight w:val="0"/>
      <w:marTop w:val="0"/>
      <w:marBottom w:val="0"/>
      <w:divBdr>
        <w:top w:val="none" w:sz="0" w:space="0" w:color="auto"/>
        <w:left w:val="none" w:sz="0" w:space="0" w:color="auto"/>
        <w:bottom w:val="none" w:sz="0" w:space="0" w:color="auto"/>
        <w:right w:val="none" w:sz="0" w:space="0" w:color="auto"/>
      </w:divBdr>
    </w:div>
    <w:div w:id="137961838">
      <w:bodyDiv w:val="1"/>
      <w:marLeft w:val="0"/>
      <w:marRight w:val="0"/>
      <w:marTop w:val="0"/>
      <w:marBottom w:val="0"/>
      <w:divBdr>
        <w:top w:val="none" w:sz="0" w:space="0" w:color="auto"/>
        <w:left w:val="none" w:sz="0" w:space="0" w:color="auto"/>
        <w:bottom w:val="none" w:sz="0" w:space="0" w:color="auto"/>
        <w:right w:val="none" w:sz="0" w:space="0" w:color="auto"/>
      </w:divBdr>
    </w:div>
    <w:div w:id="170413868">
      <w:bodyDiv w:val="1"/>
      <w:marLeft w:val="0"/>
      <w:marRight w:val="0"/>
      <w:marTop w:val="0"/>
      <w:marBottom w:val="0"/>
      <w:divBdr>
        <w:top w:val="none" w:sz="0" w:space="0" w:color="auto"/>
        <w:left w:val="none" w:sz="0" w:space="0" w:color="auto"/>
        <w:bottom w:val="none" w:sz="0" w:space="0" w:color="auto"/>
        <w:right w:val="none" w:sz="0" w:space="0" w:color="auto"/>
      </w:divBdr>
    </w:div>
    <w:div w:id="170950156">
      <w:bodyDiv w:val="1"/>
      <w:marLeft w:val="0"/>
      <w:marRight w:val="0"/>
      <w:marTop w:val="0"/>
      <w:marBottom w:val="0"/>
      <w:divBdr>
        <w:top w:val="none" w:sz="0" w:space="0" w:color="auto"/>
        <w:left w:val="none" w:sz="0" w:space="0" w:color="auto"/>
        <w:bottom w:val="none" w:sz="0" w:space="0" w:color="auto"/>
        <w:right w:val="none" w:sz="0" w:space="0" w:color="auto"/>
      </w:divBdr>
    </w:div>
    <w:div w:id="181285773">
      <w:bodyDiv w:val="1"/>
      <w:marLeft w:val="0"/>
      <w:marRight w:val="0"/>
      <w:marTop w:val="0"/>
      <w:marBottom w:val="0"/>
      <w:divBdr>
        <w:top w:val="none" w:sz="0" w:space="0" w:color="auto"/>
        <w:left w:val="none" w:sz="0" w:space="0" w:color="auto"/>
        <w:bottom w:val="none" w:sz="0" w:space="0" w:color="auto"/>
        <w:right w:val="none" w:sz="0" w:space="0" w:color="auto"/>
      </w:divBdr>
    </w:div>
    <w:div w:id="214893953">
      <w:bodyDiv w:val="1"/>
      <w:marLeft w:val="0"/>
      <w:marRight w:val="0"/>
      <w:marTop w:val="0"/>
      <w:marBottom w:val="0"/>
      <w:divBdr>
        <w:top w:val="none" w:sz="0" w:space="0" w:color="auto"/>
        <w:left w:val="none" w:sz="0" w:space="0" w:color="auto"/>
        <w:bottom w:val="none" w:sz="0" w:space="0" w:color="auto"/>
        <w:right w:val="none" w:sz="0" w:space="0" w:color="auto"/>
      </w:divBdr>
    </w:div>
    <w:div w:id="295456243">
      <w:bodyDiv w:val="1"/>
      <w:marLeft w:val="0"/>
      <w:marRight w:val="0"/>
      <w:marTop w:val="0"/>
      <w:marBottom w:val="0"/>
      <w:divBdr>
        <w:top w:val="none" w:sz="0" w:space="0" w:color="auto"/>
        <w:left w:val="none" w:sz="0" w:space="0" w:color="auto"/>
        <w:bottom w:val="none" w:sz="0" w:space="0" w:color="auto"/>
        <w:right w:val="none" w:sz="0" w:space="0" w:color="auto"/>
      </w:divBdr>
      <w:divsChild>
        <w:div w:id="99643447">
          <w:marLeft w:val="1166"/>
          <w:marRight w:val="0"/>
          <w:marTop w:val="77"/>
          <w:marBottom w:val="0"/>
          <w:divBdr>
            <w:top w:val="none" w:sz="0" w:space="0" w:color="auto"/>
            <w:left w:val="none" w:sz="0" w:space="0" w:color="auto"/>
            <w:bottom w:val="none" w:sz="0" w:space="0" w:color="auto"/>
            <w:right w:val="none" w:sz="0" w:space="0" w:color="auto"/>
          </w:divBdr>
        </w:div>
      </w:divsChild>
    </w:div>
    <w:div w:id="301882888">
      <w:bodyDiv w:val="1"/>
      <w:marLeft w:val="0"/>
      <w:marRight w:val="0"/>
      <w:marTop w:val="0"/>
      <w:marBottom w:val="0"/>
      <w:divBdr>
        <w:top w:val="none" w:sz="0" w:space="0" w:color="auto"/>
        <w:left w:val="none" w:sz="0" w:space="0" w:color="auto"/>
        <w:bottom w:val="none" w:sz="0" w:space="0" w:color="auto"/>
        <w:right w:val="none" w:sz="0" w:space="0" w:color="auto"/>
      </w:divBdr>
    </w:div>
    <w:div w:id="303050594">
      <w:bodyDiv w:val="1"/>
      <w:marLeft w:val="0"/>
      <w:marRight w:val="0"/>
      <w:marTop w:val="0"/>
      <w:marBottom w:val="0"/>
      <w:divBdr>
        <w:top w:val="none" w:sz="0" w:space="0" w:color="auto"/>
        <w:left w:val="none" w:sz="0" w:space="0" w:color="auto"/>
        <w:bottom w:val="none" w:sz="0" w:space="0" w:color="auto"/>
        <w:right w:val="none" w:sz="0" w:space="0" w:color="auto"/>
      </w:divBdr>
    </w:div>
    <w:div w:id="331683727">
      <w:bodyDiv w:val="1"/>
      <w:marLeft w:val="0"/>
      <w:marRight w:val="0"/>
      <w:marTop w:val="0"/>
      <w:marBottom w:val="0"/>
      <w:divBdr>
        <w:top w:val="none" w:sz="0" w:space="0" w:color="auto"/>
        <w:left w:val="none" w:sz="0" w:space="0" w:color="auto"/>
        <w:bottom w:val="none" w:sz="0" w:space="0" w:color="auto"/>
        <w:right w:val="none" w:sz="0" w:space="0" w:color="auto"/>
      </w:divBdr>
    </w:div>
    <w:div w:id="350255320">
      <w:bodyDiv w:val="1"/>
      <w:marLeft w:val="0"/>
      <w:marRight w:val="0"/>
      <w:marTop w:val="0"/>
      <w:marBottom w:val="0"/>
      <w:divBdr>
        <w:top w:val="none" w:sz="0" w:space="0" w:color="auto"/>
        <w:left w:val="none" w:sz="0" w:space="0" w:color="auto"/>
        <w:bottom w:val="none" w:sz="0" w:space="0" w:color="auto"/>
        <w:right w:val="none" w:sz="0" w:space="0" w:color="auto"/>
      </w:divBdr>
    </w:div>
    <w:div w:id="369451420">
      <w:bodyDiv w:val="1"/>
      <w:marLeft w:val="0"/>
      <w:marRight w:val="0"/>
      <w:marTop w:val="0"/>
      <w:marBottom w:val="0"/>
      <w:divBdr>
        <w:top w:val="none" w:sz="0" w:space="0" w:color="auto"/>
        <w:left w:val="none" w:sz="0" w:space="0" w:color="auto"/>
        <w:bottom w:val="none" w:sz="0" w:space="0" w:color="auto"/>
        <w:right w:val="none" w:sz="0" w:space="0" w:color="auto"/>
      </w:divBdr>
    </w:div>
    <w:div w:id="378558232">
      <w:bodyDiv w:val="1"/>
      <w:marLeft w:val="0"/>
      <w:marRight w:val="0"/>
      <w:marTop w:val="0"/>
      <w:marBottom w:val="0"/>
      <w:divBdr>
        <w:top w:val="none" w:sz="0" w:space="0" w:color="auto"/>
        <w:left w:val="none" w:sz="0" w:space="0" w:color="auto"/>
        <w:bottom w:val="none" w:sz="0" w:space="0" w:color="auto"/>
        <w:right w:val="none" w:sz="0" w:space="0" w:color="auto"/>
      </w:divBdr>
    </w:div>
    <w:div w:id="385370656">
      <w:bodyDiv w:val="1"/>
      <w:marLeft w:val="0"/>
      <w:marRight w:val="0"/>
      <w:marTop w:val="0"/>
      <w:marBottom w:val="0"/>
      <w:divBdr>
        <w:top w:val="none" w:sz="0" w:space="0" w:color="auto"/>
        <w:left w:val="none" w:sz="0" w:space="0" w:color="auto"/>
        <w:bottom w:val="none" w:sz="0" w:space="0" w:color="auto"/>
        <w:right w:val="none" w:sz="0" w:space="0" w:color="auto"/>
      </w:divBdr>
    </w:div>
    <w:div w:id="398793115">
      <w:bodyDiv w:val="1"/>
      <w:marLeft w:val="0"/>
      <w:marRight w:val="0"/>
      <w:marTop w:val="0"/>
      <w:marBottom w:val="0"/>
      <w:divBdr>
        <w:top w:val="none" w:sz="0" w:space="0" w:color="auto"/>
        <w:left w:val="none" w:sz="0" w:space="0" w:color="auto"/>
        <w:bottom w:val="none" w:sz="0" w:space="0" w:color="auto"/>
        <w:right w:val="none" w:sz="0" w:space="0" w:color="auto"/>
      </w:divBdr>
    </w:div>
    <w:div w:id="404956250">
      <w:bodyDiv w:val="1"/>
      <w:marLeft w:val="0"/>
      <w:marRight w:val="0"/>
      <w:marTop w:val="0"/>
      <w:marBottom w:val="0"/>
      <w:divBdr>
        <w:top w:val="none" w:sz="0" w:space="0" w:color="auto"/>
        <w:left w:val="none" w:sz="0" w:space="0" w:color="auto"/>
        <w:bottom w:val="none" w:sz="0" w:space="0" w:color="auto"/>
        <w:right w:val="none" w:sz="0" w:space="0" w:color="auto"/>
      </w:divBdr>
    </w:div>
    <w:div w:id="426468403">
      <w:bodyDiv w:val="1"/>
      <w:marLeft w:val="0"/>
      <w:marRight w:val="0"/>
      <w:marTop w:val="0"/>
      <w:marBottom w:val="0"/>
      <w:divBdr>
        <w:top w:val="none" w:sz="0" w:space="0" w:color="auto"/>
        <w:left w:val="none" w:sz="0" w:space="0" w:color="auto"/>
        <w:bottom w:val="none" w:sz="0" w:space="0" w:color="auto"/>
        <w:right w:val="none" w:sz="0" w:space="0" w:color="auto"/>
      </w:divBdr>
    </w:div>
    <w:div w:id="468784096">
      <w:bodyDiv w:val="1"/>
      <w:marLeft w:val="0"/>
      <w:marRight w:val="0"/>
      <w:marTop w:val="0"/>
      <w:marBottom w:val="0"/>
      <w:divBdr>
        <w:top w:val="none" w:sz="0" w:space="0" w:color="auto"/>
        <w:left w:val="none" w:sz="0" w:space="0" w:color="auto"/>
        <w:bottom w:val="none" w:sz="0" w:space="0" w:color="auto"/>
        <w:right w:val="none" w:sz="0" w:space="0" w:color="auto"/>
      </w:divBdr>
    </w:div>
    <w:div w:id="492723270">
      <w:bodyDiv w:val="1"/>
      <w:marLeft w:val="0"/>
      <w:marRight w:val="0"/>
      <w:marTop w:val="0"/>
      <w:marBottom w:val="0"/>
      <w:divBdr>
        <w:top w:val="none" w:sz="0" w:space="0" w:color="auto"/>
        <w:left w:val="none" w:sz="0" w:space="0" w:color="auto"/>
        <w:bottom w:val="none" w:sz="0" w:space="0" w:color="auto"/>
        <w:right w:val="none" w:sz="0" w:space="0" w:color="auto"/>
      </w:divBdr>
    </w:div>
    <w:div w:id="524486710">
      <w:bodyDiv w:val="1"/>
      <w:marLeft w:val="0"/>
      <w:marRight w:val="0"/>
      <w:marTop w:val="0"/>
      <w:marBottom w:val="0"/>
      <w:divBdr>
        <w:top w:val="none" w:sz="0" w:space="0" w:color="auto"/>
        <w:left w:val="none" w:sz="0" w:space="0" w:color="auto"/>
        <w:bottom w:val="none" w:sz="0" w:space="0" w:color="auto"/>
        <w:right w:val="none" w:sz="0" w:space="0" w:color="auto"/>
      </w:divBdr>
    </w:div>
    <w:div w:id="540899560">
      <w:bodyDiv w:val="1"/>
      <w:marLeft w:val="0"/>
      <w:marRight w:val="0"/>
      <w:marTop w:val="0"/>
      <w:marBottom w:val="0"/>
      <w:divBdr>
        <w:top w:val="none" w:sz="0" w:space="0" w:color="auto"/>
        <w:left w:val="none" w:sz="0" w:space="0" w:color="auto"/>
        <w:bottom w:val="none" w:sz="0" w:space="0" w:color="auto"/>
        <w:right w:val="none" w:sz="0" w:space="0" w:color="auto"/>
      </w:divBdr>
    </w:div>
    <w:div w:id="552468760">
      <w:bodyDiv w:val="1"/>
      <w:marLeft w:val="0"/>
      <w:marRight w:val="0"/>
      <w:marTop w:val="0"/>
      <w:marBottom w:val="0"/>
      <w:divBdr>
        <w:top w:val="none" w:sz="0" w:space="0" w:color="auto"/>
        <w:left w:val="none" w:sz="0" w:space="0" w:color="auto"/>
        <w:bottom w:val="none" w:sz="0" w:space="0" w:color="auto"/>
        <w:right w:val="none" w:sz="0" w:space="0" w:color="auto"/>
      </w:divBdr>
    </w:div>
    <w:div w:id="577833805">
      <w:bodyDiv w:val="1"/>
      <w:marLeft w:val="0"/>
      <w:marRight w:val="0"/>
      <w:marTop w:val="0"/>
      <w:marBottom w:val="0"/>
      <w:divBdr>
        <w:top w:val="none" w:sz="0" w:space="0" w:color="auto"/>
        <w:left w:val="none" w:sz="0" w:space="0" w:color="auto"/>
        <w:bottom w:val="none" w:sz="0" w:space="0" w:color="auto"/>
        <w:right w:val="none" w:sz="0" w:space="0" w:color="auto"/>
      </w:divBdr>
    </w:div>
    <w:div w:id="621109712">
      <w:bodyDiv w:val="1"/>
      <w:marLeft w:val="0"/>
      <w:marRight w:val="0"/>
      <w:marTop w:val="0"/>
      <w:marBottom w:val="0"/>
      <w:divBdr>
        <w:top w:val="none" w:sz="0" w:space="0" w:color="auto"/>
        <w:left w:val="none" w:sz="0" w:space="0" w:color="auto"/>
        <w:bottom w:val="none" w:sz="0" w:space="0" w:color="auto"/>
        <w:right w:val="none" w:sz="0" w:space="0" w:color="auto"/>
      </w:divBdr>
      <w:divsChild>
        <w:div w:id="1710643007">
          <w:marLeft w:val="1166"/>
          <w:marRight w:val="0"/>
          <w:marTop w:val="86"/>
          <w:marBottom w:val="0"/>
          <w:divBdr>
            <w:top w:val="none" w:sz="0" w:space="0" w:color="auto"/>
            <w:left w:val="none" w:sz="0" w:space="0" w:color="auto"/>
            <w:bottom w:val="none" w:sz="0" w:space="0" w:color="auto"/>
            <w:right w:val="none" w:sz="0" w:space="0" w:color="auto"/>
          </w:divBdr>
        </w:div>
      </w:divsChild>
    </w:div>
    <w:div w:id="710111685">
      <w:bodyDiv w:val="1"/>
      <w:marLeft w:val="0"/>
      <w:marRight w:val="0"/>
      <w:marTop w:val="0"/>
      <w:marBottom w:val="0"/>
      <w:divBdr>
        <w:top w:val="none" w:sz="0" w:space="0" w:color="auto"/>
        <w:left w:val="none" w:sz="0" w:space="0" w:color="auto"/>
        <w:bottom w:val="none" w:sz="0" w:space="0" w:color="auto"/>
        <w:right w:val="none" w:sz="0" w:space="0" w:color="auto"/>
      </w:divBdr>
    </w:div>
    <w:div w:id="734010777">
      <w:bodyDiv w:val="1"/>
      <w:marLeft w:val="0"/>
      <w:marRight w:val="0"/>
      <w:marTop w:val="0"/>
      <w:marBottom w:val="0"/>
      <w:divBdr>
        <w:top w:val="none" w:sz="0" w:space="0" w:color="auto"/>
        <w:left w:val="none" w:sz="0" w:space="0" w:color="auto"/>
        <w:bottom w:val="none" w:sz="0" w:space="0" w:color="auto"/>
        <w:right w:val="none" w:sz="0" w:space="0" w:color="auto"/>
      </w:divBdr>
    </w:div>
    <w:div w:id="783230539">
      <w:bodyDiv w:val="1"/>
      <w:marLeft w:val="0"/>
      <w:marRight w:val="0"/>
      <w:marTop w:val="0"/>
      <w:marBottom w:val="0"/>
      <w:divBdr>
        <w:top w:val="none" w:sz="0" w:space="0" w:color="auto"/>
        <w:left w:val="none" w:sz="0" w:space="0" w:color="auto"/>
        <w:bottom w:val="none" w:sz="0" w:space="0" w:color="auto"/>
        <w:right w:val="none" w:sz="0" w:space="0" w:color="auto"/>
      </w:divBdr>
    </w:div>
    <w:div w:id="823862051">
      <w:bodyDiv w:val="1"/>
      <w:marLeft w:val="0"/>
      <w:marRight w:val="0"/>
      <w:marTop w:val="0"/>
      <w:marBottom w:val="0"/>
      <w:divBdr>
        <w:top w:val="none" w:sz="0" w:space="0" w:color="auto"/>
        <w:left w:val="none" w:sz="0" w:space="0" w:color="auto"/>
        <w:bottom w:val="none" w:sz="0" w:space="0" w:color="auto"/>
        <w:right w:val="none" w:sz="0" w:space="0" w:color="auto"/>
      </w:divBdr>
    </w:div>
    <w:div w:id="833030750">
      <w:bodyDiv w:val="1"/>
      <w:marLeft w:val="0"/>
      <w:marRight w:val="0"/>
      <w:marTop w:val="0"/>
      <w:marBottom w:val="0"/>
      <w:divBdr>
        <w:top w:val="none" w:sz="0" w:space="0" w:color="auto"/>
        <w:left w:val="none" w:sz="0" w:space="0" w:color="auto"/>
        <w:bottom w:val="none" w:sz="0" w:space="0" w:color="auto"/>
        <w:right w:val="none" w:sz="0" w:space="0" w:color="auto"/>
      </w:divBdr>
    </w:div>
    <w:div w:id="833378502">
      <w:bodyDiv w:val="1"/>
      <w:marLeft w:val="0"/>
      <w:marRight w:val="0"/>
      <w:marTop w:val="0"/>
      <w:marBottom w:val="0"/>
      <w:divBdr>
        <w:top w:val="none" w:sz="0" w:space="0" w:color="auto"/>
        <w:left w:val="none" w:sz="0" w:space="0" w:color="auto"/>
        <w:bottom w:val="none" w:sz="0" w:space="0" w:color="auto"/>
        <w:right w:val="none" w:sz="0" w:space="0" w:color="auto"/>
      </w:divBdr>
    </w:div>
    <w:div w:id="1004238364">
      <w:bodyDiv w:val="1"/>
      <w:marLeft w:val="0"/>
      <w:marRight w:val="0"/>
      <w:marTop w:val="0"/>
      <w:marBottom w:val="0"/>
      <w:divBdr>
        <w:top w:val="none" w:sz="0" w:space="0" w:color="auto"/>
        <w:left w:val="none" w:sz="0" w:space="0" w:color="auto"/>
        <w:bottom w:val="none" w:sz="0" w:space="0" w:color="auto"/>
        <w:right w:val="none" w:sz="0" w:space="0" w:color="auto"/>
      </w:divBdr>
    </w:div>
    <w:div w:id="1087574517">
      <w:bodyDiv w:val="1"/>
      <w:marLeft w:val="0"/>
      <w:marRight w:val="0"/>
      <w:marTop w:val="0"/>
      <w:marBottom w:val="0"/>
      <w:divBdr>
        <w:top w:val="none" w:sz="0" w:space="0" w:color="auto"/>
        <w:left w:val="none" w:sz="0" w:space="0" w:color="auto"/>
        <w:bottom w:val="none" w:sz="0" w:space="0" w:color="auto"/>
        <w:right w:val="none" w:sz="0" w:space="0" w:color="auto"/>
      </w:divBdr>
    </w:div>
    <w:div w:id="1089618363">
      <w:bodyDiv w:val="1"/>
      <w:marLeft w:val="0"/>
      <w:marRight w:val="0"/>
      <w:marTop w:val="0"/>
      <w:marBottom w:val="0"/>
      <w:divBdr>
        <w:top w:val="none" w:sz="0" w:space="0" w:color="auto"/>
        <w:left w:val="none" w:sz="0" w:space="0" w:color="auto"/>
        <w:bottom w:val="none" w:sz="0" w:space="0" w:color="auto"/>
        <w:right w:val="none" w:sz="0" w:space="0" w:color="auto"/>
      </w:divBdr>
    </w:div>
    <w:div w:id="1121732186">
      <w:bodyDiv w:val="1"/>
      <w:marLeft w:val="0"/>
      <w:marRight w:val="0"/>
      <w:marTop w:val="0"/>
      <w:marBottom w:val="0"/>
      <w:divBdr>
        <w:top w:val="none" w:sz="0" w:space="0" w:color="auto"/>
        <w:left w:val="none" w:sz="0" w:space="0" w:color="auto"/>
        <w:bottom w:val="none" w:sz="0" w:space="0" w:color="auto"/>
        <w:right w:val="none" w:sz="0" w:space="0" w:color="auto"/>
      </w:divBdr>
    </w:div>
    <w:div w:id="1126047762">
      <w:bodyDiv w:val="1"/>
      <w:marLeft w:val="0"/>
      <w:marRight w:val="0"/>
      <w:marTop w:val="0"/>
      <w:marBottom w:val="0"/>
      <w:divBdr>
        <w:top w:val="none" w:sz="0" w:space="0" w:color="auto"/>
        <w:left w:val="none" w:sz="0" w:space="0" w:color="auto"/>
        <w:bottom w:val="none" w:sz="0" w:space="0" w:color="auto"/>
        <w:right w:val="none" w:sz="0" w:space="0" w:color="auto"/>
      </w:divBdr>
    </w:div>
    <w:div w:id="1131945680">
      <w:bodyDiv w:val="1"/>
      <w:marLeft w:val="0"/>
      <w:marRight w:val="0"/>
      <w:marTop w:val="0"/>
      <w:marBottom w:val="0"/>
      <w:divBdr>
        <w:top w:val="none" w:sz="0" w:space="0" w:color="auto"/>
        <w:left w:val="none" w:sz="0" w:space="0" w:color="auto"/>
        <w:bottom w:val="none" w:sz="0" w:space="0" w:color="auto"/>
        <w:right w:val="none" w:sz="0" w:space="0" w:color="auto"/>
      </w:divBdr>
    </w:div>
    <w:div w:id="1155536747">
      <w:bodyDiv w:val="1"/>
      <w:marLeft w:val="0"/>
      <w:marRight w:val="0"/>
      <w:marTop w:val="0"/>
      <w:marBottom w:val="0"/>
      <w:divBdr>
        <w:top w:val="none" w:sz="0" w:space="0" w:color="auto"/>
        <w:left w:val="none" w:sz="0" w:space="0" w:color="auto"/>
        <w:bottom w:val="none" w:sz="0" w:space="0" w:color="auto"/>
        <w:right w:val="none" w:sz="0" w:space="0" w:color="auto"/>
      </w:divBdr>
    </w:div>
    <w:div w:id="1184588629">
      <w:bodyDiv w:val="1"/>
      <w:marLeft w:val="0"/>
      <w:marRight w:val="0"/>
      <w:marTop w:val="0"/>
      <w:marBottom w:val="0"/>
      <w:divBdr>
        <w:top w:val="none" w:sz="0" w:space="0" w:color="auto"/>
        <w:left w:val="none" w:sz="0" w:space="0" w:color="auto"/>
        <w:bottom w:val="none" w:sz="0" w:space="0" w:color="auto"/>
        <w:right w:val="none" w:sz="0" w:space="0" w:color="auto"/>
      </w:divBdr>
    </w:div>
    <w:div w:id="1186019876">
      <w:bodyDiv w:val="1"/>
      <w:marLeft w:val="0"/>
      <w:marRight w:val="0"/>
      <w:marTop w:val="0"/>
      <w:marBottom w:val="0"/>
      <w:divBdr>
        <w:top w:val="none" w:sz="0" w:space="0" w:color="auto"/>
        <w:left w:val="none" w:sz="0" w:space="0" w:color="auto"/>
        <w:bottom w:val="none" w:sz="0" w:space="0" w:color="auto"/>
        <w:right w:val="none" w:sz="0" w:space="0" w:color="auto"/>
      </w:divBdr>
    </w:div>
    <w:div w:id="1218514069">
      <w:bodyDiv w:val="1"/>
      <w:marLeft w:val="0"/>
      <w:marRight w:val="0"/>
      <w:marTop w:val="0"/>
      <w:marBottom w:val="0"/>
      <w:divBdr>
        <w:top w:val="none" w:sz="0" w:space="0" w:color="auto"/>
        <w:left w:val="none" w:sz="0" w:space="0" w:color="auto"/>
        <w:bottom w:val="none" w:sz="0" w:space="0" w:color="auto"/>
        <w:right w:val="none" w:sz="0" w:space="0" w:color="auto"/>
      </w:divBdr>
    </w:div>
    <w:div w:id="1264915983">
      <w:bodyDiv w:val="1"/>
      <w:marLeft w:val="0"/>
      <w:marRight w:val="0"/>
      <w:marTop w:val="0"/>
      <w:marBottom w:val="0"/>
      <w:divBdr>
        <w:top w:val="none" w:sz="0" w:space="0" w:color="auto"/>
        <w:left w:val="none" w:sz="0" w:space="0" w:color="auto"/>
        <w:bottom w:val="none" w:sz="0" w:space="0" w:color="auto"/>
        <w:right w:val="none" w:sz="0" w:space="0" w:color="auto"/>
      </w:divBdr>
    </w:div>
    <w:div w:id="1267494435">
      <w:bodyDiv w:val="1"/>
      <w:marLeft w:val="0"/>
      <w:marRight w:val="0"/>
      <w:marTop w:val="0"/>
      <w:marBottom w:val="0"/>
      <w:divBdr>
        <w:top w:val="none" w:sz="0" w:space="0" w:color="auto"/>
        <w:left w:val="none" w:sz="0" w:space="0" w:color="auto"/>
        <w:bottom w:val="none" w:sz="0" w:space="0" w:color="auto"/>
        <w:right w:val="none" w:sz="0" w:space="0" w:color="auto"/>
      </w:divBdr>
    </w:div>
    <w:div w:id="1282491574">
      <w:bodyDiv w:val="1"/>
      <w:marLeft w:val="0"/>
      <w:marRight w:val="0"/>
      <w:marTop w:val="0"/>
      <w:marBottom w:val="0"/>
      <w:divBdr>
        <w:top w:val="none" w:sz="0" w:space="0" w:color="auto"/>
        <w:left w:val="none" w:sz="0" w:space="0" w:color="auto"/>
        <w:bottom w:val="none" w:sz="0" w:space="0" w:color="auto"/>
        <w:right w:val="none" w:sz="0" w:space="0" w:color="auto"/>
      </w:divBdr>
    </w:div>
    <w:div w:id="1298101649">
      <w:bodyDiv w:val="1"/>
      <w:marLeft w:val="0"/>
      <w:marRight w:val="0"/>
      <w:marTop w:val="0"/>
      <w:marBottom w:val="0"/>
      <w:divBdr>
        <w:top w:val="none" w:sz="0" w:space="0" w:color="auto"/>
        <w:left w:val="none" w:sz="0" w:space="0" w:color="auto"/>
        <w:bottom w:val="none" w:sz="0" w:space="0" w:color="auto"/>
        <w:right w:val="none" w:sz="0" w:space="0" w:color="auto"/>
      </w:divBdr>
    </w:div>
    <w:div w:id="1307248752">
      <w:bodyDiv w:val="1"/>
      <w:marLeft w:val="0"/>
      <w:marRight w:val="0"/>
      <w:marTop w:val="0"/>
      <w:marBottom w:val="0"/>
      <w:divBdr>
        <w:top w:val="none" w:sz="0" w:space="0" w:color="auto"/>
        <w:left w:val="none" w:sz="0" w:space="0" w:color="auto"/>
        <w:bottom w:val="none" w:sz="0" w:space="0" w:color="auto"/>
        <w:right w:val="none" w:sz="0" w:space="0" w:color="auto"/>
      </w:divBdr>
    </w:div>
    <w:div w:id="1342047046">
      <w:bodyDiv w:val="1"/>
      <w:marLeft w:val="0"/>
      <w:marRight w:val="0"/>
      <w:marTop w:val="0"/>
      <w:marBottom w:val="0"/>
      <w:divBdr>
        <w:top w:val="none" w:sz="0" w:space="0" w:color="auto"/>
        <w:left w:val="none" w:sz="0" w:space="0" w:color="auto"/>
        <w:bottom w:val="none" w:sz="0" w:space="0" w:color="auto"/>
        <w:right w:val="none" w:sz="0" w:space="0" w:color="auto"/>
      </w:divBdr>
    </w:div>
    <w:div w:id="1344044318">
      <w:bodyDiv w:val="1"/>
      <w:marLeft w:val="0"/>
      <w:marRight w:val="0"/>
      <w:marTop w:val="0"/>
      <w:marBottom w:val="0"/>
      <w:divBdr>
        <w:top w:val="none" w:sz="0" w:space="0" w:color="auto"/>
        <w:left w:val="none" w:sz="0" w:space="0" w:color="auto"/>
        <w:bottom w:val="none" w:sz="0" w:space="0" w:color="auto"/>
        <w:right w:val="none" w:sz="0" w:space="0" w:color="auto"/>
      </w:divBdr>
    </w:div>
    <w:div w:id="1348289411">
      <w:bodyDiv w:val="1"/>
      <w:marLeft w:val="0"/>
      <w:marRight w:val="0"/>
      <w:marTop w:val="0"/>
      <w:marBottom w:val="0"/>
      <w:divBdr>
        <w:top w:val="none" w:sz="0" w:space="0" w:color="auto"/>
        <w:left w:val="none" w:sz="0" w:space="0" w:color="auto"/>
        <w:bottom w:val="none" w:sz="0" w:space="0" w:color="auto"/>
        <w:right w:val="none" w:sz="0" w:space="0" w:color="auto"/>
      </w:divBdr>
    </w:div>
    <w:div w:id="1446147133">
      <w:bodyDiv w:val="1"/>
      <w:marLeft w:val="0"/>
      <w:marRight w:val="0"/>
      <w:marTop w:val="0"/>
      <w:marBottom w:val="0"/>
      <w:divBdr>
        <w:top w:val="none" w:sz="0" w:space="0" w:color="auto"/>
        <w:left w:val="none" w:sz="0" w:space="0" w:color="auto"/>
        <w:bottom w:val="none" w:sz="0" w:space="0" w:color="auto"/>
        <w:right w:val="none" w:sz="0" w:space="0" w:color="auto"/>
      </w:divBdr>
    </w:div>
    <w:div w:id="1464543767">
      <w:bodyDiv w:val="1"/>
      <w:marLeft w:val="0"/>
      <w:marRight w:val="0"/>
      <w:marTop w:val="0"/>
      <w:marBottom w:val="0"/>
      <w:divBdr>
        <w:top w:val="none" w:sz="0" w:space="0" w:color="auto"/>
        <w:left w:val="none" w:sz="0" w:space="0" w:color="auto"/>
        <w:bottom w:val="none" w:sz="0" w:space="0" w:color="auto"/>
        <w:right w:val="none" w:sz="0" w:space="0" w:color="auto"/>
      </w:divBdr>
    </w:div>
    <w:div w:id="1468740658">
      <w:bodyDiv w:val="1"/>
      <w:marLeft w:val="0"/>
      <w:marRight w:val="0"/>
      <w:marTop w:val="0"/>
      <w:marBottom w:val="0"/>
      <w:divBdr>
        <w:top w:val="none" w:sz="0" w:space="0" w:color="auto"/>
        <w:left w:val="none" w:sz="0" w:space="0" w:color="auto"/>
        <w:bottom w:val="none" w:sz="0" w:space="0" w:color="auto"/>
        <w:right w:val="none" w:sz="0" w:space="0" w:color="auto"/>
      </w:divBdr>
    </w:div>
    <w:div w:id="1492212171">
      <w:bodyDiv w:val="1"/>
      <w:marLeft w:val="0"/>
      <w:marRight w:val="0"/>
      <w:marTop w:val="0"/>
      <w:marBottom w:val="0"/>
      <w:divBdr>
        <w:top w:val="none" w:sz="0" w:space="0" w:color="auto"/>
        <w:left w:val="none" w:sz="0" w:space="0" w:color="auto"/>
        <w:bottom w:val="none" w:sz="0" w:space="0" w:color="auto"/>
        <w:right w:val="none" w:sz="0" w:space="0" w:color="auto"/>
      </w:divBdr>
    </w:div>
    <w:div w:id="1517184419">
      <w:bodyDiv w:val="1"/>
      <w:marLeft w:val="0"/>
      <w:marRight w:val="0"/>
      <w:marTop w:val="0"/>
      <w:marBottom w:val="0"/>
      <w:divBdr>
        <w:top w:val="none" w:sz="0" w:space="0" w:color="auto"/>
        <w:left w:val="none" w:sz="0" w:space="0" w:color="auto"/>
        <w:bottom w:val="none" w:sz="0" w:space="0" w:color="auto"/>
        <w:right w:val="none" w:sz="0" w:space="0" w:color="auto"/>
      </w:divBdr>
    </w:div>
    <w:div w:id="1526015655">
      <w:bodyDiv w:val="1"/>
      <w:marLeft w:val="0"/>
      <w:marRight w:val="0"/>
      <w:marTop w:val="0"/>
      <w:marBottom w:val="0"/>
      <w:divBdr>
        <w:top w:val="none" w:sz="0" w:space="0" w:color="auto"/>
        <w:left w:val="none" w:sz="0" w:space="0" w:color="auto"/>
        <w:bottom w:val="none" w:sz="0" w:space="0" w:color="auto"/>
        <w:right w:val="none" w:sz="0" w:space="0" w:color="auto"/>
      </w:divBdr>
    </w:div>
    <w:div w:id="1528374775">
      <w:bodyDiv w:val="1"/>
      <w:marLeft w:val="0"/>
      <w:marRight w:val="0"/>
      <w:marTop w:val="0"/>
      <w:marBottom w:val="0"/>
      <w:divBdr>
        <w:top w:val="none" w:sz="0" w:space="0" w:color="auto"/>
        <w:left w:val="none" w:sz="0" w:space="0" w:color="auto"/>
        <w:bottom w:val="none" w:sz="0" w:space="0" w:color="auto"/>
        <w:right w:val="none" w:sz="0" w:space="0" w:color="auto"/>
      </w:divBdr>
    </w:div>
    <w:div w:id="1531602201">
      <w:bodyDiv w:val="1"/>
      <w:marLeft w:val="0"/>
      <w:marRight w:val="0"/>
      <w:marTop w:val="0"/>
      <w:marBottom w:val="0"/>
      <w:divBdr>
        <w:top w:val="none" w:sz="0" w:space="0" w:color="auto"/>
        <w:left w:val="none" w:sz="0" w:space="0" w:color="auto"/>
        <w:bottom w:val="none" w:sz="0" w:space="0" w:color="auto"/>
        <w:right w:val="none" w:sz="0" w:space="0" w:color="auto"/>
      </w:divBdr>
    </w:div>
    <w:div w:id="1545288922">
      <w:bodyDiv w:val="1"/>
      <w:marLeft w:val="0"/>
      <w:marRight w:val="0"/>
      <w:marTop w:val="0"/>
      <w:marBottom w:val="0"/>
      <w:divBdr>
        <w:top w:val="none" w:sz="0" w:space="0" w:color="auto"/>
        <w:left w:val="none" w:sz="0" w:space="0" w:color="auto"/>
        <w:bottom w:val="none" w:sz="0" w:space="0" w:color="auto"/>
        <w:right w:val="none" w:sz="0" w:space="0" w:color="auto"/>
      </w:divBdr>
    </w:div>
    <w:div w:id="1630820991">
      <w:bodyDiv w:val="1"/>
      <w:marLeft w:val="0"/>
      <w:marRight w:val="0"/>
      <w:marTop w:val="0"/>
      <w:marBottom w:val="0"/>
      <w:divBdr>
        <w:top w:val="none" w:sz="0" w:space="0" w:color="auto"/>
        <w:left w:val="none" w:sz="0" w:space="0" w:color="auto"/>
        <w:bottom w:val="none" w:sz="0" w:space="0" w:color="auto"/>
        <w:right w:val="none" w:sz="0" w:space="0" w:color="auto"/>
      </w:divBdr>
    </w:div>
    <w:div w:id="1661080215">
      <w:bodyDiv w:val="1"/>
      <w:marLeft w:val="0"/>
      <w:marRight w:val="0"/>
      <w:marTop w:val="0"/>
      <w:marBottom w:val="0"/>
      <w:divBdr>
        <w:top w:val="none" w:sz="0" w:space="0" w:color="auto"/>
        <w:left w:val="none" w:sz="0" w:space="0" w:color="auto"/>
        <w:bottom w:val="none" w:sz="0" w:space="0" w:color="auto"/>
        <w:right w:val="none" w:sz="0" w:space="0" w:color="auto"/>
      </w:divBdr>
    </w:div>
    <w:div w:id="1664310022">
      <w:bodyDiv w:val="1"/>
      <w:marLeft w:val="0"/>
      <w:marRight w:val="0"/>
      <w:marTop w:val="0"/>
      <w:marBottom w:val="0"/>
      <w:divBdr>
        <w:top w:val="none" w:sz="0" w:space="0" w:color="auto"/>
        <w:left w:val="none" w:sz="0" w:space="0" w:color="auto"/>
        <w:bottom w:val="none" w:sz="0" w:space="0" w:color="auto"/>
        <w:right w:val="none" w:sz="0" w:space="0" w:color="auto"/>
      </w:divBdr>
    </w:div>
    <w:div w:id="1666475337">
      <w:bodyDiv w:val="1"/>
      <w:marLeft w:val="0"/>
      <w:marRight w:val="0"/>
      <w:marTop w:val="0"/>
      <w:marBottom w:val="0"/>
      <w:divBdr>
        <w:top w:val="none" w:sz="0" w:space="0" w:color="auto"/>
        <w:left w:val="none" w:sz="0" w:space="0" w:color="auto"/>
        <w:bottom w:val="none" w:sz="0" w:space="0" w:color="auto"/>
        <w:right w:val="none" w:sz="0" w:space="0" w:color="auto"/>
      </w:divBdr>
    </w:div>
    <w:div w:id="1678727517">
      <w:bodyDiv w:val="1"/>
      <w:marLeft w:val="0"/>
      <w:marRight w:val="0"/>
      <w:marTop w:val="0"/>
      <w:marBottom w:val="0"/>
      <w:divBdr>
        <w:top w:val="none" w:sz="0" w:space="0" w:color="auto"/>
        <w:left w:val="none" w:sz="0" w:space="0" w:color="auto"/>
        <w:bottom w:val="none" w:sz="0" w:space="0" w:color="auto"/>
        <w:right w:val="none" w:sz="0" w:space="0" w:color="auto"/>
      </w:divBdr>
    </w:div>
    <w:div w:id="1681270336">
      <w:bodyDiv w:val="1"/>
      <w:marLeft w:val="0"/>
      <w:marRight w:val="0"/>
      <w:marTop w:val="0"/>
      <w:marBottom w:val="0"/>
      <w:divBdr>
        <w:top w:val="none" w:sz="0" w:space="0" w:color="auto"/>
        <w:left w:val="none" w:sz="0" w:space="0" w:color="auto"/>
        <w:bottom w:val="none" w:sz="0" w:space="0" w:color="auto"/>
        <w:right w:val="none" w:sz="0" w:space="0" w:color="auto"/>
      </w:divBdr>
    </w:div>
    <w:div w:id="1682731979">
      <w:bodyDiv w:val="1"/>
      <w:marLeft w:val="0"/>
      <w:marRight w:val="0"/>
      <w:marTop w:val="0"/>
      <w:marBottom w:val="0"/>
      <w:divBdr>
        <w:top w:val="none" w:sz="0" w:space="0" w:color="auto"/>
        <w:left w:val="none" w:sz="0" w:space="0" w:color="auto"/>
        <w:bottom w:val="none" w:sz="0" w:space="0" w:color="auto"/>
        <w:right w:val="none" w:sz="0" w:space="0" w:color="auto"/>
      </w:divBdr>
    </w:div>
    <w:div w:id="1731147111">
      <w:bodyDiv w:val="1"/>
      <w:marLeft w:val="0"/>
      <w:marRight w:val="0"/>
      <w:marTop w:val="0"/>
      <w:marBottom w:val="0"/>
      <w:divBdr>
        <w:top w:val="none" w:sz="0" w:space="0" w:color="auto"/>
        <w:left w:val="none" w:sz="0" w:space="0" w:color="auto"/>
        <w:bottom w:val="none" w:sz="0" w:space="0" w:color="auto"/>
        <w:right w:val="none" w:sz="0" w:space="0" w:color="auto"/>
      </w:divBdr>
    </w:div>
    <w:div w:id="1733767424">
      <w:bodyDiv w:val="1"/>
      <w:marLeft w:val="0"/>
      <w:marRight w:val="0"/>
      <w:marTop w:val="0"/>
      <w:marBottom w:val="0"/>
      <w:divBdr>
        <w:top w:val="none" w:sz="0" w:space="0" w:color="auto"/>
        <w:left w:val="none" w:sz="0" w:space="0" w:color="auto"/>
        <w:bottom w:val="none" w:sz="0" w:space="0" w:color="auto"/>
        <w:right w:val="none" w:sz="0" w:space="0" w:color="auto"/>
      </w:divBdr>
    </w:div>
    <w:div w:id="1752390988">
      <w:bodyDiv w:val="1"/>
      <w:marLeft w:val="0"/>
      <w:marRight w:val="0"/>
      <w:marTop w:val="0"/>
      <w:marBottom w:val="0"/>
      <w:divBdr>
        <w:top w:val="none" w:sz="0" w:space="0" w:color="auto"/>
        <w:left w:val="none" w:sz="0" w:space="0" w:color="auto"/>
        <w:bottom w:val="none" w:sz="0" w:space="0" w:color="auto"/>
        <w:right w:val="none" w:sz="0" w:space="0" w:color="auto"/>
      </w:divBdr>
    </w:div>
    <w:div w:id="1792556304">
      <w:bodyDiv w:val="1"/>
      <w:marLeft w:val="0"/>
      <w:marRight w:val="0"/>
      <w:marTop w:val="0"/>
      <w:marBottom w:val="0"/>
      <w:divBdr>
        <w:top w:val="none" w:sz="0" w:space="0" w:color="auto"/>
        <w:left w:val="none" w:sz="0" w:space="0" w:color="auto"/>
        <w:bottom w:val="none" w:sz="0" w:space="0" w:color="auto"/>
        <w:right w:val="none" w:sz="0" w:space="0" w:color="auto"/>
      </w:divBdr>
    </w:div>
    <w:div w:id="1821263356">
      <w:bodyDiv w:val="1"/>
      <w:marLeft w:val="0"/>
      <w:marRight w:val="0"/>
      <w:marTop w:val="0"/>
      <w:marBottom w:val="0"/>
      <w:divBdr>
        <w:top w:val="none" w:sz="0" w:space="0" w:color="auto"/>
        <w:left w:val="none" w:sz="0" w:space="0" w:color="auto"/>
        <w:bottom w:val="none" w:sz="0" w:space="0" w:color="auto"/>
        <w:right w:val="none" w:sz="0" w:space="0" w:color="auto"/>
      </w:divBdr>
    </w:div>
    <w:div w:id="1834907781">
      <w:bodyDiv w:val="1"/>
      <w:marLeft w:val="0"/>
      <w:marRight w:val="0"/>
      <w:marTop w:val="0"/>
      <w:marBottom w:val="0"/>
      <w:divBdr>
        <w:top w:val="none" w:sz="0" w:space="0" w:color="auto"/>
        <w:left w:val="none" w:sz="0" w:space="0" w:color="auto"/>
        <w:bottom w:val="none" w:sz="0" w:space="0" w:color="auto"/>
        <w:right w:val="none" w:sz="0" w:space="0" w:color="auto"/>
      </w:divBdr>
    </w:div>
    <w:div w:id="1856966335">
      <w:bodyDiv w:val="1"/>
      <w:marLeft w:val="0"/>
      <w:marRight w:val="0"/>
      <w:marTop w:val="0"/>
      <w:marBottom w:val="0"/>
      <w:divBdr>
        <w:top w:val="none" w:sz="0" w:space="0" w:color="auto"/>
        <w:left w:val="none" w:sz="0" w:space="0" w:color="auto"/>
        <w:bottom w:val="none" w:sz="0" w:space="0" w:color="auto"/>
        <w:right w:val="none" w:sz="0" w:space="0" w:color="auto"/>
      </w:divBdr>
    </w:div>
    <w:div w:id="1945184233">
      <w:bodyDiv w:val="1"/>
      <w:marLeft w:val="0"/>
      <w:marRight w:val="0"/>
      <w:marTop w:val="0"/>
      <w:marBottom w:val="0"/>
      <w:divBdr>
        <w:top w:val="none" w:sz="0" w:space="0" w:color="auto"/>
        <w:left w:val="none" w:sz="0" w:space="0" w:color="auto"/>
        <w:bottom w:val="none" w:sz="0" w:space="0" w:color="auto"/>
        <w:right w:val="none" w:sz="0" w:space="0" w:color="auto"/>
      </w:divBdr>
    </w:div>
    <w:div w:id="1969313900">
      <w:bodyDiv w:val="1"/>
      <w:marLeft w:val="0"/>
      <w:marRight w:val="0"/>
      <w:marTop w:val="0"/>
      <w:marBottom w:val="0"/>
      <w:divBdr>
        <w:top w:val="none" w:sz="0" w:space="0" w:color="auto"/>
        <w:left w:val="none" w:sz="0" w:space="0" w:color="auto"/>
        <w:bottom w:val="none" w:sz="0" w:space="0" w:color="auto"/>
        <w:right w:val="none" w:sz="0" w:space="0" w:color="auto"/>
      </w:divBdr>
    </w:div>
    <w:div w:id="1979332290">
      <w:bodyDiv w:val="1"/>
      <w:marLeft w:val="0"/>
      <w:marRight w:val="0"/>
      <w:marTop w:val="0"/>
      <w:marBottom w:val="0"/>
      <w:divBdr>
        <w:top w:val="none" w:sz="0" w:space="0" w:color="auto"/>
        <w:left w:val="none" w:sz="0" w:space="0" w:color="auto"/>
        <w:bottom w:val="none" w:sz="0" w:space="0" w:color="auto"/>
        <w:right w:val="none" w:sz="0" w:space="0" w:color="auto"/>
      </w:divBdr>
    </w:div>
    <w:div w:id="1986467572">
      <w:bodyDiv w:val="1"/>
      <w:marLeft w:val="0"/>
      <w:marRight w:val="0"/>
      <w:marTop w:val="0"/>
      <w:marBottom w:val="0"/>
      <w:divBdr>
        <w:top w:val="none" w:sz="0" w:space="0" w:color="auto"/>
        <w:left w:val="none" w:sz="0" w:space="0" w:color="auto"/>
        <w:bottom w:val="none" w:sz="0" w:space="0" w:color="auto"/>
        <w:right w:val="none" w:sz="0" w:space="0" w:color="auto"/>
      </w:divBdr>
    </w:div>
    <w:div w:id="2057657194">
      <w:bodyDiv w:val="1"/>
      <w:marLeft w:val="0"/>
      <w:marRight w:val="0"/>
      <w:marTop w:val="0"/>
      <w:marBottom w:val="0"/>
      <w:divBdr>
        <w:top w:val="none" w:sz="0" w:space="0" w:color="auto"/>
        <w:left w:val="none" w:sz="0" w:space="0" w:color="auto"/>
        <w:bottom w:val="none" w:sz="0" w:space="0" w:color="auto"/>
        <w:right w:val="none" w:sz="0" w:space="0" w:color="auto"/>
      </w:divBdr>
    </w:div>
    <w:div w:id="2073195796">
      <w:bodyDiv w:val="1"/>
      <w:marLeft w:val="0"/>
      <w:marRight w:val="0"/>
      <w:marTop w:val="0"/>
      <w:marBottom w:val="0"/>
      <w:divBdr>
        <w:top w:val="none" w:sz="0" w:space="0" w:color="auto"/>
        <w:left w:val="none" w:sz="0" w:space="0" w:color="auto"/>
        <w:bottom w:val="none" w:sz="0" w:space="0" w:color="auto"/>
        <w:right w:val="none" w:sz="0" w:space="0" w:color="auto"/>
      </w:divBdr>
    </w:div>
    <w:div w:id="21121208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hevc.kw.bbc.co.uk/trac/browser/tags/HM-4.0" TargetMode="External"/><Relationship Id="rId4" Type="http://schemas.openxmlformats.org/officeDocument/2006/relationships/settings" Target="settings.xml"/><Relationship Id="rId9"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mtk30151\My%20Documents\My_MediaTek\U_jctvc_contribution\jctvc-gxxx-rectintra\JCTVC-Gxxx.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8D37DF-FEFC-44D3-B1C2-A081EF2571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JCTVC-Gxxx.dotx</Template>
  <TotalTime>308</TotalTime>
  <Pages>3</Pages>
  <Words>886</Words>
  <Characters>5052</Characters>
  <Application>Microsoft Office Word</Application>
  <DocSecurity>0</DocSecurity>
  <Lines>42</Lines>
  <Paragraphs>11</Paragraphs>
  <ScaleCrop>false</ScaleCrop>
  <HeadingPairs>
    <vt:vector size="6" baseType="variant">
      <vt:variant>
        <vt:lpstr>Title</vt:lpstr>
      </vt:variant>
      <vt:variant>
        <vt:i4>1</vt:i4>
      </vt:variant>
      <vt:variant>
        <vt:lpstr>제목</vt:lpstr>
      </vt:variant>
      <vt:variant>
        <vt:i4>1</vt:i4>
      </vt:variant>
      <vt:variant>
        <vt:lpstr>Titel</vt:lpstr>
      </vt:variant>
      <vt:variant>
        <vt:i4>1</vt:i4>
      </vt:variant>
    </vt:vector>
  </HeadingPairs>
  <TitlesOfParts>
    <vt:vector size="3" baseType="lpstr">
      <vt:lpstr>Joint Collaborative Team on Video Coding (JCT-VC) Contribution</vt:lpstr>
      <vt:lpstr>Joint Collaborative Team on Video Coding (JCT-VC) Contribution</vt:lpstr>
      <vt:lpstr>Joint Collaborative Team on Video Coding (JCT-VC) Contribution</vt:lpstr>
    </vt:vector>
  </TitlesOfParts>
  <Company>JCT-VC</Company>
  <LinksUpToDate>false</LinksUpToDate>
  <CharactersWithSpaces>5927</CharactersWithSpaces>
  <SharedDoc>false</SharedDoc>
  <HLinks>
    <vt:vector size="6" baseType="variant">
      <vt:variant>
        <vt:i4>4653131</vt:i4>
      </vt:variant>
      <vt:variant>
        <vt:i4>0</vt:i4>
      </vt:variant>
      <vt:variant>
        <vt:i4>0</vt:i4>
      </vt:variant>
      <vt:variant>
        <vt:i4>5</vt:i4>
      </vt:variant>
      <vt:variant>
        <vt:lpwstr>http://hevc.kw.bbc.co.uk/trac/browser/tags/HM-4.0</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subject/>
  <dc:creator>Lenovo User</dc:creator>
  <cp:keywords>JCT-VC, MPEG, VCEG</cp:keywords>
  <cp:lastModifiedBy>mtk30169</cp:lastModifiedBy>
  <cp:revision>96</cp:revision>
  <cp:lastPrinted>2011-10-25T23:11:00Z</cp:lastPrinted>
  <dcterms:created xsi:type="dcterms:W3CDTF">2011-10-25T23:12:00Z</dcterms:created>
  <dcterms:modified xsi:type="dcterms:W3CDTF">2011-11-04T21:46:00Z</dcterms:modified>
</cp:coreProperties>
</file>