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AF79DC"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251658752">
                  <v:imagedata r:id="rId8" o:title=""/>
                </v:shape>
              </w:pict>
            </w:r>
            <w:r>
              <w:rPr>
                <w:b/>
                <w:noProof/>
                <w:szCs w:val="22"/>
              </w:rPr>
              <w:pict>
                <v:shape id="_x0000_s1050" type="#_x0000_t75" style="position:absolute;margin-left:21.15pt;margin-top:-25.1pt;width:23.2pt;height:21.05pt;z-index:251657728">
                  <v:imagedata r:id="rId9" o:title=""/>
                </v:shape>
              </w:pict>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7956FF" w:rsidP="007956FF">
            <w:pPr>
              <w:tabs>
                <w:tab w:val="left" w:pos="7200"/>
              </w:tabs>
              <w:spacing w:before="0"/>
              <w:rPr>
                <w:b/>
                <w:szCs w:val="22"/>
              </w:rPr>
            </w:pPr>
            <w:r>
              <w:rPr>
                <w:szCs w:val="22"/>
              </w:rPr>
              <w:t>6</w:t>
            </w:r>
            <w:r w:rsidR="00630AA2">
              <w:rPr>
                <w:szCs w:val="22"/>
              </w:rPr>
              <w:t>th</w:t>
            </w:r>
            <w:r w:rsidR="00E61DAC" w:rsidRPr="00AE341B">
              <w:rPr>
                <w:szCs w:val="22"/>
              </w:rPr>
              <w:t xml:space="preserve"> Meeting: </w:t>
            </w:r>
            <w:r>
              <w:t>Torino</w:t>
            </w:r>
            <w:r w:rsidR="003F5D0F" w:rsidRPr="00AE341B">
              <w:rPr>
                <w:szCs w:val="22"/>
              </w:rPr>
              <w:t xml:space="preserve">, </w:t>
            </w:r>
            <w:r>
              <w:rPr>
                <w:szCs w:val="22"/>
              </w:rPr>
              <w:t>14</w:t>
            </w:r>
            <w:r w:rsidR="00171371" w:rsidRPr="00AE341B">
              <w:rPr>
                <w:szCs w:val="22"/>
              </w:rPr>
              <w:t>-</w:t>
            </w:r>
            <w:r w:rsidR="00630AA2">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9E53BA">
            <w:pPr>
              <w:tabs>
                <w:tab w:val="left" w:pos="7200"/>
              </w:tabs>
              <w:rPr>
                <w:u w:val="single"/>
              </w:rPr>
            </w:pPr>
            <w:r w:rsidRPr="00AE341B">
              <w:t>Document</w:t>
            </w:r>
            <w:r w:rsidR="006C5D39" w:rsidRPr="00AE341B">
              <w:t>: JC</w:t>
            </w:r>
            <w:r w:rsidRPr="00AE341B">
              <w:t>T</w:t>
            </w:r>
            <w:r w:rsidR="006C5D39" w:rsidRPr="00AE341B">
              <w:t>VC</w:t>
            </w:r>
            <w:r w:rsidRPr="00AE341B">
              <w:t>-</w:t>
            </w:r>
            <w:r w:rsidR="009E53BA" w:rsidRPr="009E53BA">
              <w:t>F620</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9E53BA">
            <w:pPr>
              <w:spacing w:before="60" w:after="60"/>
              <w:rPr>
                <w:b/>
                <w:szCs w:val="22"/>
              </w:rPr>
            </w:pPr>
            <w:r>
              <w:t>Crosscheck of JCTVC-F319 Toshiba Adaptive Scaling with Offset RFC</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9E53BA">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9E53BA">
            <w:pPr>
              <w:spacing w:before="60" w:after="60"/>
              <w:rPr>
                <w:szCs w:val="22"/>
              </w:rPr>
            </w:pPr>
            <w:r w:rsidRPr="00AE341B">
              <w:rPr>
                <w:szCs w:val="22"/>
              </w:rPr>
              <w:t>Information</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Pr="00AE341B" w:rsidRDefault="009E53BA" w:rsidP="009E53BA">
            <w:pPr>
              <w:spacing w:before="60" w:after="60"/>
              <w:rPr>
                <w:szCs w:val="22"/>
              </w:rPr>
            </w:pPr>
            <w:r>
              <w:rPr>
                <w:szCs w:val="22"/>
              </w:rPr>
              <w:t>Dzung Hoang</w:t>
            </w:r>
            <w:r w:rsidR="00E61DAC" w:rsidRPr="00AE341B">
              <w:rPr>
                <w:szCs w:val="22"/>
              </w:rPr>
              <w:br/>
            </w:r>
            <w:r w:rsidR="00E61DAC" w:rsidRPr="00AE341B">
              <w:rPr>
                <w:szCs w:val="22"/>
              </w:rPr>
              <w:br/>
            </w:r>
            <w:r w:rsidR="00E61DAC" w:rsidRPr="00AE341B">
              <w:rPr>
                <w:szCs w:val="22"/>
              </w:rPr>
              <w:br/>
            </w: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E61DAC" w:rsidRPr="00AE341B" w:rsidRDefault="00E61DAC">
            <w:pPr>
              <w:spacing w:before="60" w:after="60"/>
              <w:rPr>
                <w:szCs w:val="22"/>
              </w:rPr>
            </w:pPr>
            <w:r w:rsidRPr="00AE341B">
              <w:rPr>
                <w:szCs w:val="22"/>
              </w:rPr>
              <w:br/>
            </w:r>
            <w:r w:rsidR="009E53BA">
              <w:rPr>
                <w:szCs w:val="22"/>
              </w:rPr>
              <w:t>+1-408-532-5694</w:t>
            </w:r>
            <w:r w:rsidRPr="00AE341B">
              <w:rPr>
                <w:szCs w:val="22"/>
              </w:rPr>
              <w:br/>
            </w:r>
            <w:r w:rsidR="009E53BA">
              <w:rPr>
                <w:szCs w:val="22"/>
              </w:rPr>
              <w:t>dzung.hoang@zenverge.com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9E53BA">
            <w:pPr>
              <w:spacing w:before="60" w:after="60"/>
              <w:rPr>
                <w:szCs w:val="22"/>
              </w:rPr>
            </w:pPr>
            <w:r>
              <w:rPr>
                <w:szCs w:val="22"/>
              </w:rPr>
              <w:t>Zenverge</w:t>
            </w:r>
            <w:r w:rsidR="00FA17FA">
              <w:rPr>
                <w:szCs w:val="22"/>
              </w:rPr>
              <w:t>,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212DF" w:rsidRPr="00AE341B" w:rsidRDefault="00405022" w:rsidP="009234A5">
      <w:pPr>
        <w:jc w:val="both"/>
        <w:rPr>
          <w:szCs w:val="22"/>
        </w:rPr>
      </w:pPr>
      <w:r>
        <w:t xml:space="preserve">This document reviews </w:t>
      </w:r>
      <w:r w:rsidR="00FA17FA">
        <w:t xml:space="preserve">Toshiba’s JCTVC-F319 proposal for Adaptive Scaling with Offset </w:t>
      </w:r>
      <w:r w:rsidR="007963CF">
        <w:t xml:space="preserve">(TASO) </w:t>
      </w:r>
      <w:r w:rsidR="00FA17FA">
        <w:t>for compressing reference frame buffers.</w:t>
      </w:r>
      <w:r w:rsidR="007963CF">
        <w:t xml:space="preserve"> Several discrepancies between Toshiba’s software and the text document</w:t>
      </w:r>
      <w:r w:rsidR="005F71F3">
        <w:t xml:space="preserve"> are identified</w:t>
      </w:r>
      <w:r w:rsidR="007963CF">
        <w:t xml:space="preserve">. Toshiba’s BD-rate results </w:t>
      </w:r>
      <w:r w:rsidR="005F71F3">
        <w:t xml:space="preserve">for </w:t>
      </w:r>
      <w:r w:rsidR="007963CF">
        <w:t>comparison between HM 3.0 and TASO</w:t>
      </w:r>
      <w:r w:rsidR="005F71F3">
        <w:t xml:space="preserve"> are confirmed</w:t>
      </w:r>
      <w:r w:rsidR="007963CF">
        <w:t xml:space="preserve">. However, differences </w:t>
      </w:r>
      <w:r w:rsidR="005F71F3">
        <w:t xml:space="preserve">are found </w:t>
      </w:r>
      <w:r w:rsidR="007963CF">
        <w:t xml:space="preserve">with the comparison between HM 3.0 and HM 3.0 without IBDI. These differences are likely due to how HM </w:t>
      </w:r>
      <w:r w:rsidR="005F71F3">
        <w:t xml:space="preserve">is configured </w:t>
      </w:r>
      <w:r w:rsidR="007963CF">
        <w:t>to operate without IBDI.</w:t>
      </w:r>
    </w:p>
    <w:p w:rsidR="00745F6B" w:rsidRPr="00AE341B" w:rsidRDefault="00745F6B" w:rsidP="00E11923">
      <w:pPr>
        <w:pStyle w:val="Heading1"/>
      </w:pPr>
      <w:r w:rsidRPr="00AE341B">
        <w:t>Introduction</w:t>
      </w:r>
    </w:p>
    <w:p w:rsidR="00E61DAC" w:rsidRDefault="00405022" w:rsidP="009234A5">
      <w:pPr>
        <w:jc w:val="both"/>
        <w:rPr>
          <w:szCs w:val="22"/>
        </w:rPr>
      </w:pPr>
      <w:r>
        <w:rPr>
          <w:szCs w:val="22"/>
        </w:rPr>
        <w:t xml:space="preserve">In JCTVC-F319 </w:t>
      </w:r>
      <w:r w:rsidR="00AF79DC">
        <w:rPr>
          <w:szCs w:val="22"/>
        </w:rPr>
        <w:fldChar w:fldCharType="begin"/>
      </w:r>
      <w:r>
        <w:rPr>
          <w:szCs w:val="22"/>
        </w:rPr>
        <w:instrText xml:space="preserve"> REF _Ref297628759 \r \h </w:instrText>
      </w:r>
      <w:r w:rsidR="00AF79DC">
        <w:rPr>
          <w:szCs w:val="22"/>
        </w:rPr>
      </w:r>
      <w:r w:rsidR="00AF79DC">
        <w:rPr>
          <w:szCs w:val="22"/>
        </w:rPr>
        <w:fldChar w:fldCharType="separate"/>
      </w:r>
      <w:r w:rsidR="00697F35">
        <w:rPr>
          <w:szCs w:val="22"/>
        </w:rPr>
        <w:t>[1]</w:t>
      </w:r>
      <w:r w:rsidR="00AF79DC">
        <w:rPr>
          <w:szCs w:val="22"/>
        </w:rPr>
        <w:fldChar w:fldCharType="end"/>
      </w:r>
      <w:r>
        <w:rPr>
          <w:szCs w:val="22"/>
        </w:rPr>
        <w:t>, Toshiba propose</w:t>
      </w:r>
      <w:r w:rsidR="009D47F5">
        <w:rPr>
          <w:szCs w:val="22"/>
        </w:rPr>
        <w:t>s</w:t>
      </w:r>
      <w:r>
        <w:rPr>
          <w:szCs w:val="22"/>
        </w:rPr>
        <w:t xml:space="preserve"> a reference frame compression </w:t>
      </w:r>
      <w:r w:rsidR="00697F35">
        <w:rPr>
          <w:szCs w:val="22"/>
        </w:rPr>
        <w:t xml:space="preserve">(RFC) </w:t>
      </w:r>
      <w:r>
        <w:rPr>
          <w:szCs w:val="22"/>
        </w:rPr>
        <w:t xml:space="preserve">scheme for N-to-8 compression. The proposed scheme is a combination of adaptive scaling proposed in </w:t>
      </w:r>
      <w:r w:rsidR="00AF79DC">
        <w:rPr>
          <w:szCs w:val="22"/>
        </w:rPr>
        <w:fldChar w:fldCharType="begin"/>
      </w:r>
      <w:r w:rsidR="00697F35">
        <w:rPr>
          <w:szCs w:val="22"/>
        </w:rPr>
        <w:instrText xml:space="preserve"> REF _Ref297658177 \r \h </w:instrText>
      </w:r>
      <w:r w:rsidR="00AF79DC">
        <w:rPr>
          <w:szCs w:val="22"/>
        </w:rPr>
      </w:r>
      <w:r w:rsidR="00AF79DC">
        <w:rPr>
          <w:szCs w:val="22"/>
        </w:rPr>
        <w:fldChar w:fldCharType="separate"/>
      </w:r>
      <w:r w:rsidR="00697F35">
        <w:rPr>
          <w:szCs w:val="22"/>
        </w:rPr>
        <w:t>[2]</w:t>
      </w:r>
      <w:r w:rsidR="00AF79DC">
        <w:rPr>
          <w:szCs w:val="22"/>
        </w:rPr>
        <w:fldChar w:fldCharType="end"/>
      </w:r>
      <w:r>
        <w:rPr>
          <w:szCs w:val="22"/>
        </w:rPr>
        <w:t xml:space="preserve"> and adaptive offset proposed in </w:t>
      </w:r>
      <w:r w:rsidR="00AF79DC">
        <w:rPr>
          <w:szCs w:val="22"/>
        </w:rPr>
        <w:fldChar w:fldCharType="begin"/>
      </w:r>
      <w:r w:rsidR="00697F35">
        <w:rPr>
          <w:szCs w:val="22"/>
        </w:rPr>
        <w:instrText xml:space="preserve"> REF _Ref297113844 \r \h </w:instrText>
      </w:r>
      <w:r w:rsidR="00AF79DC">
        <w:rPr>
          <w:szCs w:val="22"/>
        </w:rPr>
      </w:r>
      <w:r w:rsidR="00AF79DC">
        <w:rPr>
          <w:szCs w:val="22"/>
        </w:rPr>
        <w:fldChar w:fldCharType="separate"/>
      </w:r>
      <w:r w:rsidR="00697F35">
        <w:rPr>
          <w:szCs w:val="22"/>
        </w:rPr>
        <w:t>[3]</w:t>
      </w:r>
      <w:r w:rsidR="00AF79DC">
        <w:rPr>
          <w:szCs w:val="22"/>
        </w:rPr>
        <w:fldChar w:fldCharType="end"/>
      </w:r>
      <w:r>
        <w:rPr>
          <w:szCs w:val="22"/>
        </w:rPr>
        <w:t>.</w:t>
      </w:r>
    </w:p>
    <w:p w:rsidR="00697F35" w:rsidRDefault="00697F35" w:rsidP="00697F35">
      <w:pPr>
        <w:pStyle w:val="Heading1"/>
      </w:pPr>
      <w:r>
        <w:t>Analysis of Algorithm</w:t>
      </w:r>
    </w:p>
    <w:p w:rsidR="00697F35" w:rsidRDefault="00697F35" w:rsidP="009234A5">
      <w:pPr>
        <w:jc w:val="both"/>
        <w:rPr>
          <w:szCs w:val="22"/>
        </w:rPr>
      </w:pPr>
      <w:r>
        <w:rPr>
          <w:szCs w:val="22"/>
        </w:rPr>
        <w:t>We refer to Toshiba’s algorithm as Toshiba Adaptive Scaling with Offset (TASO).</w:t>
      </w:r>
      <w:r w:rsidR="004B2826">
        <w:rPr>
          <w:szCs w:val="22"/>
        </w:rPr>
        <w:t xml:space="preserve"> TASO operates upon 4×4 blocks of each </w:t>
      </w:r>
      <w:proofErr w:type="spellStart"/>
      <w:r w:rsidR="004B2826">
        <w:rPr>
          <w:szCs w:val="22"/>
        </w:rPr>
        <w:t>YCrCb</w:t>
      </w:r>
      <w:proofErr w:type="spellEnd"/>
      <w:r w:rsidR="004B2826">
        <w:rPr>
          <w:szCs w:val="22"/>
        </w:rPr>
        <w:t xml:space="preserve"> channel separately. Based upon the difference between the maximum pixel and minimum pixel values within a block, TASO determines a scaling factor S so that the residual after prediction by the minimum pix</w:t>
      </w:r>
      <w:r w:rsidR="006D3446">
        <w:rPr>
          <w:szCs w:val="22"/>
        </w:rPr>
        <w:t xml:space="preserve">el can be represented in 7 bits in a process that we refer to as adaptive scaling. </w:t>
      </w:r>
      <w:r w:rsidR="008C67AB">
        <w:rPr>
          <w:szCs w:val="22"/>
        </w:rPr>
        <w:t xml:space="preserve">With adaptive scaling, the minimum pixel value is quantized by S and then used to predict each pixel in the block. The residual is then coded using 7 bits. </w:t>
      </w:r>
      <w:r w:rsidR="00872E7A">
        <w:rPr>
          <w:szCs w:val="22"/>
        </w:rPr>
        <w:t xml:space="preserve">If the scaling factor S is above a threshold, </w:t>
      </w:r>
      <w:r w:rsidR="009D47F5">
        <w:rPr>
          <w:szCs w:val="22"/>
        </w:rPr>
        <w:t>fixed</w:t>
      </w:r>
      <w:r w:rsidR="006D3446">
        <w:rPr>
          <w:szCs w:val="22"/>
        </w:rPr>
        <w:t xml:space="preserve"> </w:t>
      </w:r>
      <w:r w:rsidR="009D47F5">
        <w:rPr>
          <w:szCs w:val="22"/>
        </w:rPr>
        <w:t>rounding to 8 bits is used instead.</w:t>
      </w:r>
      <w:r w:rsidR="00872E7A">
        <w:rPr>
          <w:szCs w:val="22"/>
        </w:rPr>
        <w:t xml:space="preserve"> When adaptive scaling is enabled, an offset value is computed from the sum of the quantization errors. This offset value is </w:t>
      </w:r>
      <w:r w:rsidR="008C67AB">
        <w:rPr>
          <w:szCs w:val="22"/>
        </w:rPr>
        <w:t>added to the reconstructed pixel after prediction and inverse quantization.</w:t>
      </w:r>
    </w:p>
    <w:p w:rsidR="00697F35" w:rsidRDefault="00697F35" w:rsidP="009234A5">
      <w:pPr>
        <w:jc w:val="both"/>
        <w:rPr>
          <w:szCs w:val="22"/>
        </w:rPr>
      </w:pPr>
      <w:r>
        <w:rPr>
          <w:szCs w:val="22"/>
        </w:rPr>
        <w:t>Toshiba advocates specifying the RFC algorithm from the point of view of an in-loop filter in that they specify only how each output block is computed based on the input block.</w:t>
      </w:r>
      <w:r w:rsidR="009D47F5">
        <w:rPr>
          <w:szCs w:val="22"/>
        </w:rPr>
        <w:t xml:space="preserve"> There is no attempt to define a storage format to show that the compressed block can be stored in 128 bits. This is a serious weakness in their approach in that there is no proof of a minimum compression ratio. If TASO is to be generalized to N-to-8 compression, such a proof of minimum compression ratio would be highly desirable for all the values of N to be supported. </w:t>
      </w:r>
      <w:r w:rsidR="00872E7A">
        <w:rPr>
          <w:szCs w:val="22"/>
        </w:rPr>
        <w:t xml:space="preserve">Furthermore, </w:t>
      </w:r>
      <w:r w:rsidR="009D47F5">
        <w:rPr>
          <w:szCs w:val="22"/>
        </w:rPr>
        <w:t>Toshiba does not specify what values of internal bit depth (N) are supported.</w:t>
      </w:r>
    </w:p>
    <w:p w:rsidR="006D3446" w:rsidRDefault="006D3446" w:rsidP="009234A5">
      <w:pPr>
        <w:jc w:val="both"/>
        <w:rPr>
          <w:szCs w:val="22"/>
        </w:rPr>
      </w:pPr>
      <w:r>
        <w:rPr>
          <w:szCs w:val="22"/>
        </w:rPr>
        <w:t xml:space="preserve">In a past contribution </w:t>
      </w:r>
      <w:r w:rsidR="00AF79DC">
        <w:rPr>
          <w:szCs w:val="22"/>
        </w:rPr>
        <w:fldChar w:fldCharType="begin"/>
      </w:r>
      <w:r>
        <w:rPr>
          <w:szCs w:val="22"/>
        </w:rPr>
        <w:instrText xml:space="preserve"> REF _Ref297658177 \r \h </w:instrText>
      </w:r>
      <w:r w:rsidR="00AF79DC">
        <w:rPr>
          <w:szCs w:val="22"/>
        </w:rPr>
      </w:r>
      <w:r w:rsidR="00AF79DC">
        <w:rPr>
          <w:szCs w:val="22"/>
        </w:rPr>
        <w:fldChar w:fldCharType="separate"/>
      </w:r>
      <w:r>
        <w:rPr>
          <w:szCs w:val="22"/>
        </w:rPr>
        <w:t>[2]</w:t>
      </w:r>
      <w:r w:rsidR="00AF79DC">
        <w:rPr>
          <w:szCs w:val="22"/>
        </w:rPr>
        <w:fldChar w:fldCharType="end"/>
      </w:r>
      <w:r>
        <w:rPr>
          <w:szCs w:val="22"/>
        </w:rPr>
        <w:t xml:space="preserve">, Toshiba did describe a storage format for the case of 10-to-8 compression. </w:t>
      </w:r>
      <w:r w:rsidR="00DD034F">
        <w:rPr>
          <w:szCs w:val="22"/>
        </w:rPr>
        <w:t>Therefore</w:t>
      </w:r>
      <w:r w:rsidR="00872E7A">
        <w:rPr>
          <w:szCs w:val="22"/>
        </w:rPr>
        <w:t xml:space="preserve"> </w:t>
      </w:r>
      <w:r w:rsidR="00DD034F">
        <w:rPr>
          <w:szCs w:val="22"/>
        </w:rPr>
        <w:t xml:space="preserve">using </w:t>
      </w:r>
      <w:r w:rsidR="00AF79DC">
        <w:rPr>
          <w:szCs w:val="22"/>
        </w:rPr>
        <w:fldChar w:fldCharType="begin"/>
      </w:r>
      <w:r w:rsidR="00DD034F">
        <w:rPr>
          <w:szCs w:val="22"/>
        </w:rPr>
        <w:instrText xml:space="preserve"> REF _Ref297658177 \r \h </w:instrText>
      </w:r>
      <w:r w:rsidR="00AF79DC">
        <w:rPr>
          <w:szCs w:val="22"/>
        </w:rPr>
      </w:r>
      <w:r w:rsidR="00AF79DC">
        <w:rPr>
          <w:szCs w:val="22"/>
        </w:rPr>
        <w:fldChar w:fldCharType="separate"/>
      </w:r>
      <w:r w:rsidR="00DD034F">
        <w:rPr>
          <w:szCs w:val="22"/>
        </w:rPr>
        <w:t>[2]</w:t>
      </w:r>
      <w:r w:rsidR="00AF79DC">
        <w:rPr>
          <w:szCs w:val="22"/>
        </w:rPr>
        <w:fldChar w:fldCharType="end"/>
      </w:r>
      <w:r w:rsidR="00DD034F">
        <w:rPr>
          <w:szCs w:val="22"/>
        </w:rPr>
        <w:t xml:space="preserve"> and </w:t>
      </w:r>
      <w:r w:rsidR="00AF79DC">
        <w:rPr>
          <w:szCs w:val="22"/>
        </w:rPr>
        <w:fldChar w:fldCharType="begin"/>
      </w:r>
      <w:r w:rsidR="00DD034F">
        <w:rPr>
          <w:szCs w:val="22"/>
        </w:rPr>
        <w:instrText xml:space="preserve"> REF _Ref297113844 \r \h </w:instrText>
      </w:r>
      <w:r w:rsidR="00AF79DC">
        <w:rPr>
          <w:szCs w:val="22"/>
        </w:rPr>
      </w:r>
      <w:r w:rsidR="00AF79DC">
        <w:rPr>
          <w:szCs w:val="22"/>
        </w:rPr>
        <w:fldChar w:fldCharType="separate"/>
      </w:r>
      <w:r w:rsidR="00DD034F">
        <w:rPr>
          <w:szCs w:val="22"/>
        </w:rPr>
        <w:t>[3]</w:t>
      </w:r>
      <w:r w:rsidR="00AF79DC">
        <w:rPr>
          <w:szCs w:val="22"/>
        </w:rPr>
        <w:fldChar w:fldCharType="end"/>
      </w:r>
      <w:r w:rsidR="00DD034F">
        <w:rPr>
          <w:szCs w:val="22"/>
        </w:rPr>
        <w:t xml:space="preserve"> </w:t>
      </w:r>
      <w:r w:rsidR="00872E7A">
        <w:rPr>
          <w:szCs w:val="22"/>
        </w:rPr>
        <w:t xml:space="preserve">we can </w:t>
      </w:r>
      <w:r w:rsidR="00DD034F">
        <w:rPr>
          <w:szCs w:val="22"/>
        </w:rPr>
        <w:t>construct</w:t>
      </w:r>
      <w:r w:rsidR="00872E7A">
        <w:rPr>
          <w:szCs w:val="22"/>
        </w:rPr>
        <w:t xml:space="preserve"> a storage format for 10-to-8 compression that fit</w:t>
      </w:r>
      <w:r w:rsidR="00DD034F">
        <w:rPr>
          <w:szCs w:val="22"/>
        </w:rPr>
        <w:t>s</w:t>
      </w:r>
      <w:r w:rsidR="00872E7A">
        <w:rPr>
          <w:szCs w:val="22"/>
        </w:rPr>
        <w:t xml:space="preserve"> in </w:t>
      </w:r>
      <w:r w:rsidR="00DD034F">
        <w:rPr>
          <w:szCs w:val="22"/>
        </w:rPr>
        <w:t xml:space="preserve">exactly </w:t>
      </w:r>
      <w:r w:rsidR="00872E7A">
        <w:rPr>
          <w:szCs w:val="22"/>
        </w:rPr>
        <w:t>128 bits.</w:t>
      </w:r>
    </w:p>
    <w:p w:rsidR="00872E7A" w:rsidRDefault="00872E7A" w:rsidP="009234A5">
      <w:pPr>
        <w:jc w:val="both"/>
        <w:rPr>
          <w:szCs w:val="22"/>
        </w:rPr>
      </w:pPr>
    </w:p>
    <w:p w:rsidR="00872E7A" w:rsidRDefault="00872E7A" w:rsidP="00872E7A">
      <w:pPr>
        <w:pStyle w:val="Caption"/>
      </w:pPr>
      <w:bookmarkStart w:id="0" w:name="_Ref282884888"/>
      <w:r>
        <w:t xml:space="preserve">Listing </w:t>
      </w:r>
      <w:fldSimple w:instr=" SEQ Listing \* ARABIC ">
        <w:r>
          <w:rPr>
            <w:noProof/>
          </w:rPr>
          <w:t>1</w:t>
        </w:r>
      </w:fldSimple>
      <w:bookmarkEnd w:id="0"/>
      <w:r>
        <w:t>: A possible storage format for TASO compression for 10-to-8 case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20"/>
      </w:tblGrid>
      <w:tr w:rsidR="00872E7A" w:rsidTr="00872E7A">
        <w:trPr>
          <w:jc w:val="center"/>
        </w:trPr>
        <w:tc>
          <w:tcPr>
            <w:tcW w:w="5720" w:type="dxa"/>
          </w:tcPr>
          <w:p w:rsidR="00872E7A" w:rsidRDefault="00872E7A" w:rsidP="00872E7A">
            <w:pPr>
              <w:pStyle w:val="ListingRow"/>
            </w:pPr>
            <w:r>
              <w:t>u(8)</w:t>
            </w:r>
            <w:r>
              <w:tab/>
            </w:r>
            <w:r>
              <w:tab/>
            </w:r>
            <w:r>
              <w:tab/>
            </w:r>
            <w:r>
              <w:tab/>
            </w:r>
            <w:r>
              <w:tab/>
              <w:t>/* P0_flag */</w:t>
            </w:r>
          </w:p>
        </w:tc>
      </w:tr>
      <w:tr w:rsidR="00872E7A" w:rsidTr="00872E7A">
        <w:trPr>
          <w:jc w:val="center"/>
        </w:trPr>
        <w:tc>
          <w:tcPr>
            <w:tcW w:w="5720" w:type="dxa"/>
          </w:tcPr>
          <w:p w:rsidR="00872E7A" w:rsidRDefault="00872E7A" w:rsidP="00872E7A">
            <w:pPr>
              <w:pStyle w:val="ListingRow"/>
            </w:pPr>
            <w:r>
              <w:t>if (P0_flag != 0) {</w:t>
            </w:r>
          </w:p>
        </w:tc>
      </w:tr>
      <w:tr w:rsidR="00872E7A" w:rsidTr="00872E7A">
        <w:trPr>
          <w:jc w:val="center"/>
        </w:trPr>
        <w:tc>
          <w:tcPr>
            <w:tcW w:w="5720" w:type="dxa"/>
          </w:tcPr>
          <w:p w:rsidR="00872E7A" w:rsidRDefault="00872E7A" w:rsidP="00872E7A">
            <w:pPr>
              <w:pStyle w:val="ListingRow"/>
            </w:pPr>
            <w:r>
              <w:tab/>
              <w:t>for (</w:t>
            </w:r>
            <w:proofErr w:type="spellStart"/>
            <w:r>
              <w:t>i</w:t>
            </w:r>
            <w:proofErr w:type="spellEnd"/>
            <w:r>
              <w:t xml:space="preserve">=1; </w:t>
            </w:r>
            <w:proofErr w:type="spellStart"/>
            <w:r>
              <w:t>i</w:t>
            </w:r>
            <w:proofErr w:type="spellEnd"/>
            <w:r>
              <w:t xml:space="preserve">&lt;16; </w:t>
            </w:r>
            <w:proofErr w:type="spellStart"/>
            <w:r>
              <w:t>i</w:t>
            </w:r>
            <w:proofErr w:type="spellEnd"/>
            <w:r>
              <w:t>++) u(8)</w:t>
            </w:r>
            <w:r>
              <w:tab/>
              <w:t>/* pixel value P[</w:t>
            </w:r>
            <w:proofErr w:type="spellStart"/>
            <w:r>
              <w:t>i</w:t>
            </w:r>
            <w:proofErr w:type="spellEnd"/>
            <w:r>
              <w:t>] */</w:t>
            </w:r>
          </w:p>
        </w:tc>
      </w:tr>
      <w:tr w:rsidR="00872E7A" w:rsidTr="00872E7A">
        <w:trPr>
          <w:jc w:val="center"/>
        </w:trPr>
        <w:tc>
          <w:tcPr>
            <w:tcW w:w="5720" w:type="dxa"/>
          </w:tcPr>
          <w:p w:rsidR="00872E7A" w:rsidRDefault="00872E7A" w:rsidP="00872E7A">
            <w:pPr>
              <w:pStyle w:val="ListingRow"/>
            </w:pPr>
            <w:r>
              <w:t>} else {</w:t>
            </w:r>
          </w:p>
        </w:tc>
      </w:tr>
      <w:tr w:rsidR="00872E7A" w:rsidTr="00872E7A">
        <w:trPr>
          <w:jc w:val="center"/>
        </w:trPr>
        <w:tc>
          <w:tcPr>
            <w:tcW w:w="5720" w:type="dxa"/>
          </w:tcPr>
          <w:p w:rsidR="00872E7A" w:rsidRDefault="00872E7A" w:rsidP="00872E7A">
            <w:pPr>
              <w:pStyle w:val="ListingRow"/>
            </w:pPr>
            <w:r>
              <w:tab/>
              <w:t>u(1)</w:t>
            </w:r>
            <w:r>
              <w:tab/>
            </w:r>
            <w:r>
              <w:tab/>
            </w:r>
            <w:r>
              <w:tab/>
            </w:r>
            <w:r>
              <w:tab/>
              <w:t>/* S: [0..1] */</w:t>
            </w:r>
          </w:p>
        </w:tc>
      </w:tr>
      <w:tr w:rsidR="00872E7A" w:rsidTr="00872E7A">
        <w:trPr>
          <w:jc w:val="center"/>
        </w:trPr>
        <w:tc>
          <w:tcPr>
            <w:tcW w:w="5720" w:type="dxa"/>
          </w:tcPr>
          <w:p w:rsidR="00872E7A" w:rsidRDefault="00872E7A" w:rsidP="00DD034F">
            <w:pPr>
              <w:pStyle w:val="ListingRow"/>
            </w:pPr>
            <w:r>
              <w:tab/>
              <w:t>u(</w:t>
            </w:r>
            <w:r w:rsidR="00DD034F">
              <w:t>10-S</w:t>
            </w:r>
            <w:r>
              <w:t>)</w:t>
            </w:r>
            <w:r>
              <w:tab/>
            </w:r>
            <w:r>
              <w:tab/>
            </w:r>
            <w:r>
              <w:tab/>
              <w:t xml:space="preserve">/* M &gt;&gt; </w:t>
            </w:r>
            <w:r w:rsidR="00DD034F">
              <w:t>S</w:t>
            </w:r>
            <w:r>
              <w:t xml:space="preserve"> */</w:t>
            </w:r>
          </w:p>
        </w:tc>
      </w:tr>
      <w:tr w:rsidR="00DD034F" w:rsidTr="00872E7A">
        <w:trPr>
          <w:jc w:val="center"/>
        </w:trPr>
        <w:tc>
          <w:tcPr>
            <w:tcW w:w="5720" w:type="dxa"/>
          </w:tcPr>
          <w:p w:rsidR="00DD034F" w:rsidRDefault="00DD034F" w:rsidP="00872E7A">
            <w:pPr>
              <w:pStyle w:val="ListingRow"/>
            </w:pPr>
            <w:r>
              <w:tab/>
              <w:t>u(S)</w:t>
            </w:r>
            <w:r>
              <w:tab/>
            </w:r>
            <w:r>
              <w:tab/>
            </w:r>
            <w:r>
              <w:tab/>
            </w:r>
            <w:r>
              <w:tab/>
              <w:t>/* offset */</w:t>
            </w:r>
          </w:p>
        </w:tc>
      </w:tr>
      <w:tr w:rsidR="00DD034F" w:rsidTr="00872E7A">
        <w:trPr>
          <w:jc w:val="center"/>
        </w:trPr>
        <w:tc>
          <w:tcPr>
            <w:tcW w:w="5720" w:type="dxa"/>
          </w:tcPr>
          <w:p w:rsidR="00DD034F" w:rsidRDefault="00DD034F" w:rsidP="00DD034F">
            <w:pPr>
              <w:pStyle w:val="ListingRow"/>
            </w:pPr>
            <w:r>
              <w:tab/>
              <w:t>u(4)</w:t>
            </w:r>
            <w:r>
              <w:tab/>
            </w:r>
            <w:r>
              <w:tab/>
            </w:r>
            <w:r>
              <w:tab/>
            </w:r>
            <w:r>
              <w:tab/>
              <w:t xml:space="preserve">/* </w:t>
            </w:r>
            <w:proofErr w:type="spellStart"/>
            <w:r>
              <w:t>M_index</w:t>
            </w:r>
            <w:proofErr w:type="spellEnd"/>
            <w:r>
              <w:t xml:space="preserve"> */</w:t>
            </w:r>
          </w:p>
        </w:tc>
      </w:tr>
      <w:tr w:rsidR="00DD034F" w:rsidTr="00872E7A">
        <w:trPr>
          <w:jc w:val="center"/>
        </w:trPr>
        <w:tc>
          <w:tcPr>
            <w:tcW w:w="5720" w:type="dxa"/>
          </w:tcPr>
          <w:p w:rsidR="00DD034F" w:rsidRDefault="00DD034F" w:rsidP="00DD034F">
            <w:pPr>
              <w:pStyle w:val="ListingRow"/>
            </w:pPr>
            <w:r>
              <w:tab/>
              <w:t>for (</w:t>
            </w:r>
            <w:proofErr w:type="spellStart"/>
            <w:r>
              <w:t>i</w:t>
            </w:r>
            <w:proofErr w:type="spellEnd"/>
            <w:r>
              <w:t xml:space="preserve">=0; </w:t>
            </w:r>
            <w:proofErr w:type="spellStart"/>
            <w:r>
              <w:t>i</w:t>
            </w:r>
            <w:proofErr w:type="spellEnd"/>
            <w:r>
              <w:t xml:space="preserve">&lt;15; </w:t>
            </w:r>
            <w:proofErr w:type="spellStart"/>
            <w:r>
              <w:t>i</w:t>
            </w:r>
            <w:proofErr w:type="spellEnd"/>
            <w:r>
              <w:t>++) u(7)</w:t>
            </w:r>
            <w:r>
              <w:tab/>
              <w:t>/* residual excluding M */</w:t>
            </w:r>
          </w:p>
        </w:tc>
      </w:tr>
      <w:tr w:rsidR="00DD034F" w:rsidTr="00872E7A">
        <w:trPr>
          <w:jc w:val="center"/>
        </w:trPr>
        <w:tc>
          <w:tcPr>
            <w:tcW w:w="5720" w:type="dxa"/>
          </w:tcPr>
          <w:p w:rsidR="00DD034F" w:rsidRDefault="00DD034F" w:rsidP="00872E7A">
            <w:pPr>
              <w:pStyle w:val="ListingRow"/>
            </w:pPr>
            <w:r>
              <w:t>}</w:t>
            </w:r>
          </w:p>
        </w:tc>
      </w:tr>
    </w:tbl>
    <w:p w:rsidR="00872E7A" w:rsidRDefault="00FA4B9F" w:rsidP="00FA4B9F">
      <w:pPr>
        <w:pStyle w:val="Heading1"/>
      </w:pPr>
      <w:r>
        <w:t>Discrepancies</w:t>
      </w:r>
    </w:p>
    <w:p w:rsidR="00FA4B9F" w:rsidRDefault="00FA4B9F" w:rsidP="009234A5">
      <w:pPr>
        <w:jc w:val="both"/>
        <w:rPr>
          <w:szCs w:val="22"/>
        </w:rPr>
      </w:pPr>
      <w:r>
        <w:rPr>
          <w:szCs w:val="22"/>
        </w:rPr>
        <w:t>Comparing JCTVC-F319 and the software that Toshiba sent us, we found the following discrepancies.</w:t>
      </w:r>
    </w:p>
    <w:p w:rsidR="00FA4B9F" w:rsidRDefault="00FA4B9F" w:rsidP="00FA4B9F">
      <w:pPr>
        <w:numPr>
          <w:ilvl w:val="0"/>
          <w:numId w:val="12"/>
        </w:numPr>
        <w:jc w:val="both"/>
        <w:rPr>
          <w:szCs w:val="22"/>
        </w:rPr>
      </w:pPr>
      <w:r>
        <w:rPr>
          <w:szCs w:val="22"/>
        </w:rPr>
        <w:t>In Section 3, Toshiba indicates that HM 2.0 plus the Memory AHG modifications was used. Clearly, they mean HM 3.0 plus the Memory AHG modifications.</w:t>
      </w:r>
    </w:p>
    <w:p w:rsidR="00D11B14" w:rsidRDefault="00FA4B9F" w:rsidP="00FA4B9F">
      <w:pPr>
        <w:numPr>
          <w:ilvl w:val="0"/>
          <w:numId w:val="12"/>
        </w:numPr>
        <w:jc w:val="both"/>
        <w:rPr>
          <w:szCs w:val="22"/>
        </w:rPr>
      </w:pPr>
      <w:r>
        <w:rPr>
          <w:szCs w:val="22"/>
        </w:rPr>
        <w:t xml:space="preserve">In Annex A, the variable </w:t>
      </w:r>
      <w:proofErr w:type="spellStart"/>
      <w:r>
        <w:rPr>
          <w:szCs w:val="22"/>
        </w:rPr>
        <w:t>BitDepth</w:t>
      </w:r>
      <w:proofErr w:type="spellEnd"/>
      <w:r>
        <w:rPr>
          <w:szCs w:val="22"/>
        </w:rPr>
        <w:t xml:space="preserve"> is defined as the “input sample bit-depth.” We believe that the intention is for </w:t>
      </w:r>
      <w:proofErr w:type="spellStart"/>
      <w:r>
        <w:rPr>
          <w:szCs w:val="22"/>
        </w:rPr>
        <w:t>BitDepth</w:t>
      </w:r>
      <w:proofErr w:type="spellEnd"/>
      <w:r>
        <w:rPr>
          <w:szCs w:val="22"/>
        </w:rPr>
        <w:t xml:space="preserve"> to represent the actual sample bit-depth of the input video not including the internal</w:t>
      </w:r>
      <w:r w:rsidR="00B32C79">
        <w:rPr>
          <w:szCs w:val="22"/>
        </w:rPr>
        <w:t xml:space="preserve"> bit depth increase. However, it was decided in a past meeting that the internal bit depth increase will not be signaled separately at the bitstream level and that the signaled bit depth would represent the video bit dep</w:t>
      </w:r>
      <w:r w:rsidR="0056607E">
        <w:rPr>
          <w:szCs w:val="22"/>
        </w:rPr>
        <w:t>th plus any internal increment.</w:t>
      </w:r>
    </w:p>
    <w:p w:rsidR="00FA4B9F" w:rsidRDefault="00D11B14" w:rsidP="00FA4B9F">
      <w:pPr>
        <w:numPr>
          <w:ilvl w:val="0"/>
          <w:numId w:val="12"/>
        </w:numPr>
        <w:jc w:val="both"/>
        <w:rPr>
          <w:szCs w:val="22"/>
        </w:rPr>
      </w:pPr>
      <w:r>
        <w:rPr>
          <w:szCs w:val="22"/>
        </w:rPr>
        <w:t xml:space="preserve">Inspection of the software confirms usage of </w:t>
      </w:r>
      <w:proofErr w:type="spellStart"/>
      <w:r>
        <w:rPr>
          <w:szCs w:val="22"/>
        </w:rPr>
        <w:t>g_uiBASE_MAX</w:t>
      </w:r>
      <w:proofErr w:type="spellEnd"/>
      <w:r>
        <w:rPr>
          <w:szCs w:val="22"/>
        </w:rPr>
        <w:t xml:space="preserve">, </w:t>
      </w:r>
      <w:proofErr w:type="spellStart"/>
      <w:r>
        <w:rPr>
          <w:szCs w:val="22"/>
        </w:rPr>
        <w:t>g_uiIBDI_MAX</w:t>
      </w:r>
      <w:proofErr w:type="spellEnd"/>
      <w:r>
        <w:rPr>
          <w:szCs w:val="22"/>
        </w:rPr>
        <w:t xml:space="preserve">, and </w:t>
      </w:r>
      <w:proofErr w:type="spellStart"/>
      <w:r>
        <w:rPr>
          <w:szCs w:val="22"/>
        </w:rPr>
        <w:t>g_uiBitIncrement</w:t>
      </w:r>
      <w:proofErr w:type="spellEnd"/>
      <w:r>
        <w:rPr>
          <w:szCs w:val="22"/>
        </w:rPr>
        <w:t>. These variables depend upon knowledge of both the input bit depth and the internal bit depth.</w:t>
      </w:r>
      <w:r w:rsidR="00E863ED">
        <w:rPr>
          <w:szCs w:val="22"/>
        </w:rPr>
        <w:t xml:space="preserve"> However, the Toshiba software has FULL_NBIT set to 0 in </w:t>
      </w:r>
      <w:proofErr w:type="spellStart"/>
      <w:r w:rsidR="00E863ED">
        <w:rPr>
          <w:szCs w:val="22"/>
        </w:rPr>
        <w:t>TypeDef.h</w:t>
      </w:r>
      <w:proofErr w:type="spellEnd"/>
      <w:r w:rsidR="00E863ED">
        <w:rPr>
          <w:szCs w:val="22"/>
        </w:rPr>
        <w:t>, which defaults to treating input video as 8-bit eve</w:t>
      </w:r>
      <w:r w:rsidR="00156A3D">
        <w:rPr>
          <w:szCs w:val="22"/>
        </w:rPr>
        <w:t xml:space="preserve">n </w:t>
      </w:r>
      <w:r w:rsidR="00E863ED">
        <w:rPr>
          <w:szCs w:val="22"/>
        </w:rPr>
        <w:t xml:space="preserve">for the 10-bit sequences. Therefore </w:t>
      </w:r>
      <w:proofErr w:type="spellStart"/>
      <w:r w:rsidR="00E863ED">
        <w:rPr>
          <w:szCs w:val="22"/>
        </w:rPr>
        <w:t>g_uiBASE_MAX</w:t>
      </w:r>
      <w:proofErr w:type="spellEnd"/>
      <w:r w:rsidR="00E863ED">
        <w:rPr>
          <w:szCs w:val="22"/>
        </w:rPr>
        <w:t xml:space="preserve"> is always set to 255. The variable </w:t>
      </w:r>
      <w:proofErr w:type="spellStart"/>
      <w:r w:rsidR="00E863ED">
        <w:rPr>
          <w:szCs w:val="22"/>
        </w:rPr>
        <w:t>MaxRange</w:t>
      </w:r>
      <w:proofErr w:type="spellEnd"/>
      <w:r w:rsidR="00E863ED">
        <w:rPr>
          <w:szCs w:val="22"/>
        </w:rPr>
        <w:t xml:space="preserve"> of Annex A is mirrored in the software as </w:t>
      </w:r>
      <w:proofErr w:type="spellStart"/>
      <w:r w:rsidR="00E863ED">
        <w:rPr>
          <w:szCs w:val="22"/>
        </w:rPr>
        <w:t>iMaxRange</w:t>
      </w:r>
      <w:proofErr w:type="spellEnd"/>
      <w:r w:rsidR="00E863ED">
        <w:rPr>
          <w:szCs w:val="22"/>
        </w:rPr>
        <w:t xml:space="preserve">, and is always set to 128. Annex A says that </w:t>
      </w:r>
      <w:proofErr w:type="spellStart"/>
      <w:r w:rsidR="00E863ED">
        <w:rPr>
          <w:szCs w:val="22"/>
        </w:rPr>
        <w:t>MaxRange</w:t>
      </w:r>
      <w:proofErr w:type="spellEnd"/>
      <w:r w:rsidR="00E863ED">
        <w:rPr>
          <w:szCs w:val="22"/>
        </w:rPr>
        <w:t xml:space="preserve"> should be set to 64 when </w:t>
      </w:r>
      <w:proofErr w:type="spellStart"/>
      <w:r w:rsidR="00E863ED">
        <w:rPr>
          <w:szCs w:val="22"/>
        </w:rPr>
        <w:t>BitDepth</w:t>
      </w:r>
      <w:proofErr w:type="spellEnd"/>
      <w:r w:rsidR="00E863ED">
        <w:rPr>
          <w:szCs w:val="22"/>
        </w:rPr>
        <w:t xml:space="preserve"> &gt;= 9. Therefore there is a mismatch between </w:t>
      </w:r>
      <w:r w:rsidR="0030513F">
        <w:rPr>
          <w:szCs w:val="22"/>
        </w:rPr>
        <w:t xml:space="preserve">the </w:t>
      </w:r>
      <w:r w:rsidR="00E863ED">
        <w:rPr>
          <w:szCs w:val="22"/>
        </w:rPr>
        <w:t>software and Annex A.</w:t>
      </w:r>
    </w:p>
    <w:p w:rsidR="00E863ED" w:rsidRDefault="00E863ED" w:rsidP="00FA4B9F">
      <w:pPr>
        <w:numPr>
          <w:ilvl w:val="0"/>
          <w:numId w:val="12"/>
        </w:numPr>
        <w:jc w:val="both"/>
        <w:rPr>
          <w:szCs w:val="22"/>
        </w:rPr>
      </w:pPr>
      <w:r>
        <w:rPr>
          <w:szCs w:val="22"/>
        </w:rPr>
        <w:t xml:space="preserve">The above </w:t>
      </w:r>
      <w:proofErr w:type="spellStart"/>
      <w:r>
        <w:rPr>
          <w:szCs w:val="22"/>
        </w:rPr>
        <w:t>mis</w:t>
      </w:r>
      <w:proofErr w:type="spellEnd"/>
      <w:r>
        <w:rPr>
          <w:szCs w:val="22"/>
        </w:rPr>
        <w:t xml:space="preserve">-handling of 10-bit video </w:t>
      </w:r>
      <w:proofErr w:type="spellStart"/>
      <w:r>
        <w:rPr>
          <w:szCs w:val="22"/>
        </w:rPr>
        <w:t>Nebuta</w:t>
      </w:r>
      <w:proofErr w:type="spellEnd"/>
      <w:r>
        <w:rPr>
          <w:szCs w:val="22"/>
        </w:rPr>
        <w:t xml:space="preserve"> and </w:t>
      </w:r>
      <w:proofErr w:type="spellStart"/>
      <w:r>
        <w:rPr>
          <w:szCs w:val="22"/>
        </w:rPr>
        <w:t>SteamLocomotive</w:t>
      </w:r>
      <w:proofErr w:type="spellEnd"/>
      <w:r>
        <w:rPr>
          <w:szCs w:val="22"/>
        </w:rPr>
        <w:t xml:space="preserve"> shows up in Toshiba’s spreadsheet. For the HM 3.0 versus IBDI-off comparison, </w:t>
      </w:r>
      <w:proofErr w:type="spellStart"/>
      <w:r>
        <w:rPr>
          <w:szCs w:val="22"/>
        </w:rPr>
        <w:t>Nebuta</w:t>
      </w:r>
      <w:proofErr w:type="spellEnd"/>
      <w:r>
        <w:rPr>
          <w:szCs w:val="22"/>
        </w:rPr>
        <w:t xml:space="preserve"> incurred a 1.1% coding loss and </w:t>
      </w:r>
      <w:proofErr w:type="spellStart"/>
      <w:r>
        <w:rPr>
          <w:szCs w:val="22"/>
        </w:rPr>
        <w:t>SteamLocomotive</w:t>
      </w:r>
      <w:proofErr w:type="spellEnd"/>
      <w:r>
        <w:rPr>
          <w:szCs w:val="22"/>
        </w:rPr>
        <w:t xml:space="preserve"> incurred 9.9% coding loss. Given that these are 10-bit sequences, there should be no loss when turning IBDI off.</w:t>
      </w:r>
    </w:p>
    <w:p w:rsidR="00E863ED" w:rsidRDefault="00156A3D" w:rsidP="00FA4B9F">
      <w:pPr>
        <w:numPr>
          <w:ilvl w:val="0"/>
          <w:numId w:val="12"/>
        </w:numPr>
        <w:jc w:val="both"/>
        <w:rPr>
          <w:szCs w:val="22"/>
        </w:rPr>
      </w:pPr>
      <w:r>
        <w:rPr>
          <w:szCs w:val="22"/>
        </w:rPr>
        <w:t>It was initially suspected that i</w:t>
      </w:r>
      <w:r w:rsidR="00E863ED">
        <w:rPr>
          <w:szCs w:val="22"/>
        </w:rPr>
        <w:t xml:space="preserve">tems 3 and 4 are problems with the HM 3.0 default of setting FULL_NBIT to 0. </w:t>
      </w:r>
      <w:r>
        <w:rPr>
          <w:szCs w:val="22"/>
        </w:rPr>
        <w:t xml:space="preserve">However, we </w:t>
      </w:r>
      <w:r w:rsidR="00D6308F">
        <w:rPr>
          <w:szCs w:val="22"/>
        </w:rPr>
        <w:t>investigate</w:t>
      </w:r>
      <w:r>
        <w:rPr>
          <w:szCs w:val="22"/>
        </w:rPr>
        <w:t>d</w:t>
      </w:r>
      <w:r w:rsidR="00D6308F">
        <w:rPr>
          <w:szCs w:val="22"/>
        </w:rPr>
        <w:t xml:space="preserve"> setting FULL_NBIT to 1</w:t>
      </w:r>
      <w:r>
        <w:rPr>
          <w:szCs w:val="22"/>
        </w:rPr>
        <w:t xml:space="preserve"> and found that this breaks HM 3.0</w:t>
      </w:r>
      <w:r w:rsidR="00D6308F">
        <w:rPr>
          <w:szCs w:val="22"/>
        </w:rPr>
        <w:t>.</w:t>
      </w:r>
    </w:p>
    <w:p w:rsidR="00FA4B9F" w:rsidRDefault="00D6308F" w:rsidP="00D6308F">
      <w:pPr>
        <w:pStyle w:val="Heading1"/>
      </w:pPr>
      <w:r>
        <w:t>Simulation Results</w:t>
      </w:r>
    </w:p>
    <w:p w:rsidR="00E43B13" w:rsidRDefault="00D6308F" w:rsidP="009234A5">
      <w:pPr>
        <w:jc w:val="both"/>
        <w:rPr>
          <w:szCs w:val="22"/>
        </w:rPr>
      </w:pPr>
      <w:r>
        <w:rPr>
          <w:szCs w:val="22"/>
        </w:rPr>
        <w:t>We ran the Toshiba software using RA-HE and LB-HE configurations.</w:t>
      </w:r>
      <w:r w:rsidR="00E43B13">
        <w:rPr>
          <w:szCs w:val="22"/>
        </w:rPr>
        <w:t xml:space="preserve"> BD-rate results match for the comparison between HM 3.0 and TASO. Our decoder run times are higher for TASO, but our run time results are not reliable. We have rerun the decoder several times for HM 3.0 and get wildly varying run times. The results are shown in </w:t>
      </w:r>
      <w:r w:rsidR="00AF79DC">
        <w:rPr>
          <w:szCs w:val="22"/>
        </w:rPr>
        <w:fldChar w:fldCharType="begin"/>
      </w:r>
      <w:r w:rsidR="00677F52">
        <w:rPr>
          <w:szCs w:val="22"/>
        </w:rPr>
        <w:instrText xml:space="preserve"> REF _Ref297720264 \h </w:instrText>
      </w:r>
      <w:r w:rsidR="00AF79DC">
        <w:rPr>
          <w:szCs w:val="22"/>
        </w:rPr>
      </w:r>
      <w:r w:rsidR="00AF79DC">
        <w:rPr>
          <w:szCs w:val="22"/>
        </w:rPr>
        <w:fldChar w:fldCharType="separate"/>
      </w:r>
      <w:r w:rsidR="00677F52">
        <w:t xml:space="preserve">Table </w:t>
      </w:r>
      <w:r w:rsidR="00677F52">
        <w:rPr>
          <w:noProof/>
        </w:rPr>
        <w:t>1</w:t>
      </w:r>
      <w:r w:rsidR="00AF79DC">
        <w:rPr>
          <w:szCs w:val="22"/>
        </w:rPr>
        <w:fldChar w:fldCharType="end"/>
      </w:r>
      <w:r w:rsidR="00E43B13">
        <w:rPr>
          <w:szCs w:val="22"/>
        </w:rPr>
        <w:t xml:space="preserve"> below.</w:t>
      </w:r>
      <w:r w:rsidR="0030513F">
        <w:rPr>
          <w:szCs w:val="22"/>
        </w:rPr>
        <w:t xml:space="preserve"> </w:t>
      </w:r>
    </w:p>
    <w:p w:rsidR="00E43B13" w:rsidRDefault="00E43B13" w:rsidP="009234A5">
      <w:pPr>
        <w:jc w:val="both"/>
        <w:rPr>
          <w:szCs w:val="22"/>
        </w:rPr>
      </w:pPr>
    </w:p>
    <w:p w:rsidR="0030513F" w:rsidRDefault="0030513F" w:rsidP="009234A5">
      <w:pPr>
        <w:jc w:val="both"/>
        <w:rPr>
          <w:szCs w:val="22"/>
        </w:rPr>
      </w:pPr>
    </w:p>
    <w:p w:rsidR="0030513F" w:rsidRDefault="0030513F" w:rsidP="009234A5">
      <w:pPr>
        <w:jc w:val="both"/>
        <w:rPr>
          <w:szCs w:val="22"/>
        </w:rPr>
      </w:pPr>
    </w:p>
    <w:p w:rsidR="00E43B13" w:rsidRDefault="00E43B13" w:rsidP="00E43B13">
      <w:pPr>
        <w:pStyle w:val="Caption"/>
        <w:keepNext/>
      </w:pPr>
      <w:bookmarkStart w:id="1" w:name="_Ref297720264"/>
      <w:r>
        <w:lastRenderedPageBreak/>
        <w:t xml:space="preserve">Table </w:t>
      </w:r>
      <w:fldSimple w:instr=" SEQ Table \* ARABIC ">
        <w:r>
          <w:rPr>
            <w:noProof/>
          </w:rPr>
          <w:t>1</w:t>
        </w:r>
      </w:fldSimple>
      <w:bookmarkEnd w:id="1"/>
      <w:r>
        <w:t>: BD-Rate results comparing HM 3.0 against TASO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21"/>
      </w:tblGrid>
      <w:tr w:rsidR="00E43B13" w:rsidTr="00E43B13">
        <w:trPr>
          <w:jc w:val="center"/>
        </w:trPr>
        <w:tc>
          <w:tcPr>
            <w:tcW w:w="236" w:type="dxa"/>
          </w:tcPr>
          <w:tbl>
            <w:tblPr>
              <w:tblW w:w="0" w:type="auto"/>
              <w:tblLook w:val="04A0"/>
            </w:tblPr>
            <w:tblGrid>
              <w:gridCol w:w="1361"/>
              <w:gridCol w:w="606"/>
              <w:gridCol w:w="606"/>
              <w:gridCol w:w="606"/>
              <w:gridCol w:w="645"/>
              <w:gridCol w:w="716"/>
              <w:gridCol w:w="645"/>
            </w:tblGrid>
            <w:tr w:rsidR="00E43B13" w:rsidRPr="00E43B13" w:rsidTr="00E43B13">
              <w:trPr>
                <w:trHeight w:val="27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Random Access HE</w:t>
                  </w:r>
                </w:p>
              </w:tc>
            </w:tr>
            <w:tr w:rsidR="00E43B13" w:rsidRPr="00E43B13" w:rsidTr="00E43B13">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Y</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U</w:t>
                  </w:r>
                </w:p>
              </w:tc>
              <w:tc>
                <w:tcPr>
                  <w:tcW w:w="0" w:type="auto"/>
                  <w:tcBorders>
                    <w:top w:val="nil"/>
                    <w:left w:val="nil"/>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V</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Y</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U</w:t>
                  </w:r>
                </w:p>
              </w:tc>
              <w:tc>
                <w:tcPr>
                  <w:tcW w:w="0" w:type="auto"/>
                  <w:tcBorders>
                    <w:top w:val="nil"/>
                    <w:left w:val="nil"/>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V</w:t>
                  </w:r>
                </w:p>
              </w:tc>
            </w:tr>
            <w:tr w:rsidR="00E43B13" w:rsidRPr="00E43B13" w:rsidTr="00E43B13">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 </w:t>
                  </w:r>
                </w:p>
              </w:tc>
              <w:tc>
                <w:tcPr>
                  <w:tcW w:w="0" w:type="auto"/>
                  <w:tcBorders>
                    <w:top w:val="single" w:sz="8" w:space="0" w:color="auto"/>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0.07 </w:t>
                  </w:r>
                </w:p>
              </w:tc>
              <w:tc>
                <w:tcPr>
                  <w:tcW w:w="0" w:type="auto"/>
                  <w:tcBorders>
                    <w:top w:val="single" w:sz="8" w:space="0" w:color="auto"/>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-0.07 </w:t>
                  </w:r>
                </w:p>
              </w:tc>
              <w:tc>
                <w:tcPr>
                  <w:tcW w:w="0" w:type="auto"/>
                  <w:tcBorders>
                    <w:top w:val="single" w:sz="8" w:space="0" w:color="auto"/>
                    <w:left w:val="nil"/>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0.20 </w:t>
                  </w:r>
                </w:p>
              </w:tc>
            </w:tr>
            <w:tr w:rsidR="00E43B13" w:rsidRPr="00E43B13" w:rsidTr="00E43B13">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Class B</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0.38 </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0.11 </w:t>
                  </w:r>
                </w:p>
              </w:tc>
              <w:tc>
                <w:tcPr>
                  <w:tcW w:w="0" w:type="auto"/>
                  <w:tcBorders>
                    <w:top w:val="nil"/>
                    <w:left w:val="nil"/>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0.23 </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0.11 </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-0.03 </w:t>
                  </w:r>
                </w:p>
              </w:tc>
              <w:tc>
                <w:tcPr>
                  <w:tcW w:w="0" w:type="auto"/>
                  <w:tcBorders>
                    <w:top w:val="nil"/>
                    <w:left w:val="nil"/>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0.01 </w:t>
                  </w:r>
                </w:p>
              </w:tc>
            </w:tr>
            <w:tr w:rsidR="00E43B13" w:rsidRPr="00E43B13" w:rsidTr="00E43B13">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Class C</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0.22 </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0.21 </w:t>
                  </w:r>
                </w:p>
              </w:tc>
              <w:tc>
                <w:tcPr>
                  <w:tcW w:w="0" w:type="auto"/>
                  <w:tcBorders>
                    <w:top w:val="nil"/>
                    <w:left w:val="nil"/>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0.14 </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0.10 </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0.15 </w:t>
                  </w:r>
                </w:p>
              </w:tc>
              <w:tc>
                <w:tcPr>
                  <w:tcW w:w="0" w:type="auto"/>
                  <w:tcBorders>
                    <w:top w:val="nil"/>
                    <w:left w:val="nil"/>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0.11 </w:t>
                  </w:r>
                </w:p>
              </w:tc>
            </w:tr>
            <w:tr w:rsidR="00E43B13" w:rsidRPr="00E43B13" w:rsidTr="00E43B13">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Class D</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0.09 </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0.19 </w:t>
                  </w:r>
                </w:p>
              </w:tc>
              <w:tc>
                <w:tcPr>
                  <w:tcW w:w="0" w:type="auto"/>
                  <w:tcBorders>
                    <w:top w:val="nil"/>
                    <w:left w:val="nil"/>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0.52 </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0.08 </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-0.02 </w:t>
                  </w:r>
                </w:p>
              </w:tc>
              <w:tc>
                <w:tcPr>
                  <w:tcW w:w="0" w:type="auto"/>
                  <w:tcBorders>
                    <w:top w:val="nil"/>
                    <w:left w:val="nil"/>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0.03 </w:t>
                  </w:r>
                </w:p>
              </w:tc>
            </w:tr>
            <w:tr w:rsidR="00E43B13" w:rsidRPr="00E43B13" w:rsidTr="00E43B13">
              <w:trPr>
                <w:trHeight w:val="255"/>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Class E</w:t>
                  </w:r>
                </w:p>
              </w:tc>
              <w:tc>
                <w:tcPr>
                  <w:tcW w:w="0" w:type="auto"/>
                  <w:tcBorders>
                    <w:top w:val="nil"/>
                    <w:left w:val="nil"/>
                    <w:bottom w:val="nil"/>
                    <w:right w:val="nil"/>
                  </w:tcBorders>
                  <w:shd w:val="clear" w:color="000000" w:fill="FFCC99"/>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3.00 </w:t>
                  </w:r>
                </w:p>
              </w:tc>
              <w:tc>
                <w:tcPr>
                  <w:tcW w:w="0" w:type="auto"/>
                  <w:tcBorders>
                    <w:top w:val="nil"/>
                    <w:left w:val="nil"/>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0.58 </w:t>
                  </w:r>
                </w:p>
              </w:tc>
              <w:tc>
                <w:tcPr>
                  <w:tcW w:w="0" w:type="auto"/>
                  <w:tcBorders>
                    <w:top w:val="nil"/>
                    <w:left w:val="nil"/>
                    <w:bottom w:val="nil"/>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43B13">
                    <w:rPr>
                      <w:rFonts w:ascii="Arial" w:hAnsi="Arial" w:cs="Arial"/>
                      <w:sz w:val="20"/>
                    </w:rPr>
                    <w:t xml:space="preserve">0.76 </w:t>
                  </w:r>
                </w:p>
              </w:tc>
              <w:tc>
                <w:tcPr>
                  <w:tcW w:w="0" w:type="auto"/>
                  <w:tcBorders>
                    <w:top w:val="nil"/>
                    <w:left w:val="nil"/>
                    <w:bottom w:val="nil"/>
                    <w:right w:val="nil"/>
                  </w:tcBorders>
                  <w:shd w:val="clear" w:color="000000" w:fill="C0C0C0"/>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 </w:t>
                  </w:r>
                </w:p>
              </w:tc>
              <w:tc>
                <w:tcPr>
                  <w:tcW w:w="0" w:type="auto"/>
                  <w:tcBorders>
                    <w:top w:val="nil"/>
                    <w:left w:val="nil"/>
                    <w:bottom w:val="nil"/>
                    <w:right w:val="nil"/>
                  </w:tcBorders>
                  <w:shd w:val="clear" w:color="000000" w:fill="C0C0C0"/>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 </w:t>
                  </w:r>
                </w:p>
              </w:tc>
              <w:tc>
                <w:tcPr>
                  <w:tcW w:w="0" w:type="auto"/>
                  <w:tcBorders>
                    <w:top w:val="nil"/>
                    <w:left w:val="nil"/>
                    <w:bottom w:val="nil"/>
                    <w:right w:val="single" w:sz="8" w:space="0" w:color="auto"/>
                  </w:tcBorders>
                  <w:shd w:val="clear" w:color="000000" w:fill="C0C0C0"/>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 </w:t>
                  </w:r>
                </w:p>
              </w:tc>
            </w:tr>
            <w:tr w:rsidR="00E43B13" w:rsidRPr="00E43B13" w:rsidTr="00E43B13">
              <w:trPr>
                <w:trHeight w:val="27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E43B13">
                    <w:rPr>
                      <w:rFonts w:ascii="Arial" w:hAnsi="Arial" w:cs="Arial"/>
                      <w:b/>
                      <w:bCs/>
                      <w:sz w:val="20"/>
                    </w:rPr>
                    <w:t>Overall</w:t>
                  </w:r>
                </w:p>
              </w:tc>
              <w:tc>
                <w:tcPr>
                  <w:tcW w:w="0" w:type="auto"/>
                  <w:tcBorders>
                    <w:top w:val="single" w:sz="4" w:space="0" w:color="auto"/>
                    <w:left w:val="nil"/>
                    <w:bottom w:val="single" w:sz="8" w:space="0" w:color="auto"/>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E43B13">
                    <w:rPr>
                      <w:rFonts w:ascii="Arial" w:hAnsi="Arial" w:cs="Arial"/>
                      <w:b/>
                      <w:bCs/>
                      <w:sz w:val="20"/>
                    </w:rPr>
                    <w:t xml:space="preserve">0.76 </w:t>
                  </w:r>
                </w:p>
              </w:tc>
              <w:tc>
                <w:tcPr>
                  <w:tcW w:w="0" w:type="auto"/>
                  <w:tcBorders>
                    <w:top w:val="single" w:sz="4" w:space="0" w:color="auto"/>
                    <w:left w:val="nil"/>
                    <w:bottom w:val="single" w:sz="8" w:space="0" w:color="auto"/>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E43B13">
                    <w:rPr>
                      <w:rFonts w:ascii="Arial" w:hAnsi="Arial" w:cs="Arial"/>
                      <w:b/>
                      <w:bCs/>
                      <w:sz w:val="20"/>
                    </w:rPr>
                    <w:t xml:space="preserve">0.24 </w:t>
                  </w:r>
                </w:p>
              </w:tc>
              <w:tc>
                <w:tcPr>
                  <w:tcW w:w="0" w:type="auto"/>
                  <w:tcBorders>
                    <w:top w:val="single" w:sz="4" w:space="0" w:color="auto"/>
                    <w:left w:val="nil"/>
                    <w:bottom w:val="single" w:sz="8" w:space="0" w:color="auto"/>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E43B13">
                    <w:rPr>
                      <w:rFonts w:ascii="Arial" w:hAnsi="Arial" w:cs="Arial"/>
                      <w:b/>
                      <w:bCs/>
                      <w:sz w:val="20"/>
                    </w:rPr>
                    <w:t xml:space="preserve">0.38 </w:t>
                  </w:r>
                </w:p>
              </w:tc>
              <w:tc>
                <w:tcPr>
                  <w:tcW w:w="0" w:type="auto"/>
                  <w:tcBorders>
                    <w:top w:val="single" w:sz="4" w:space="0" w:color="auto"/>
                    <w:left w:val="nil"/>
                    <w:bottom w:val="single" w:sz="8" w:space="0" w:color="auto"/>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E43B13">
                    <w:rPr>
                      <w:rFonts w:ascii="Arial" w:hAnsi="Arial" w:cs="Arial"/>
                      <w:b/>
                      <w:bCs/>
                      <w:sz w:val="20"/>
                    </w:rPr>
                    <w:t xml:space="preserve">0.09 </w:t>
                  </w:r>
                </w:p>
              </w:tc>
              <w:tc>
                <w:tcPr>
                  <w:tcW w:w="0" w:type="auto"/>
                  <w:tcBorders>
                    <w:top w:val="single" w:sz="4" w:space="0" w:color="auto"/>
                    <w:left w:val="nil"/>
                    <w:bottom w:val="single" w:sz="8" w:space="0" w:color="auto"/>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E43B13">
                    <w:rPr>
                      <w:rFonts w:ascii="Arial" w:hAnsi="Arial" w:cs="Arial"/>
                      <w:b/>
                      <w:bCs/>
                      <w:sz w:val="20"/>
                    </w:rPr>
                    <w:t xml:space="preserve">0.01 </w:t>
                  </w:r>
                </w:p>
              </w:tc>
              <w:tc>
                <w:tcPr>
                  <w:tcW w:w="0" w:type="auto"/>
                  <w:tcBorders>
                    <w:top w:val="single" w:sz="4" w:space="0" w:color="auto"/>
                    <w:left w:val="nil"/>
                    <w:bottom w:val="single" w:sz="8" w:space="0" w:color="auto"/>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E43B13">
                    <w:rPr>
                      <w:rFonts w:ascii="Arial" w:hAnsi="Arial" w:cs="Arial"/>
                      <w:b/>
                      <w:bCs/>
                      <w:sz w:val="20"/>
                    </w:rPr>
                    <w:t xml:space="preserve">0.09 </w:t>
                  </w:r>
                </w:p>
              </w:tc>
            </w:tr>
            <w:tr w:rsidR="00E43B13" w:rsidRPr="00E43B13" w:rsidTr="00E43B13">
              <w:trPr>
                <w:trHeight w:val="255"/>
              </w:trPr>
              <w:tc>
                <w:tcPr>
                  <w:tcW w:w="0" w:type="auto"/>
                  <w:tcBorders>
                    <w:top w:val="nil"/>
                    <w:left w:val="single" w:sz="8" w:space="0" w:color="auto"/>
                    <w:bottom w:val="nil"/>
                    <w:right w:val="nil"/>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102%</w:t>
                  </w:r>
                </w:p>
              </w:tc>
              <w:tc>
                <w:tcPr>
                  <w:tcW w:w="0" w:type="auto"/>
                  <w:gridSpan w:val="3"/>
                  <w:tcBorders>
                    <w:top w:val="single" w:sz="8" w:space="0" w:color="auto"/>
                    <w:left w:val="nil"/>
                    <w:bottom w:val="nil"/>
                    <w:right w:val="single" w:sz="8" w:space="0" w:color="000000"/>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100%</w:t>
                  </w:r>
                </w:p>
              </w:tc>
            </w:tr>
            <w:tr w:rsidR="00E43B13" w:rsidRPr="00E43B13" w:rsidTr="00E43B13">
              <w:trPr>
                <w:trHeight w:val="27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43B13">
                    <w:rPr>
                      <w:rFonts w:ascii="Arial" w:hAnsi="Arial" w:cs="Arial"/>
                      <w:sz w:val="20"/>
                    </w:rPr>
                    <w:t>Dec Time[%]</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115%</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E43B13" w:rsidRPr="00E43B13" w:rsidRDefault="00E43B13" w:rsidP="00E43B1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43B13">
                    <w:rPr>
                      <w:rFonts w:ascii="Arial" w:hAnsi="Arial" w:cs="Arial"/>
                      <w:sz w:val="20"/>
                    </w:rPr>
                    <w:t>114%</w:t>
                  </w:r>
                </w:p>
              </w:tc>
            </w:tr>
          </w:tbl>
          <w:p w:rsidR="00E43B13" w:rsidRDefault="00E43B13" w:rsidP="009234A5">
            <w:pPr>
              <w:jc w:val="both"/>
              <w:rPr>
                <w:szCs w:val="22"/>
              </w:rPr>
            </w:pPr>
          </w:p>
        </w:tc>
      </w:tr>
    </w:tbl>
    <w:p w:rsidR="00D6308F" w:rsidRDefault="00D6308F" w:rsidP="009234A5">
      <w:pPr>
        <w:jc w:val="both"/>
        <w:rPr>
          <w:szCs w:val="22"/>
        </w:rPr>
      </w:pPr>
    </w:p>
    <w:p w:rsidR="0030513F" w:rsidRDefault="0030513F" w:rsidP="0030513F">
      <w:pPr>
        <w:jc w:val="both"/>
        <w:rPr>
          <w:szCs w:val="22"/>
        </w:rPr>
      </w:pPr>
      <w:r>
        <w:rPr>
          <w:szCs w:val="22"/>
        </w:rPr>
        <w:t xml:space="preserve">For the comparison between HM 3.0 with and without IBDI, we get differences as shown in </w:t>
      </w:r>
      <w:r w:rsidR="00AF79DC">
        <w:rPr>
          <w:szCs w:val="22"/>
        </w:rPr>
        <w:fldChar w:fldCharType="begin"/>
      </w:r>
      <w:r>
        <w:rPr>
          <w:szCs w:val="22"/>
        </w:rPr>
        <w:instrText xml:space="preserve"> REF _Ref297722462 \h </w:instrText>
      </w:r>
      <w:r w:rsidR="00AF79DC">
        <w:rPr>
          <w:szCs w:val="22"/>
        </w:rPr>
      </w:r>
      <w:r w:rsidR="00AF79DC">
        <w:rPr>
          <w:szCs w:val="22"/>
        </w:rPr>
        <w:fldChar w:fldCharType="separate"/>
      </w:r>
      <w:r>
        <w:t xml:space="preserve">Table </w:t>
      </w:r>
      <w:r>
        <w:rPr>
          <w:noProof/>
        </w:rPr>
        <w:t>2</w:t>
      </w:r>
      <w:r w:rsidR="00AF79DC">
        <w:rPr>
          <w:szCs w:val="22"/>
        </w:rPr>
        <w:fldChar w:fldCharType="end"/>
      </w:r>
      <w:r>
        <w:rPr>
          <w:szCs w:val="22"/>
        </w:rPr>
        <w:t xml:space="preserve"> and </w:t>
      </w:r>
      <w:r w:rsidR="00AF79DC">
        <w:rPr>
          <w:szCs w:val="22"/>
        </w:rPr>
        <w:fldChar w:fldCharType="begin"/>
      </w:r>
      <w:r>
        <w:rPr>
          <w:szCs w:val="22"/>
        </w:rPr>
        <w:instrText xml:space="preserve"> REF _Ref297722465 \h </w:instrText>
      </w:r>
      <w:r w:rsidR="00AF79DC">
        <w:rPr>
          <w:szCs w:val="22"/>
        </w:rPr>
      </w:r>
      <w:r w:rsidR="00AF79DC">
        <w:rPr>
          <w:szCs w:val="22"/>
        </w:rPr>
        <w:fldChar w:fldCharType="separate"/>
      </w:r>
      <w:r>
        <w:t xml:space="preserve">Table </w:t>
      </w:r>
      <w:r>
        <w:rPr>
          <w:noProof/>
        </w:rPr>
        <w:t>3</w:t>
      </w:r>
      <w:r w:rsidR="00AF79DC">
        <w:rPr>
          <w:szCs w:val="22"/>
        </w:rPr>
        <w:fldChar w:fldCharType="end"/>
      </w:r>
      <w:r>
        <w:rPr>
          <w:szCs w:val="22"/>
        </w:rPr>
        <w:t xml:space="preserve">. </w:t>
      </w:r>
      <w:r w:rsidR="00156A3D">
        <w:rPr>
          <w:szCs w:val="22"/>
        </w:rPr>
        <w:t xml:space="preserve">The two results differ mostly with the Class A sequences. </w:t>
      </w:r>
      <w:r>
        <w:rPr>
          <w:szCs w:val="22"/>
        </w:rPr>
        <w:t>The differences are likely to be due to how HM 3.0 is configured to run without IBDI. We disabled IBDI by setting the “--</w:t>
      </w:r>
      <w:proofErr w:type="spellStart"/>
      <w:r>
        <w:rPr>
          <w:szCs w:val="22"/>
        </w:rPr>
        <w:t>InternalBitDepth</w:t>
      </w:r>
      <w:proofErr w:type="spellEnd"/>
      <w:r>
        <w:rPr>
          <w:szCs w:val="22"/>
        </w:rPr>
        <w:t xml:space="preserve">” command-line switch to reflect the input bit depth of each video sequence. For the 10-bit sequences </w:t>
      </w:r>
      <w:proofErr w:type="spellStart"/>
      <w:r>
        <w:rPr>
          <w:szCs w:val="22"/>
        </w:rPr>
        <w:t>Nebuta</w:t>
      </w:r>
      <w:proofErr w:type="spellEnd"/>
      <w:r>
        <w:rPr>
          <w:szCs w:val="22"/>
        </w:rPr>
        <w:t xml:space="preserve"> and </w:t>
      </w:r>
      <w:proofErr w:type="spellStart"/>
      <w:r>
        <w:rPr>
          <w:szCs w:val="22"/>
        </w:rPr>
        <w:t>SteamLocomotive</w:t>
      </w:r>
      <w:proofErr w:type="spellEnd"/>
      <w:r>
        <w:rPr>
          <w:szCs w:val="22"/>
        </w:rPr>
        <w:t>, we used “--</w:t>
      </w:r>
      <w:proofErr w:type="spellStart"/>
      <w:r>
        <w:rPr>
          <w:szCs w:val="22"/>
        </w:rPr>
        <w:t>InternalBitDepth</w:t>
      </w:r>
      <w:proofErr w:type="spellEnd"/>
      <w:r>
        <w:rPr>
          <w:szCs w:val="22"/>
        </w:rPr>
        <w:t xml:space="preserve">=10” and for the </w:t>
      </w:r>
      <w:r w:rsidR="00156A3D">
        <w:rPr>
          <w:szCs w:val="22"/>
        </w:rPr>
        <w:t xml:space="preserve">other 8-bit sequences </w:t>
      </w:r>
      <w:r>
        <w:rPr>
          <w:szCs w:val="22"/>
        </w:rPr>
        <w:t>we used “--</w:t>
      </w:r>
      <w:proofErr w:type="spellStart"/>
      <w:r>
        <w:rPr>
          <w:szCs w:val="22"/>
        </w:rPr>
        <w:t>InternalBitDepth</w:t>
      </w:r>
      <w:proofErr w:type="spellEnd"/>
      <w:r>
        <w:rPr>
          <w:szCs w:val="22"/>
        </w:rPr>
        <w:t>=8.”</w:t>
      </w:r>
      <w:r w:rsidR="00156A3D">
        <w:rPr>
          <w:szCs w:val="22"/>
        </w:rPr>
        <w:t xml:space="preserve"> We suspect that Toshiba is using “--</w:t>
      </w:r>
      <w:proofErr w:type="spellStart"/>
      <w:r w:rsidR="00156A3D">
        <w:rPr>
          <w:szCs w:val="22"/>
        </w:rPr>
        <w:t>InternalBitDepth</w:t>
      </w:r>
      <w:proofErr w:type="spellEnd"/>
      <w:r w:rsidR="00156A3D">
        <w:rPr>
          <w:szCs w:val="22"/>
        </w:rPr>
        <w:t>=8” even for the 10-bit sequences. The other minor differences can be attributed to the use of different revisions of HM 3.0.</w:t>
      </w:r>
    </w:p>
    <w:p w:rsidR="0030513F" w:rsidRDefault="0030513F" w:rsidP="009234A5">
      <w:pPr>
        <w:jc w:val="both"/>
        <w:rPr>
          <w:szCs w:val="22"/>
        </w:rPr>
      </w:pPr>
    </w:p>
    <w:p w:rsidR="0030513F" w:rsidRDefault="0030513F" w:rsidP="0030513F">
      <w:pPr>
        <w:pStyle w:val="Caption"/>
        <w:keepNext/>
      </w:pPr>
      <w:bookmarkStart w:id="2" w:name="_Ref297722462"/>
      <w:r>
        <w:t xml:space="preserve">Table </w:t>
      </w:r>
      <w:fldSimple w:instr=" SEQ Table \* ARABIC ">
        <w:r>
          <w:rPr>
            <w:noProof/>
          </w:rPr>
          <w:t>2</w:t>
        </w:r>
      </w:fldSimple>
      <w:bookmarkEnd w:id="2"/>
      <w:r>
        <w:t>: Toshiba BD-Rate results comparing HM 3.0 HM 3.0 w/o IBDI</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7"/>
      </w:tblGrid>
      <w:tr w:rsidR="0030513F" w:rsidTr="0030513F">
        <w:trPr>
          <w:jc w:val="center"/>
        </w:trPr>
        <w:tc>
          <w:tcPr>
            <w:tcW w:w="236" w:type="dxa"/>
          </w:tcPr>
          <w:tbl>
            <w:tblPr>
              <w:tblW w:w="0" w:type="auto"/>
              <w:tblLook w:val="04A0"/>
            </w:tblPr>
            <w:tblGrid>
              <w:gridCol w:w="1361"/>
              <w:gridCol w:w="606"/>
              <w:gridCol w:w="717"/>
              <w:gridCol w:w="717"/>
              <w:gridCol w:w="606"/>
              <w:gridCol w:w="717"/>
              <w:gridCol w:w="717"/>
            </w:tblGrid>
            <w:tr w:rsidR="0030513F" w:rsidRPr="0030513F" w:rsidTr="0030513F">
              <w:trPr>
                <w:trHeight w:val="27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Random Access HE</w:t>
                  </w:r>
                </w:p>
              </w:tc>
            </w:tr>
            <w:tr w:rsidR="0030513F" w:rsidRPr="0030513F" w:rsidTr="0030513F">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Y</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U</w:t>
                  </w:r>
                </w:p>
              </w:tc>
              <w:tc>
                <w:tcPr>
                  <w:tcW w:w="0" w:type="auto"/>
                  <w:tcBorders>
                    <w:top w:val="nil"/>
                    <w:left w:val="nil"/>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V</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Y</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U</w:t>
                  </w:r>
                </w:p>
              </w:tc>
              <w:tc>
                <w:tcPr>
                  <w:tcW w:w="0" w:type="auto"/>
                  <w:tcBorders>
                    <w:top w:val="nil"/>
                    <w:left w:val="nil"/>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V</w:t>
                  </w:r>
                </w:p>
              </w:tc>
            </w:tr>
            <w:tr w:rsidR="0030513F" w:rsidRPr="0030513F" w:rsidTr="0030513F">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c>
                <w:tcPr>
                  <w:tcW w:w="0" w:type="auto"/>
                  <w:tcBorders>
                    <w:top w:val="single" w:sz="8" w:space="0" w:color="auto"/>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3.52 </w:t>
                  </w:r>
                </w:p>
              </w:tc>
              <w:tc>
                <w:tcPr>
                  <w:tcW w:w="0" w:type="auto"/>
                  <w:tcBorders>
                    <w:top w:val="single" w:sz="8" w:space="0" w:color="auto"/>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19.76 </w:t>
                  </w:r>
                </w:p>
              </w:tc>
              <w:tc>
                <w:tcPr>
                  <w:tcW w:w="0" w:type="auto"/>
                  <w:tcBorders>
                    <w:top w:val="single" w:sz="8" w:space="0" w:color="auto"/>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21.80 </w:t>
                  </w:r>
                </w:p>
              </w:tc>
            </w:tr>
            <w:tr w:rsidR="0030513F" w:rsidRPr="0030513F" w:rsidTr="0030513F">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Class B</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2.95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11.45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12.63 </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2.63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8.18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7.47 </w:t>
                  </w:r>
                </w:p>
              </w:tc>
            </w:tr>
            <w:tr w:rsidR="0030513F" w:rsidRPr="0030513F" w:rsidTr="0030513F">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Class C</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1.52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5.25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6.12 </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1.36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3.95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4.05 </w:t>
                  </w:r>
                </w:p>
              </w:tc>
            </w:tr>
            <w:tr w:rsidR="0030513F" w:rsidRPr="0030513F" w:rsidTr="0030513F">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Class D</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0.87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8.56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9.42 </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0.92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3.14 </w:t>
                  </w:r>
                </w:p>
              </w:tc>
              <w:tc>
                <w:tcPr>
                  <w:tcW w:w="0" w:type="auto"/>
                  <w:tcBorders>
                    <w:top w:val="nil"/>
                    <w:left w:val="nil"/>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2.98 </w:t>
                  </w:r>
                </w:p>
              </w:tc>
            </w:tr>
            <w:tr w:rsidR="0030513F" w:rsidRPr="0030513F" w:rsidTr="0030513F">
              <w:trPr>
                <w:trHeight w:val="255"/>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Class E</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6.90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17.45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13.21 </w:t>
                  </w:r>
                </w:p>
              </w:tc>
              <w:tc>
                <w:tcPr>
                  <w:tcW w:w="0" w:type="auto"/>
                  <w:tcBorders>
                    <w:top w:val="nil"/>
                    <w:left w:val="nil"/>
                    <w:bottom w:val="nil"/>
                    <w:right w:val="nil"/>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c>
                <w:tcPr>
                  <w:tcW w:w="0" w:type="auto"/>
                  <w:tcBorders>
                    <w:top w:val="nil"/>
                    <w:left w:val="nil"/>
                    <w:bottom w:val="nil"/>
                    <w:right w:val="nil"/>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c>
                <w:tcPr>
                  <w:tcW w:w="0" w:type="auto"/>
                  <w:tcBorders>
                    <w:top w:val="nil"/>
                    <w:left w:val="nil"/>
                    <w:bottom w:val="nil"/>
                    <w:right w:val="single" w:sz="8" w:space="0" w:color="auto"/>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r>
            <w:tr w:rsidR="0030513F" w:rsidRPr="0030513F" w:rsidTr="0030513F">
              <w:trPr>
                <w:trHeight w:val="27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30513F">
                    <w:rPr>
                      <w:rFonts w:ascii="Arial" w:hAnsi="Arial" w:cs="Arial"/>
                      <w:b/>
                      <w:bCs/>
                      <w:sz w:val="20"/>
                    </w:rPr>
                    <w:t>Overall</w:t>
                  </w:r>
                </w:p>
              </w:tc>
              <w:tc>
                <w:tcPr>
                  <w:tcW w:w="0" w:type="auto"/>
                  <w:tcBorders>
                    <w:top w:val="single" w:sz="4" w:space="0" w:color="auto"/>
                    <w:left w:val="nil"/>
                    <w:bottom w:val="single" w:sz="8" w:space="0" w:color="auto"/>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2.81 </w:t>
                  </w:r>
                </w:p>
              </w:tc>
              <w:tc>
                <w:tcPr>
                  <w:tcW w:w="0" w:type="auto"/>
                  <w:tcBorders>
                    <w:top w:val="single" w:sz="4" w:space="0" w:color="auto"/>
                    <w:left w:val="nil"/>
                    <w:bottom w:val="single" w:sz="8" w:space="0" w:color="auto"/>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10.30 </w:t>
                  </w:r>
                </w:p>
              </w:tc>
              <w:tc>
                <w:tcPr>
                  <w:tcW w:w="0" w:type="auto"/>
                  <w:tcBorders>
                    <w:top w:val="single" w:sz="4" w:space="0" w:color="auto"/>
                    <w:left w:val="nil"/>
                    <w:bottom w:val="single" w:sz="8" w:space="0" w:color="auto"/>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10.31 </w:t>
                  </w:r>
                </w:p>
              </w:tc>
              <w:tc>
                <w:tcPr>
                  <w:tcW w:w="0" w:type="auto"/>
                  <w:tcBorders>
                    <w:top w:val="single" w:sz="4" w:space="0" w:color="auto"/>
                    <w:left w:val="nil"/>
                    <w:bottom w:val="single" w:sz="8" w:space="0" w:color="auto"/>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2.14 </w:t>
                  </w:r>
                </w:p>
              </w:tc>
              <w:tc>
                <w:tcPr>
                  <w:tcW w:w="0" w:type="auto"/>
                  <w:tcBorders>
                    <w:top w:val="single" w:sz="4" w:space="0" w:color="auto"/>
                    <w:left w:val="nil"/>
                    <w:bottom w:val="single" w:sz="8" w:space="0" w:color="auto"/>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8.72 </w:t>
                  </w:r>
                </w:p>
              </w:tc>
              <w:tc>
                <w:tcPr>
                  <w:tcW w:w="0" w:type="auto"/>
                  <w:tcBorders>
                    <w:top w:val="single" w:sz="4" w:space="0" w:color="auto"/>
                    <w:left w:val="nil"/>
                    <w:bottom w:val="single" w:sz="8" w:space="0" w:color="auto"/>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8.98 </w:t>
                  </w:r>
                </w:p>
              </w:tc>
            </w:tr>
            <w:tr w:rsidR="0030513F" w:rsidRPr="0030513F" w:rsidTr="0030513F">
              <w:trPr>
                <w:trHeight w:val="255"/>
              </w:trPr>
              <w:tc>
                <w:tcPr>
                  <w:tcW w:w="0" w:type="auto"/>
                  <w:tcBorders>
                    <w:top w:val="nil"/>
                    <w:left w:val="single" w:sz="8" w:space="0" w:color="auto"/>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100%</w:t>
                  </w:r>
                </w:p>
              </w:tc>
              <w:tc>
                <w:tcPr>
                  <w:tcW w:w="0" w:type="auto"/>
                  <w:gridSpan w:val="3"/>
                  <w:tcBorders>
                    <w:top w:val="single" w:sz="8" w:space="0" w:color="auto"/>
                    <w:left w:val="nil"/>
                    <w:bottom w:val="nil"/>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99%</w:t>
                  </w:r>
                </w:p>
              </w:tc>
            </w:tr>
            <w:tr w:rsidR="0030513F" w:rsidRPr="0030513F" w:rsidTr="0030513F">
              <w:trPr>
                <w:trHeight w:val="27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Dec Time[%]</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95%</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97%</w:t>
                  </w:r>
                </w:p>
              </w:tc>
            </w:tr>
          </w:tbl>
          <w:p w:rsidR="0030513F" w:rsidRDefault="0030513F" w:rsidP="0030513F">
            <w:pPr>
              <w:jc w:val="both"/>
              <w:rPr>
                <w:szCs w:val="22"/>
              </w:rPr>
            </w:pPr>
          </w:p>
        </w:tc>
      </w:tr>
    </w:tbl>
    <w:p w:rsidR="00677F52" w:rsidRDefault="00677F52" w:rsidP="009234A5">
      <w:pPr>
        <w:jc w:val="both"/>
        <w:rPr>
          <w:szCs w:val="22"/>
        </w:rPr>
      </w:pPr>
    </w:p>
    <w:p w:rsidR="0030513F" w:rsidRDefault="0030513F" w:rsidP="0030513F">
      <w:pPr>
        <w:pStyle w:val="Caption"/>
        <w:keepNext/>
      </w:pPr>
      <w:bookmarkStart w:id="3" w:name="_Ref297722465"/>
      <w:r>
        <w:t xml:space="preserve">Table </w:t>
      </w:r>
      <w:fldSimple w:instr=" SEQ Table \* ARABIC ">
        <w:r>
          <w:rPr>
            <w:noProof/>
          </w:rPr>
          <w:t>3</w:t>
        </w:r>
      </w:fldSimple>
      <w:bookmarkEnd w:id="3"/>
      <w:r>
        <w:t>: Zenverge BD-Rate results comparing HM 3.0 HM 3.0 w/o IBDI</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44"/>
      </w:tblGrid>
      <w:tr w:rsidR="0030513F" w:rsidTr="0030513F">
        <w:trPr>
          <w:jc w:val="center"/>
        </w:trPr>
        <w:tc>
          <w:tcPr>
            <w:tcW w:w="236" w:type="dxa"/>
          </w:tcPr>
          <w:tbl>
            <w:tblPr>
              <w:tblW w:w="0" w:type="auto"/>
              <w:tblLook w:val="04A0"/>
            </w:tblPr>
            <w:tblGrid>
              <w:gridCol w:w="1361"/>
              <w:gridCol w:w="606"/>
              <w:gridCol w:w="717"/>
              <w:gridCol w:w="717"/>
              <w:gridCol w:w="669"/>
              <w:gridCol w:w="669"/>
              <w:gridCol w:w="669"/>
            </w:tblGrid>
            <w:tr w:rsidR="0030513F" w:rsidRPr="0030513F" w:rsidTr="0030513F">
              <w:trPr>
                <w:trHeight w:val="27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Random Access HE</w:t>
                  </w:r>
                </w:p>
              </w:tc>
            </w:tr>
            <w:tr w:rsidR="0030513F" w:rsidRPr="0030513F" w:rsidTr="0030513F">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Y</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U</w:t>
                  </w:r>
                </w:p>
              </w:tc>
              <w:tc>
                <w:tcPr>
                  <w:tcW w:w="0" w:type="auto"/>
                  <w:tcBorders>
                    <w:top w:val="nil"/>
                    <w:left w:val="nil"/>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V</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Y</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U</w:t>
                  </w:r>
                </w:p>
              </w:tc>
              <w:tc>
                <w:tcPr>
                  <w:tcW w:w="0" w:type="auto"/>
                  <w:tcBorders>
                    <w:top w:val="nil"/>
                    <w:left w:val="nil"/>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V</w:t>
                  </w:r>
                </w:p>
              </w:tc>
            </w:tr>
            <w:tr w:rsidR="0030513F" w:rsidRPr="0030513F" w:rsidTr="0030513F">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c>
                <w:tcPr>
                  <w:tcW w:w="0" w:type="auto"/>
                  <w:tcBorders>
                    <w:top w:val="single" w:sz="8" w:space="0" w:color="auto"/>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0.75 </w:t>
                  </w:r>
                </w:p>
              </w:tc>
              <w:tc>
                <w:tcPr>
                  <w:tcW w:w="0" w:type="auto"/>
                  <w:tcBorders>
                    <w:top w:val="single" w:sz="8" w:space="0" w:color="auto"/>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2.41 </w:t>
                  </w:r>
                </w:p>
              </w:tc>
              <w:tc>
                <w:tcPr>
                  <w:tcW w:w="0" w:type="auto"/>
                  <w:tcBorders>
                    <w:top w:val="single" w:sz="8" w:space="0" w:color="auto"/>
                    <w:left w:val="nil"/>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2.66 </w:t>
                  </w:r>
                </w:p>
              </w:tc>
            </w:tr>
            <w:tr w:rsidR="0030513F" w:rsidRPr="0030513F" w:rsidTr="0030513F">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Class B</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3.00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11.29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12.39 </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2.61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8.16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7.48 </w:t>
                  </w:r>
                </w:p>
              </w:tc>
            </w:tr>
            <w:tr w:rsidR="0030513F" w:rsidRPr="0030513F" w:rsidTr="0030513F">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Class C</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1.53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5.32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6.07 </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1.38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3.97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4.07 </w:t>
                  </w:r>
                </w:p>
              </w:tc>
            </w:tr>
            <w:tr w:rsidR="0030513F" w:rsidRPr="0030513F" w:rsidTr="0030513F">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Class D</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0.88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8.92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9.13 </w:t>
                  </w:r>
                </w:p>
              </w:tc>
              <w:tc>
                <w:tcPr>
                  <w:tcW w:w="0" w:type="auto"/>
                  <w:tcBorders>
                    <w:top w:val="nil"/>
                    <w:left w:val="nil"/>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0.93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3.07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3.05 </w:t>
                  </w:r>
                </w:p>
              </w:tc>
            </w:tr>
            <w:tr w:rsidR="0030513F" w:rsidRPr="0030513F" w:rsidTr="0030513F">
              <w:trPr>
                <w:trHeight w:val="255"/>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Class E</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6.76 </w:t>
                  </w:r>
                </w:p>
              </w:tc>
              <w:tc>
                <w:tcPr>
                  <w:tcW w:w="0" w:type="auto"/>
                  <w:tcBorders>
                    <w:top w:val="nil"/>
                    <w:left w:val="nil"/>
                    <w:bottom w:val="nil"/>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17.79 </w:t>
                  </w:r>
                </w:p>
              </w:tc>
              <w:tc>
                <w:tcPr>
                  <w:tcW w:w="0" w:type="auto"/>
                  <w:tcBorders>
                    <w:top w:val="nil"/>
                    <w:left w:val="nil"/>
                    <w:bottom w:val="nil"/>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0513F">
                    <w:rPr>
                      <w:rFonts w:ascii="Arial" w:hAnsi="Arial" w:cs="Arial"/>
                      <w:sz w:val="20"/>
                    </w:rPr>
                    <w:t xml:space="preserve">13.20 </w:t>
                  </w:r>
                </w:p>
              </w:tc>
              <w:tc>
                <w:tcPr>
                  <w:tcW w:w="0" w:type="auto"/>
                  <w:tcBorders>
                    <w:top w:val="nil"/>
                    <w:left w:val="nil"/>
                    <w:bottom w:val="nil"/>
                    <w:right w:val="nil"/>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c>
                <w:tcPr>
                  <w:tcW w:w="0" w:type="auto"/>
                  <w:tcBorders>
                    <w:top w:val="nil"/>
                    <w:left w:val="nil"/>
                    <w:bottom w:val="nil"/>
                    <w:right w:val="nil"/>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c>
                <w:tcPr>
                  <w:tcW w:w="0" w:type="auto"/>
                  <w:tcBorders>
                    <w:top w:val="nil"/>
                    <w:left w:val="nil"/>
                    <w:bottom w:val="nil"/>
                    <w:right w:val="single" w:sz="8" w:space="0" w:color="auto"/>
                  </w:tcBorders>
                  <w:shd w:val="clear" w:color="000000" w:fill="C0C0C0"/>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 </w:t>
                  </w:r>
                </w:p>
              </w:tc>
            </w:tr>
            <w:tr w:rsidR="0030513F" w:rsidRPr="0030513F" w:rsidTr="0030513F">
              <w:trPr>
                <w:trHeight w:val="27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30513F">
                    <w:rPr>
                      <w:rFonts w:ascii="Arial" w:hAnsi="Arial" w:cs="Arial"/>
                      <w:b/>
                      <w:bCs/>
                      <w:sz w:val="20"/>
                    </w:rPr>
                    <w:t>Overall</w:t>
                  </w:r>
                </w:p>
              </w:tc>
              <w:tc>
                <w:tcPr>
                  <w:tcW w:w="0" w:type="auto"/>
                  <w:tcBorders>
                    <w:top w:val="single" w:sz="4" w:space="0" w:color="auto"/>
                    <w:left w:val="nil"/>
                    <w:bottom w:val="single" w:sz="8" w:space="0" w:color="auto"/>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2.81 </w:t>
                  </w:r>
                </w:p>
              </w:tc>
              <w:tc>
                <w:tcPr>
                  <w:tcW w:w="0" w:type="auto"/>
                  <w:tcBorders>
                    <w:top w:val="single" w:sz="4" w:space="0" w:color="auto"/>
                    <w:left w:val="nil"/>
                    <w:bottom w:val="single" w:sz="8" w:space="0" w:color="auto"/>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10.42 </w:t>
                  </w:r>
                </w:p>
              </w:tc>
              <w:tc>
                <w:tcPr>
                  <w:tcW w:w="0" w:type="auto"/>
                  <w:tcBorders>
                    <w:top w:val="single" w:sz="4" w:space="0" w:color="auto"/>
                    <w:left w:val="nil"/>
                    <w:bottom w:val="single" w:sz="8" w:space="0" w:color="auto"/>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10.15 </w:t>
                  </w:r>
                </w:p>
              </w:tc>
              <w:tc>
                <w:tcPr>
                  <w:tcW w:w="0" w:type="auto"/>
                  <w:tcBorders>
                    <w:top w:val="single" w:sz="4" w:space="0" w:color="auto"/>
                    <w:left w:val="nil"/>
                    <w:bottom w:val="single" w:sz="8" w:space="0" w:color="auto"/>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1.49 </w:t>
                  </w:r>
                </w:p>
              </w:tc>
              <w:tc>
                <w:tcPr>
                  <w:tcW w:w="0" w:type="auto"/>
                  <w:tcBorders>
                    <w:top w:val="single" w:sz="4" w:space="0" w:color="auto"/>
                    <w:left w:val="nil"/>
                    <w:bottom w:val="single" w:sz="8" w:space="0" w:color="auto"/>
                    <w:right w:val="nil"/>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4.62 </w:t>
                  </w:r>
                </w:p>
              </w:tc>
              <w:tc>
                <w:tcPr>
                  <w:tcW w:w="0" w:type="auto"/>
                  <w:tcBorders>
                    <w:top w:val="single" w:sz="4" w:space="0" w:color="auto"/>
                    <w:left w:val="nil"/>
                    <w:bottom w:val="single" w:sz="8" w:space="0" w:color="auto"/>
                    <w:right w:val="single" w:sz="8" w:space="0" w:color="auto"/>
                  </w:tcBorders>
                  <w:shd w:val="clear" w:color="000000" w:fill="FFCC99"/>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0513F">
                    <w:rPr>
                      <w:rFonts w:ascii="Arial" w:hAnsi="Arial" w:cs="Arial"/>
                      <w:b/>
                      <w:bCs/>
                      <w:sz w:val="20"/>
                    </w:rPr>
                    <w:t xml:space="preserve">4.50 </w:t>
                  </w:r>
                </w:p>
              </w:tc>
            </w:tr>
            <w:tr w:rsidR="0030513F" w:rsidRPr="0030513F" w:rsidTr="0030513F">
              <w:trPr>
                <w:trHeight w:val="255"/>
              </w:trPr>
              <w:tc>
                <w:tcPr>
                  <w:tcW w:w="0" w:type="auto"/>
                  <w:tcBorders>
                    <w:top w:val="nil"/>
                    <w:left w:val="single" w:sz="8" w:space="0" w:color="auto"/>
                    <w:bottom w:val="nil"/>
                    <w:right w:val="nil"/>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100%</w:t>
                  </w:r>
                </w:p>
              </w:tc>
              <w:tc>
                <w:tcPr>
                  <w:tcW w:w="0" w:type="auto"/>
                  <w:gridSpan w:val="3"/>
                  <w:tcBorders>
                    <w:top w:val="single" w:sz="8" w:space="0" w:color="auto"/>
                    <w:left w:val="nil"/>
                    <w:bottom w:val="nil"/>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99%</w:t>
                  </w:r>
                </w:p>
              </w:tc>
            </w:tr>
            <w:tr w:rsidR="0030513F" w:rsidRPr="0030513F" w:rsidTr="0030513F">
              <w:trPr>
                <w:trHeight w:val="27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0513F">
                    <w:rPr>
                      <w:rFonts w:ascii="Arial" w:hAnsi="Arial" w:cs="Arial"/>
                      <w:sz w:val="20"/>
                    </w:rPr>
                    <w:t>Dec Time[%]</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97%</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30513F" w:rsidRPr="0030513F" w:rsidRDefault="0030513F" w:rsidP="0030513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0513F">
                    <w:rPr>
                      <w:rFonts w:ascii="Arial" w:hAnsi="Arial" w:cs="Arial"/>
                      <w:sz w:val="20"/>
                    </w:rPr>
                    <w:t>97%</w:t>
                  </w:r>
                </w:p>
              </w:tc>
            </w:tr>
          </w:tbl>
          <w:p w:rsidR="0030513F" w:rsidRDefault="0030513F" w:rsidP="0030513F">
            <w:pPr>
              <w:jc w:val="both"/>
              <w:rPr>
                <w:szCs w:val="22"/>
              </w:rPr>
            </w:pPr>
          </w:p>
        </w:tc>
      </w:tr>
    </w:tbl>
    <w:p w:rsidR="00405022" w:rsidRDefault="00405022" w:rsidP="00405022">
      <w:pPr>
        <w:pStyle w:val="Heading1"/>
      </w:pPr>
      <w:r>
        <w:t>References</w:t>
      </w:r>
    </w:p>
    <w:p w:rsidR="00405022" w:rsidRDefault="00405022" w:rsidP="004032D6">
      <w:pPr>
        <w:pStyle w:val="Reference"/>
        <w:numPr>
          <w:ilvl w:val="0"/>
          <w:numId w:val="11"/>
        </w:numPr>
        <w:tabs>
          <w:tab w:val="clear" w:pos="360"/>
          <w:tab w:val="num" w:pos="540"/>
        </w:tabs>
        <w:ind w:left="540" w:hanging="540"/>
        <w:jc w:val="both"/>
      </w:pPr>
      <w:bookmarkStart w:id="4" w:name="_Ref297628759"/>
      <w:bookmarkStart w:id="5" w:name="_Ref282882409"/>
      <w:bookmarkStart w:id="6" w:name="_Ref297113424"/>
      <w:r>
        <w:t xml:space="preserve">T. Chujoh and T. </w:t>
      </w:r>
      <w:proofErr w:type="spellStart"/>
      <w:r>
        <w:t>Yamakage</w:t>
      </w:r>
      <w:proofErr w:type="spellEnd"/>
      <w:r>
        <w:t>, “Adaptive scaling with offset for reference pictures memory compression,” JCT-VC Document JCTVC-F319, Torino, July 2011.</w:t>
      </w:r>
      <w:bookmarkEnd w:id="4"/>
    </w:p>
    <w:p w:rsidR="00405022" w:rsidRDefault="00405022" w:rsidP="004032D6">
      <w:pPr>
        <w:pStyle w:val="Reference"/>
        <w:numPr>
          <w:ilvl w:val="0"/>
          <w:numId w:val="11"/>
        </w:numPr>
        <w:tabs>
          <w:tab w:val="clear" w:pos="360"/>
          <w:tab w:val="num" w:pos="540"/>
        </w:tabs>
        <w:ind w:left="540" w:hanging="540"/>
        <w:jc w:val="both"/>
      </w:pPr>
      <w:bookmarkStart w:id="7" w:name="_Ref297658177"/>
      <w:r>
        <w:lastRenderedPageBreak/>
        <w:t xml:space="preserve">T. Chujoh and T. </w:t>
      </w:r>
      <w:proofErr w:type="spellStart"/>
      <w:r>
        <w:t>Yamakage</w:t>
      </w:r>
      <w:proofErr w:type="spellEnd"/>
      <w:r>
        <w:t>, “Adaptive scaling for reference pictures memory compression,” JCT-VC Document JCTVC-E133, Geneva, March 2011.</w:t>
      </w:r>
      <w:bookmarkStart w:id="8" w:name="_Ref282882454"/>
      <w:bookmarkEnd w:id="5"/>
      <w:bookmarkEnd w:id="6"/>
      <w:bookmarkEnd w:id="7"/>
    </w:p>
    <w:p w:rsidR="001F2594" w:rsidRPr="00156A3D" w:rsidRDefault="00405022" w:rsidP="009234A5">
      <w:pPr>
        <w:pStyle w:val="Reference"/>
        <w:numPr>
          <w:ilvl w:val="0"/>
          <w:numId w:val="11"/>
        </w:numPr>
        <w:tabs>
          <w:tab w:val="clear" w:pos="360"/>
          <w:tab w:val="num" w:pos="540"/>
        </w:tabs>
        <w:ind w:left="540" w:hanging="540"/>
        <w:jc w:val="both"/>
      </w:pPr>
      <w:bookmarkStart w:id="9" w:name="_Ref297113844"/>
      <w:r>
        <w:t xml:space="preserve">D. Hoang, “Unified scaling with adaptive offset for reference frame compression with IBDI,” JCT-VC Document JCTVC-D035, </w:t>
      </w:r>
      <w:proofErr w:type="spellStart"/>
      <w:r>
        <w:t>Daegu</w:t>
      </w:r>
      <w:proofErr w:type="spellEnd"/>
      <w:r>
        <w:t>, January 2011.</w:t>
      </w:r>
      <w:bookmarkEnd w:id="9"/>
      <w:bookmarkEnd w:id="8"/>
    </w:p>
    <w:p w:rsidR="001F2594" w:rsidRPr="002B191D" w:rsidRDefault="001F2594" w:rsidP="00E11923">
      <w:pPr>
        <w:pStyle w:val="Heading1"/>
      </w:pPr>
      <w:r w:rsidRPr="00E11923">
        <w:t>Patent</w:t>
      </w:r>
      <w:r w:rsidRPr="002B191D">
        <w:t xml:space="preserve"> rights declaration</w:t>
      </w:r>
      <w:r w:rsidR="00B94B06" w:rsidRPr="002B191D">
        <w:t>(s)</w:t>
      </w:r>
    </w:p>
    <w:p w:rsidR="001F2594" w:rsidRDefault="00FA17FA" w:rsidP="009234A5">
      <w:pPr>
        <w:jc w:val="both"/>
        <w:rPr>
          <w:szCs w:val="22"/>
        </w:rPr>
      </w:pPr>
      <w:r>
        <w:rPr>
          <w:b/>
          <w:szCs w:val="22"/>
        </w:rPr>
        <w:t xml:space="preserve">Zenverge, Inc.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sectPr w:rsidR="001F2594" w:rsidSect="00E43B13">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A3D" w:rsidRDefault="00156A3D">
      <w:r>
        <w:separator/>
      </w:r>
    </w:p>
  </w:endnote>
  <w:endnote w:type="continuationSeparator" w:id="0">
    <w:p w:rsidR="00156A3D" w:rsidRDefault="00156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3D" w:rsidRDefault="00156A3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05B51">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2011-07-06</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A3D" w:rsidRDefault="00156A3D">
      <w:r>
        <w:separator/>
      </w:r>
    </w:p>
  </w:footnote>
  <w:footnote w:type="continuationSeparator" w:id="0">
    <w:p w:rsidR="00156A3D" w:rsidRDefault="00156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3C87AC2"/>
    <w:lvl w:ilvl="0">
      <w:start w:val="1"/>
      <w:numFmt w:val="decimal"/>
      <w:pStyle w:val="ListNumber"/>
      <w:lvlText w:val="[%1]"/>
      <w:lvlJc w:val="left"/>
      <w:pPr>
        <w:tabs>
          <w:tab w:val="num" w:pos="360"/>
        </w:tabs>
        <w:ind w:left="360" w:hanging="360"/>
      </w:pPr>
      <w:rPr>
        <w:rFont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55C5F36"/>
    <w:multiLevelType w:val="hybridMultilevel"/>
    <w:tmpl w:val="50703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4"/>
  </w:num>
  <w:num w:numId="7">
    <w:abstractNumId w:val="5"/>
  </w:num>
  <w:num w:numId="8">
    <w:abstractNumId w:val="4"/>
  </w:num>
  <w:num w:numId="9">
    <w:abstractNumId w:val="2"/>
  </w:num>
  <w:num w:numId="10">
    <w:abstractNumId w:val="3"/>
  </w:num>
  <w:num w:numId="11">
    <w:abstractNumId w:val="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53BA"/>
    <w:rsid w:val="000458BC"/>
    <w:rsid w:val="00045C41"/>
    <w:rsid w:val="00046C03"/>
    <w:rsid w:val="0007614F"/>
    <w:rsid w:val="000B1C6B"/>
    <w:rsid w:val="000C09AC"/>
    <w:rsid w:val="000E00F3"/>
    <w:rsid w:val="000F158C"/>
    <w:rsid w:val="00105B51"/>
    <w:rsid w:val="0011676E"/>
    <w:rsid w:val="00124E38"/>
    <w:rsid w:val="0012580B"/>
    <w:rsid w:val="0013526E"/>
    <w:rsid w:val="00156A3D"/>
    <w:rsid w:val="00171371"/>
    <w:rsid w:val="00175A24"/>
    <w:rsid w:val="00187E58"/>
    <w:rsid w:val="001A297E"/>
    <w:rsid w:val="001A368E"/>
    <w:rsid w:val="001A7329"/>
    <w:rsid w:val="001B4E28"/>
    <w:rsid w:val="001C3525"/>
    <w:rsid w:val="001D1BD2"/>
    <w:rsid w:val="001E02BE"/>
    <w:rsid w:val="001E3B37"/>
    <w:rsid w:val="001F2594"/>
    <w:rsid w:val="00206460"/>
    <w:rsid w:val="002069B4"/>
    <w:rsid w:val="00215DFC"/>
    <w:rsid w:val="002212DF"/>
    <w:rsid w:val="00227BA7"/>
    <w:rsid w:val="00275BCF"/>
    <w:rsid w:val="00292257"/>
    <w:rsid w:val="002A54E0"/>
    <w:rsid w:val="002B1595"/>
    <w:rsid w:val="002B191D"/>
    <w:rsid w:val="002D0AF6"/>
    <w:rsid w:val="002F164D"/>
    <w:rsid w:val="0030513F"/>
    <w:rsid w:val="00306206"/>
    <w:rsid w:val="00327C56"/>
    <w:rsid w:val="003315A1"/>
    <w:rsid w:val="003373EC"/>
    <w:rsid w:val="003706CC"/>
    <w:rsid w:val="003A2D8E"/>
    <w:rsid w:val="003C20E4"/>
    <w:rsid w:val="003E6F90"/>
    <w:rsid w:val="003F5D0F"/>
    <w:rsid w:val="004032D6"/>
    <w:rsid w:val="00405022"/>
    <w:rsid w:val="00414101"/>
    <w:rsid w:val="00433DDB"/>
    <w:rsid w:val="00437619"/>
    <w:rsid w:val="004B210C"/>
    <w:rsid w:val="004B2826"/>
    <w:rsid w:val="004D405F"/>
    <w:rsid w:val="004F61E3"/>
    <w:rsid w:val="0051015C"/>
    <w:rsid w:val="00531AE9"/>
    <w:rsid w:val="0056607E"/>
    <w:rsid w:val="00567EC7"/>
    <w:rsid w:val="00570013"/>
    <w:rsid w:val="005A33A1"/>
    <w:rsid w:val="005C385F"/>
    <w:rsid w:val="005F6F1B"/>
    <w:rsid w:val="005F71F3"/>
    <w:rsid w:val="00624B33"/>
    <w:rsid w:val="00630AA2"/>
    <w:rsid w:val="00646707"/>
    <w:rsid w:val="00664DCF"/>
    <w:rsid w:val="00677F52"/>
    <w:rsid w:val="00697F35"/>
    <w:rsid w:val="006C5D39"/>
    <w:rsid w:val="006D3446"/>
    <w:rsid w:val="006D738E"/>
    <w:rsid w:val="006E2810"/>
    <w:rsid w:val="006E5417"/>
    <w:rsid w:val="00712F60"/>
    <w:rsid w:val="00720E3B"/>
    <w:rsid w:val="00745F6B"/>
    <w:rsid w:val="0075585E"/>
    <w:rsid w:val="00772782"/>
    <w:rsid w:val="007768FF"/>
    <w:rsid w:val="007824D3"/>
    <w:rsid w:val="007956FF"/>
    <w:rsid w:val="007963CF"/>
    <w:rsid w:val="00796EE3"/>
    <w:rsid w:val="007A7D29"/>
    <w:rsid w:val="007F1F8B"/>
    <w:rsid w:val="008206C8"/>
    <w:rsid w:val="00872E7A"/>
    <w:rsid w:val="00874A6C"/>
    <w:rsid w:val="00876C65"/>
    <w:rsid w:val="008A4B4C"/>
    <w:rsid w:val="008C239F"/>
    <w:rsid w:val="008C67AB"/>
    <w:rsid w:val="00907757"/>
    <w:rsid w:val="009212B0"/>
    <w:rsid w:val="009234A5"/>
    <w:rsid w:val="009336F7"/>
    <w:rsid w:val="009374A7"/>
    <w:rsid w:val="0099518F"/>
    <w:rsid w:val="009A523D"/>
    <w:rsid w:val="009D47F5"/>
    <w:rsid w:val="009E53BA"/>
    <w:rsid w:val="009F496B"/>
    <w:rsid w:val="00A01439"/>
    <w:rsid w:val="00A02E61"/>
    <w:rsid w:val="00A05CFF"/>
    <w:rsid w:val="00A56B97"/>
    <w:rsid w:val="00A6093D"/>
    <w:rsid w:val="00A76A6D"/>
    <w:rsid w:val="00A83253"/>
    <w:rsid w:val="00AA6E84"/>
    <w:rsid w:val="00AE341B"/>
    <w:rsid w:val="00AF79DC"/>
    <w:rsid w:val="00B07CA7"/>
    <w:rsid w:val="00B1279A"/>
    <w:rsid w:val="00B32C79"/>
    <w:rsid w:val="00B5222E"/>
    <w:rsid w:val="00B61C96"/>
    <w:rsid w:val="00B73A2A"/>
    <w:rsid w:val="00B94B06"/>
    <w:rsid w:val="00B94C28"/>
    <w:rsid w:val="00BA3C32"/>
    <w:rsid w:val="00BC10BA"/>
    <w:rsid w:val="00BC5AFD"/>
    <w:rsid w:val="00C0609D"/>
    <w:rsid w:val="00C115AB"/>
    <w:rsid w:val="00C30249"/>
    <w:rsid w:val="00C606C9"/>
    <w:rsid w:val="00C90650"/>
    <w:rsid w:val="00C97D78"/>
    <w:rsid w:val="00CC5A42"/>
    <w:rsid w:val="00CD0EAB"/>
    <w:rsid w:val="00CF34DB"/>
    <w:rsid w:val="00CF558F"/>
    <w:rsid w:val="00D073E2"/>
    <w:rsid w:val="00D11B14"/>
    <w:rsid w:val="00D446EC"/>
    <w:rsid w:val="00D51BF0"/>
    <w:rsid w:val="00D55942"/>
    <w:rsid w:val="00D6308F"/>
    <w:rsid w:val="00D807BF"/>
    <w:rsid w:val="00DA7887"/>
    <w:rsid w:val="00DB2C26"/>
    <w:rsid w:val="00DD034F"/>
    <w:rsid w:val="00DE6B43"/>
    <w:rsid w:val="00E11923"/>
    <w:rsid w:val="00E262D4"/>
    <w:rsid w:val="00E36250"/>
    <w:rsid w:val="00E43B13"/>
    <w:rsid w:val="00E54511"/>
    <w:rsid w:val="00E61DAC"/>
    <w:rsid w:val="00E75529"/>
    <w:rsid w:val="00E75FE3"/>
    <w:rsid w:val="00E85038"/>
    <w:rsid w:val="00E863ED"/>
    <w:rsid w:val="00EB7AB1"/>
    <w:rsid w:val="00EF48CC"/>
    <w:rsid w:val="00F07214"/>
    <w:rsid w:val="00F439AB"/>
    <w:rsid w:val="00F73032"/>
    <w:rsid w:val="00F848FC"/>
    <w:rsid w:val="00F9282A"/>
    <w:rsid w:val="00F96BAD"/>
    <w:rsid w:val="00FA17FA"/>
    <w:rsid w:val="00FA4B9F"/>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F79DC"/>
    <w:pPr>
      <w:tabs>
        <w:tab w:val="center" w:pos="4320"/>
        <w:tab w:val="right" w:pos="8640"/>
      </w:tabs>
    </w:pPr>
  </w:style>
  <w:style w:type="paragraph" w:styleId="Footer">
    <w:name w:val="footer"/>
    <w:basedOn w:val="Normal"/>
    <w:rsid w:val="00AF79DC"/>
    <w:pPr>
      <w:tabs>
        <w:tab w:val="center" w:pos="4320"/>
        <w:tab w:val="right" w:pos="8640"/>
      </w:tabs>
    </w:pPr>
  </w:style>
  <w:style w:type="character" w:styleId="PageNumber">
    <w:name w:val="page number"/>
    <w:basedOn w:val="DefaultParagraphFont"/>
    <w:rsid w:val="00AF79DC"/>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ListNumber">
    <w:name w:val="List Number"/>
    <w:basedOn w:val="Normal"/>
    <w:rsid w:val="00405022"/>
    <w:pPr>
      <w:numPr>
        <w:numId w:val="11"/>
      </w:numPr>
      <w:contextualSpacing/>
    </w:pPr>
  </w:style>
  <w:style w:type="paragraph" w:customStyle="1" w:styleId="Reference">
    <w:name w:val="Reference"/>
    <w:basedOn w:val="Normal"/>
    <w:link w:val="ReferenceChar"/>
    <w:qFormat/>
    <w:rsid w:val="00405022"/>
    <w:pPr>
      <w:tabs>
        <w:tab w:val="clear" w:pos="360"/>
        <w:tab w:val="clear" w:pos="720"/>
        <w:tab w:val="clear" w:pos="1080"/>
        <w:tab w:val="clear" w:pos="1440"/>
        <w:tab w:val="num" w:pos="540"/>
      </w:tabs>
      <w:overflowPunct/>
      <w:autoSpaceDE/>
      <w:autoSpaceDN/>
      <w:adjustRightInd/>
      <w:spacing w:before="0"/>
      <w:ind w:left="540" w:hanging="540"/>
      <w:textAlignment w:val="auto"/>
    </w:pPr>
    <w:rPr>
      <w:rFonts w:eastAsia="MS Mincho"/>
      <w:szCs w:val="24"/>
    </w:rPr>
  </w:style>
  <w:style w:type="character" w:customStyle="1" w:styleId="ReferenceChar">
    <w:name w:val="Reference Char"/>
    <w:basedOn w:val="DefaultParagraphFont"/>
    <w:link w:val="Reference"/>
    <w:rsid w:val="00405022"/>
    <w:rPr>
      <w:rFonts w:eastAsia="MS Mincho"/>
      <w:sz w:val="22"/>
      <w:szCs w:val="24"/>
    </w:rPr>
  </w:style>
  <w:style w:type="paragraph" w:styleId="Caption">
    <w:name w:val="caption"/>
    <w:basedOn w:val="Normal"/>
    <w:next w:val="Normal"/>
    <w:unhideWhenUsed/>
    <w:qFormat/>
    <w:rsid w:val="00872E7A"/>
    <w:pPr>
      <w:spacing w:after="136"/>
      <w:jc w:val="center"/>
    </w:pPr>
    <w:rPr>
      <w:b/>
      <w:bCs/>
      <w:sz w:val="20"/>
    </w:rPr>
  </w:style>
  <w:style w:type="paragraph" w:customStyle="1" w:styleId="ListingRow">
    <w:name w:val="Listing Row"/>
    <w:basedOn w:val="Normal"/>
    <w:link w:val="ListingRowChar"/>
    <w:qFormat/>
    <w:rsid w:val="00872E7A"/>
    <w:pPr>
      <w:tabs>
        <w:tab w:val="clear" w:pos="360"/>
        <w:tab w:val="clear" w:pos="720"/>
        <w:tab w:val="clear" w:pos="1080"/>
        <w:tab w:val="clear" w:pos="1440"/>
        <w:tab w:val="left" w:pos="242"/>
        <w:tab w:val="left" w:pos="512"/>
        <w:tab w:val="left" w:pos="782"/>
        <w:tab w:val="left" w:pos="1052"/>
        <w:tab w:val="left" w:pos="1335"/>
        <w:tab w:val="left" w:pos="2646"/>
      </w:tabs>
      <w:spacing w:before="0"/>
    </w:pPr>
  </w:style>
  <w:style w:type="character" w:customStyle="1" w:styleId="ListingRowChar">
    <w:name w:val="Listing Row Char"/>
    <w:basedOn w:val="DefaultParagraphFont"/>
    <w:link w:val="ListingRow"/>
    <w:rsid w:val="00872E7A"/>
    <w:rPr>
      <w:sz w:val="22"/>
    </w:rPr>
  </w:style>
  <w:style w:type="table" w:styleId="TableGrid">
    <w:name w:val="Table Grid"/>
    <w:basedOn w:val="TableNormal"/>
    <w:rsid w:val="00E43B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7357215">
      <w:bodyDiv w:val="1"/>
      <w:marLeft w:val="0"/>
      <w:marRight w:val="0"/>
      <w:marTop w:val="0"/>
      <w:marBottom w:val="0"/>
      <w:divBdr>
        <w:top w:val="none" w:sz="0" w:space="0" w:color="auto"/>
        <w:left w:val="none" w:sz="0" w:space="0" w:color="auto"/>
        <w:bottom w:val="none" w:sz="0" w:space="0" w:color="auto"/>
        <w:right w:val="none" w:sz="0" w:space="0" w:color="auto"/>
      </w:divBdr>
    </w:div>
    <w:div w:id="421491434">
      <w:bodyDiv w:val="1"/>
      <w:marLeft w:val="0"/>
      <w:marRight w:val="0"/>
      <w:marTop w:val="0"/>
      <w:marBottom w:val="0"/>
      <w:divBdr>
        <w:top w:val="none" w:sz="0" w:space="0" w:color="auto"/>
        <w:left w:val="none" w:sz="0" w:space="0" w:color="auto"/>
        <w:bottom w:val="none" w:sz="0" w:space="0" w:color="auto"/>
        <w:right w:val="none" w:sz="0" w:space="0" w:color="auto"/>
      </w:divBdr>
    </w:div>
    <w:div w:id="717703925">
      <w:bodyDiv w:val="1"/>
      <w:marLeft w:val="0"/>
      <w:marRight w:val="0"/>
      <w:marTop w:val="0"/>
      <w:marBottom w:val="0"/>
      <w:divBdr>
        <w:top w:val="none" w:sz="0" w:space="0" w:color="auto"/>
        <w:left w:val="none" w:sz="0" w:space="0" w:color="auto"/>
        <w:bottom w:val="none" w:sz="0" w:space="0" w:color="auto"/>
        <w:right w:val="none" w:sz="0" w:space="0" w:color="auto"/>
      </w:divBdr>
    </w:div>
    <w:div w:id="1150050031">
      <w:bodyDiv w:val="1"/>
      <w:marLeft w:val="0"/>
      <w:marRight w:val="0"/>
      <w:marTop w:val="0"/>
      <w:marBottom w:val="0"/>
      <w:divBdr>
        <w:top w:val="none" w:sz="0" w:space="0" w:color="auto"/>
        <w:left w:val="none" w:sz="0" w:space="0" w:color="auto"/>
        <w:bottom w:val="none" w:sz="0" w:space="0" w:color="auto"/>
        <w:right w:val="none" w:sz="0" w:space="0" w:color="auto"/>
      </w:divBdr>
    </w:div>
    <w:div w:id="1178035300">
      <w:bodyDiv w:val="1"/>
      <w:marLeft w:val="0"/>
      <w:marRight w:val="0"/>
      <w:marTop w:val="0"/>
      <w:marBottom w:val="0"/>
      <w:divBdr>
        <w:top w:val="none" w:sz="0" w:space="0" w:color="auto"/>
        <w:left w:val="none" w:sz="0" w:space="0" w:color="auto"/>
        <w:bottom w:val="none" w:sz="0" w:space="0" w:color="auto"/>
        <w:right w:val="none" w:sz="0" w:space="0" w:color="auto"/>
      </w:divBdr>
    </w:div>
    <w:div w:id="1631016177">
      <w:bodyDiv w:val="1"/>
      <w:marLeft w:val="0"/>
      <w:marRight w:val="0"/>
      <w:marTop w:val="0"/>
      <w:marBottom w:val="0"/>
      <w:divBdr>
        <w:top w:val="none" w:sz="0" w:space="0" w:color="auto"/>
        <w:left w:val="none" w:sz="0" w:space="0" w:color="auto"/>
        <w:bottom w:val="none" w:sz="0" w:space="0" w:color="auto"/>
        <w:right w:val="none" w:sz="0" w:space="0" w:color="auto"/>
      </w:divBdr>
    </w:div>
    <w:div w:id="206139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JCT-VC\2011_07_F_Torino\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E63BE-E16C-4404-B500-B1C412A1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JCTVC-Yxxx.dot</Template>
  <TotalTime>11</TotalTime>
  <Pages>4</Pages>
  <Words>1348</Words>
  <Characters>7223</Characters>
  <Application>Microsoft Office Word</Application>
  <DocSecurity>0</DocSecurity>
  <Lines>60</Lines>
  <Paragraphs>17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8554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Dzung Hoang</dc:creator>
  <cp:keywords>JCT-VC, MPEG, VCEG</cp:keywords>
  <cp:lastModifiedBy>Dzung Hoang</cp:lastModifiedBy>
  <cp:revision>3</cp:revision>
  <cp:lastPrinted>2011-07-06T18:54:00Z</cp:lastPrinted>
  <dcterms:created xsi:type="dcterms:W3CDTF">2011-07-07T15:56:00Z</dcterms:created>
  <dcterms:modified xsi:type="dcterms:W3CDTF">2011-07-07T16:17:00Z</dcterms:modified>
</cp:coreProperties>
</file>